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9F098" w14:textId="4BC37815" w:rsidR="00E030C7" w:rsidRDefault="00E030C7" w:rsidP="00E030C7">
      <w:pPr>
        <w:spacing w:line="360" w:lineRule="auto"/>
        <w:jc w:val="center"/>
        <w:rPr>
          <w:b/>
          <w:sz w:val="20"/>
          <w:szCs w:val="20"/>
        </w:rPr>
      </w:pPr>
      <w:r>
        <w:rPr>
          <w:b/>
          <w:sz w:val="20"/>
          <w:szCs w:val="20"/>
        </w:rPr>
        <w:t>CRITERIOS DE POLÍTICA ECONÓMICA DEL ESTADO DE TLAXCALA, PARA EL EJERCICIO FISCAL 202</w:t>
      </w:r>
      <w:r w:rsidR="005364CA">
        <w:rPr>
          <w:b/>
          <w:sz w:val="20"/>
          <w:szCs w:val="20"/>
        </w:rPr>
        <w:t>6</w:t>
      </w:r>
    </w:p>
    <w:p w14:paraId="6C8FBBB3" w14:textId="77777777" w:rsidR="00E030C7" w:rsidRPr="00CE2445" w:rsidRDefault="00E030C7" w:rsidP="00E030C7">
      <w:pPr>
        <w:spacing w:line="360" w:lineRule="auto"/>
        <w:jc w:val="center"/>
        <w:rPr>
          <w:b/>
          <w:sz w:val="20"/>
          <w:szCs w:val="20"/>
        </w:rPr>
      </w:pPr>
    </w:p>
    <w:p w14:paraId="6120C2FB" w14:textId="77777777" w:rsidR="00E030C7" w:rsidRPr="00CE2445" w:rsidRDefault="00E030C7" w:rsidP="00E030C7">
      <w:pPr>
        <w:spacing w:line="360" w:lineRule="auto"/>
        <w:jc w:val="both"/>
        <w:rPr>
          <w:rFonts w:eastAsia="Calibri"/>
          <w:sz w:val="20"/>
          <w:szCs w:val="20"/>
        </w:rPr>
      </w:pPr>
    </w:p>
    <w:p w14:paraId="40E4F8D1" w14:textId="77777777" w:rsidR="00E030C7" w:rsidRPr="00CE2445" w:rsidRDefault="00E030C7" w:rsidP="00E030C7">
      <w:pPr>
        <w:pStyle w:val="PRIMERAPLANA"/>
        <w:numPr>
          <w:ilvl w:val="0"/>
          <w:numId w:val="13"/>
        </w:numPr>
        <w:ind w:left="709"/>
        <w:rPr>
          <w:rFonts w:ascii="Times New Roman" w:hAnsi="Times New Roman"/>
          <w:b/>
        </w:rPr>
      </w:pPr>
      <w:r w:rsidRPr="00CE2445">
        <w:rPr>
          <w:rFonts w:ascii="Times New Roman" w:hAnsi="Times New Roman"/>
          <w:b/>
        </w:rPr>
        <w:t>INTRODUCCIÓN</w:t>
      </w:r>
    </w:p>
    <w:p w14:paraId="2B2A3767" w14:textId="77777777" w:rsidR="00E030C7" w:rsidRPr="00CE2445" w:rsidRDefault="00E030C7" w:rsidP="00E030C7">
      <w:pPr>
        <w:pStyle w:val="PRIMERAPLANA"/>
        <w:spacing w:line="360" w:lineRule="auto"/>
        <w:rPr>
          <w:rFonts w:ascii="Times New Roman" w:hAnsi="Times New Roman"/>
          <w:bCs/>
          <w:lang w:val="es-MX"/>
        </w:rPr>
      </w:pPr>
    </w:p>
    <w:p w14:paraId="5C620E5D"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Los Criterios de Política Económica del Estado de Tlaxcala, para el Ejercicio Fiscal 2026, son elaborados y entregados por el Poder Ejecutivo al Congreso del Estado, con el objeto de facilitar el análisis de la Iniciativa de Ley de Ingresos, así como del Decreto de Presupuesto de Egresos del Estado de Tlaxcala, para el Ejercicio Fiscal 2026.</w:t>
      </w:r>
    </w:p>
    <w:p w14:paraId="38CDEBC3" w14:textId="77777777" w:rsidR="005364CA" w:rsidRPr="005364CA" w:rsidRDefault="005364CA" w:rsidP="005364CA">
      <w:pPr>
        <w:pStyle w:val="PRIMERAPLANA"/>
        <w:spacing w:line="360" w:lineRule="auto"/>
        <w:rPr>
          <w:rFonts w:ascii="Times New Roman" w:hAnsi="Times New Roman"/>
          <w:bCs/>
          <w:lang w:val="es-MX"/>
        </w:rPr>
      </w:pPr>
    </w:p>
    <w:p w14:paraId="4EDA79D8"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Los Criterios de Política Económica, consideran los lineamientos definidos por el Gobierno Federal, así como las prioridades que el Ejecutivo del Estado ha establecido para el año 2026. En este documento, se incluyen las expectativas de crecimiento económico nacional y mundial para 2026, en los diferentes sectores de la economía, que nos permitirán definir las metas estatales.</w:t>
      </w:r>
    </w:p>
    <w:p w14:paraId="2E8143CA" w14:textId="77777777" w:rsidR="005364CA" w:rsidRPr="005364CA" w:rsidRDefault="005364CA" w:rsidP="005364CA">
      <w:pPr>
        <w:pStyle w:val="PRIMERAPLANA"/>
        <w:spacing w:line="360" w:lineRule="auto"/>
        <w:rPr>
          <w:rFonts w:ascii="Times New Roman" w:hAnsi="Times New Roman"/>
          <w:bCs/>
          <w:lang w:val="es-MX"/>
        </w:rPr>
      </w:pPr>
    </w:p>
    <w:p w14:paraId="30125A93"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Asimismo, se incorporan las principales estrategias y acciones que habrán de seguirse en materia de ingreso y gasto, definidos en la Iniciativa de Ley de Ingresos y en el Proyecto de Decreto de Presupuesto de Egresos, para el Ejercicio Fiscal 2026, en los que se establecen los recursos necesarios para atender las diferentes necesidades de la población tlaxcalteca, a fin de satisfacer las demandas colectivas e impulsar el crecimiento y desarrollo económicos del Estado.</w:t>
      </w:r>
    </w:p>
    <w:p w14:paraId="4B298A1A" w14:textId="77777777" w:rsidR="005364CA" w:rsidRPr="005364CA" w:rsidRDefault="005364CA" w:rsidP="005364CA">
      <w:pPr>
        <w:pStyle w:val="PRIMERAPLANA"/>
        <w:spacing w:line="360" w:lineRule="auto"/>
        <w:rPr>
          <w:rFonts w:ascii="Times New Roman" w:hAnsi="Times New Roman"/>
          <w:bCs/>
          <w:lang w:val="es-MX"/>
        </w:rPr>
      </w:pPr>
    </w:p>
    <w:p w14:paraId="13A3D2FA"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El Plan Estatal de Desarrollo 2021-2027, es el instrumento rector que norma el actuar gubernamental; que aspira, al mismo tiempo, a servir de abierta convocatoria a la participación de los actores sociales y del sector privado. Es prioridad para el Gobierno del Estado de Tlaxcala contar con finanzas sanas en la administración pública, que de manera adecuada y responsable garantice la disponibilidad y transparencia de los recursos públicos, con la finalidad de llevar a cabo de manera eficiente y eficaz los programas y proyectos de gobierno, obras y servicios públicos, para obtener los mejores resultados, arropando las causas comunes y alimentar con ellas el trabajo del gobierno, generando mayores oportunidades de desarrollo y bienestar para las familias tlaxcaltecas.</w:t>
      </w:r>
    </w:p>
    <w:p w14:paraId="0EE177E5" w14:textId="77777777" w:rsidR="005364CA" w:rsidRPr="005364CA" w:rsidRDefault="005364CA" w:rsidP="005364CA">
      <w:pPr>
        <w:pStyle w:val="PRIMERAPLANA"/>
        <w:spacing w:line="360" w:lineRule="auto"/>
        <w:rPr>
          <w:rFonts w:ascii="Times New Roman" w:hAnsi="Times New Roman"/>
          <w:bCs/>
          <w:lang w:val="es-MX"/>
        </w:rPr>
      </w:pPr>
    </w:p>
    <w:p w14:paraId="7AC15312"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A lo largo de este tiempo, hemos dado ejemplo de cómo la colaboración y el esfuerzo conjunto pueden superar cualquier obstáculo, pero principalmente como el amor por México y por Tlaxcala nos ha mantenido unidos y fuertes. Hemos puesto especial énfasis en el combate frontal a la corrupción como </w:t>
      </w:r>
      <w:r w:rsidRPr="005364CA">
        <w:rPr>
          <w:rFonts w:ascii="Times New Roman" w:hAnsi="Times New Roman"/>
          <w:bCs/>
          <w:lang w:val="es-MX"/>
        </w:rPr>
        <w:lastRenderedPageBreak/>
        <w:t>un elemento fundamental, permitiéndonos un desempeño más eficiente y honesto, con base en una perspectiva abierta y sustentada en la gestión para resultados, con base en criterios de austeridad republicana.</w:t>
      </w:r>
    </w:p>
    <w:p w14:paraId="659CD34C" w14:textId="77777777" w:rsidR="005364CA" w:rsidRPr="005364CA" w:rsidRDefault="005364CA" w:rsidP="005364CA">
      <w:pPr>
        <w:pStyle w:val="PRIMERAPLANA"/>
        <w:spacing w:line="360" w:lineRule="auto"/>
        <w:rPr>
          <w:rFonts w:ascii="Times New Roman" w:hAnsi="Times New Roman"/>
          <w:bCs/>
          <w:lang w:val="es-MX"/>
        </w:rPr>
      </w:pPr>
    </w:p>
    <w:p w14:paraId="09DA1655"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Gracias al respaldo de la ciudadanía, hemos llegado a los hogares más desprotegidos, reconstruyendo el camino de la unidad, la paz y el bienestar de miles de familias, fortaleciendo los programas sociales para mejorar la calidad de vida de la población en general. Las historias de vida que hemos transformado juntos no son resultado del esfuerzo de una sola persona, sino de todas y todos los tlaxcaltecas.</w:t>
      </w:r>
    </w:p>
    <w:p w14:paraId="0E9764C4" w14:textId="77777777" w:rsidR="005364CA" w:rsidRPr="005364CA" w:rsidRDefault="005364CA" w:rsidP="005364CA">
      <w:pPr>
        <w:pStyle w:val="PRIMERAPLANA"/>
        <w:spacing w:line="360" w:lineRule="auto"/>
        <w:rPr>
          <w:rFonts w:ascii="Times New Roman" w:hAnsi="Times New Roman"/>
          <w:bCs/>
          <w:lang w:val="es-MX"/>
        </w:rPr>
      </w:pPr>
    </w:p>
    <w:p w14:paraId="61017B48"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Lograr que las familias tlaxcaltecas tengan mejores oportunidades de vida, que aumente el ingreso familiar, el que las personas puedan pasear, comprar y desplazarse con mayor seguridad y el que la población tenga más confianza en el manejo que el gobierno hace de los recursos públicos, son algunas de las acciones que realizamos en beneficio del pueblo de Tlaxcala. </w:t>
      </w:r>
    </w:p>
    <w:p w14:paraId="10E36F52" w14:textId="77777777" w:rsidR="005364CA" w:rsidRPr="005364CA" w:rsidRDefault="005364CA" w:rsidP="005364CA">
      <w:pPr>
        <w:pStyle w:val="PRIMERAPLANA"/>
        <w:spacing w:line="360" w:lineRule="auto"/>
        <w:rPr>
          <w:rFonts w:ascii="Times New Roman" w:hAnsi="Times New Roman"/>
          <w:bCs/>
          <w:lang w:val="es-MX"/>
        </w:rPr>
      </w:pPr>
    </w:p>
    <w:p w14:paraId="0032616D" w14:textId="33692F31"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La restauración de los valores republicanos que deben regir el servicio público, reflejan el resultado de gobernar teniendo como base el territorio, donde tocamos puertas y escuchamos a la ciudadanía, con transparencia, y honestidad, procurando integrar una propuesta de gobierno documentada y coherente en sus propósitos y acciones, posibilitando en el corto y mediano plazos la construcción de otros instrumentos como los programas institucionales, sectoriales, regionales y especiales, estructurados de tal manera</w:t>
      </w:r>
      <w:r w:rsidR="00A37D81">
        <w:rPr>
          <w:rFonts w:ascii="Times New Roman" w:hAnsi="Times New Roman"/>
          <w:bCs/>
          <w:lang w:val="es-MX"/>
        </w:rPr>
        <w:t>,</w:t>
      </w:r>
      <w:r w:rsidRPr="005364CA">
        <w:rPr>
          <w:rFonts w:ascii="Times New Roman" w:hAnsi="Times New Roman"/>
          <w:bCs/>
          <w:lang w:val="es-MX"/>
        </w:rPr>
        <w:t xml:space="preserve"> que conlleven una solución a los problemas que queremos atender incluyendo las propuestas ciudadanas que se recogieron del sentir social.</w:t>
      </w:r>
    </w:p>
    <w:p w14:paraId="27D054C3" w14:textId="77777777" w:rsidR="005364CA" w:rsidRPr="005364CA" w:rsidRDefault="005364CA" w:rsidP="005364CA">
      <w:pPr>
        <w:pStyle w:val="PRIMERAPLANA"/>
        <w:spacing w:line="360" w:lineRule="auto"/>
        <w:rPr>
          <w:rFonts w:ascii="Times New Roman" w:hAnsi="Times New Roman"/>
          <w:bCs/>
          <w:lang w:val="es-MX"/>
        </w:rPr>
      </w:pPr>
    </w:p>
    <w:p w14:paraId="7E507F39"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En esta Nueva Historia, hay fuertes motivos para sentirnos orgullosos de ser tlaxcaltecas, y de lo que hemos alcanzado, construyendo un gobierno cercano con visión extendida, que se interesa y actúa más por los derechos y las libertades de las personas, trabajando por los que menos tienen y sirviendo al pueblo de Tlaxcala.</w:t>
      </w:r>
    </w:p>
    <w:p w14:paraId="712DB9BF" w14:textId="77777777" w:rsidR="005364CA" w:rsidRPr="005364CA" w:rsidRDefault="005364CA" w:rsidP="005364CA">
      <w:pPr>
        <w:pStyle w:val="PRIMERAPLANA"/>
        <w:spacing w:line="360" w:lineRule="auto"/>
        <w:rPr>
          <w:rFonts w:ascii="Times New Roman" w:hAnsi="Times New Roman"/>
          <w:bCs/>
          <w:lang w:val="es-MX"/>
        </w:rPr>
      </w:pPr>
    </w:p>
    <w:p w14:paraId="023BC0F6"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La realidad de Tlaxcala es compleja, dada su situación económica, política, social y cultural, por lo que el intentar modificarla sólo mediante un ejercicio de planeación y un presupuesto gubernamental que siempre será limitado es insuficiente; es por ello, que la transformación de Tlaxcala ha sido un proceso colectivo, en el que todos sumamos, demostrando que juntos, podemos construir la prosperidad compartida que merecemos. </w:t>
      </w:r>
    </w:p>
    <w:p w14:paraId="4966587C" w14:textId="77777777" w:rsidR="005364CA" w:rsidRPr="005364CA" w:rsidRDefault="005364CA" w:rsidP="005364CA">
      <w:pPr>
        <w:pStyle w:val="PRIMERAPLANA"/>
        <w:spacing w:line="360" w:lineRule="auto"/>
        <w:rPr>
          <w:rFonts w:ascii="Times New Roman" w:hAnsi="Times New Roman"/>
          <w:bCs/>
          <w:lang w:val="es-MX"/>
        </w:rPr>
      </w:pPr>
    </w:p>
    <w:p w14:paraId="765D72F3"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lastRenderedPageBreak/>
        <w:t>Seguiremos avanzando con la transformación, siendo fundamental continuar con la política de orientación social del gasto para priorizar por encima de las demás partidas el combate a la pobreza y la erradicación de la desigualdad, mejorando la función gubernamental haciéndola más eficiente y responsable, enfocándose al bienestar social, que debe ser el objeto esencial de un manejo económico humanista. Continuaremos con el proceso de inclusión de todos los sectores y regiones del Estado, para garantizar un progreso equitativo, para potenciar no solo el crecimiento económico.</w:t>
      </w:r>
    </w:p>
    <w:p w14:paraId="7A0FC651" w14:textId="77777777" w:rsidR="005364CA" w:rsidRPr="005364CA" w:rsidRDefault="005364CA" w:rsidP="005364CA">
      <w:pPr>
        <w:pStyle w:val="PRIMERAPLANA"/>
        <w:spacing w:line="360" w:lineRule="auto"/>
        <w:rPr>
          <w:rFonts w:ascii="Times New Roman" w:hAnsi="Times New Roman"/>
          <w:bCs/>
          <w:lang w:val="es-MX"/>
        </w:rPr>
      </w:pPr>
    </w:p>
    <w:p w14:paraId="4A37FCF3" w14:textId="0113A0A9"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Hacia los siguientes años, consideraremos nuevos esquemas de financiamiento que sean sustentables; al mismo tiempo ampliaremos las fuentes de ingreso público, con criterios de justicia y equidad, haciendo un uso más intensivo de las tecnologías de la información, así como de herramientas tecnológicas para acercar y simplificar trámites a las personas y empresas; racionalizando el gasto, para atender los planes estratégicos en materia de seguridad, salud, bienestar social y crecimiento económico; fortaleceremos la rendición de cuentas responsable y transparente de las finanzas públicas, para </w:t>
      </w:r>
      <w:r w:rsidR="00A37D81">
        <w:rPr>
          <w:rFonts w:ascii="Times New Roman" w:hAnsi="Times New Roman"/>
          <w:bCs/>
          <w:lang w:val="es-MX"/>
        </w:rPr>
        <w:t>incrementar</w:t>
      </w:r>
      <w:r w:rsidRPr="005364CA">
        <w:rPr>
          <w:rFonts w:ascii="Times New Roman" w:hAnsi="Times New Roman"/>
          <w:bCs/>
          <w:lang w:val="es-MX"/>
        </w:rPr>
        <w:t xml:space="preserve"> la credibilidad de los </w:t>
      </w:r>
      <w:r w:rsidR="000D44F7">
        <w:rPr>
          <w:rFonts w:ascii="Times New Roman" w:hAnsi="Times New Roman"/>
          <w:bCs/>
          <w:lang w:val="es-MX"/>
        </w:rPr>
        <w:t>t</w:t>
      </w:r>
      <w:r w:rsidRPr="005364CA">
        <w:rPr>
          <w:rFonts w:ascii="Times New Roman" w:hAnsi="Times New Roman"/>
          <w:bCs/>
          <w:lang w:val="es-MX"/>
        </w:rPr>
        <w:t>laxcaltecas en sus gobernantes, ya que son compromisos con el bienestar de la ciudadanía.</w:t>
      </w:r>
    </w:p>
    <w:p w14:paraId="60EFC2ED" w14:textId="77777777" w:rsidR="005364CA" w:rsidRPr="005364CA" w:rsidRDefault="005364CA" w:rsidP="005364CA">
      <w:pPr>
        <w:pStyle w:val="PRIMERAPLANA"/>
        <w:spacing w:line="360" w:lineRule="auto"/>
        <w:rPr>
          <w:rFonts w:ascii="Times New Roman" w:hAnsi="Times New Roman"/>
          <w:bCs/>
          <w:lang w:val="es-MX"/>
        </w:rPr>
      </w:pPr>
    </w:p>
    <w:p w14:paraId="4D37DA1B" w14:textId="16838873" w:rsidR="00E030C7" w:rsidRPr="00CE2445"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El Paquete Económico del Estado de Tlaxcala, que se presenta ante ese Congreso del Estado, se elaboró tomando en consideración las proyecciones económicas previstas por la Secretaría de Hacienda y Crédito Público (SHCP), en el Documento Relativo al Cumplimiento de las Disposiciones contenidas en el artículo 42, fracción I, de la Ley Federal de Presupuesto y Responsabilidad Hacendaria (Pre-Criterios 2026), y en los Criterios Generales de Política Económica para la Iniciativa de Ley de Ingresos y el Proyecto de Presupuesto de Egresos de la Federación, correspondientes al Ejercicio Fiscal 2026, por lo que se espera que los ingresos presupuestarios observen un crecimiento moderado respecto al presupuesto aprobado en 2025, teniendo el reto de impulsar la actividad económica estatal </w:t>
      </w:r>
      <w:r w:rsidR="000D44F7">
        <w:rPr>
          <w:rFonts w:ascii="Times New Roman" w:hAnsi="Times New Roman"/>
          <w:bCs/>
          <w:lang w:val="es-MX"/>
        </w:rPr>
        <w:t>e incrementar</w:t>
      </w:r>
      <w:r w:rsidRPr="005364CA">
        <w:rPr>
          <w:rFonts w:ascii="Times New Roman" w:hAnsi="Times New Roman"/>
          <w:bCs/>
          <w:lang w:val="es-MX"/>
        </w:rPr>
        <w:t xml:space="preserve"> la gestión tributaria a través de mejoras en los sistemas recaudatorios, la ampliación de la base de contribuyentes y del aumento de la recaudación fiscal, para generar los recursos necesarios que financien el gasto público y lograr un balance presupuestario sostenible</w:t>
      </w:r>
      <w:r w:rsidR="00E030C7">
        <w:rPr>
          <w:rFonts w:ascii="Times New Roman" w:hAnsi="Times New Roman"/>
          <w:bCs/>
          <w:lang w:val="es-MX"/>
        </w:rPr>
        <w:t>.</w:t>
      </w:r>
    </w:p>
    <w:p w14:paraId="72B71133" w14:textId="77777777" w:rsidR="00E030C7" w:rsidRPr="00CE2445" w:rsidRDefault="00E030C7" w:rsidP="00E030C7">
      <w:pPr>
        <w:pStyle w:val="PRIMERAPLANA"/>
        <w:spacing w:line="360" w:lineRule="auto"/>
        <w:rPr>
          <w:rFonts w:ascii="Times New Roman" w:hAnsi="Times New Roman"/>
          <w:bCs/>
          <w:lang w:val="es-MX"/>
        </w:rPr>
      </w:pPr>
    </w:p>
    <w:p w14:paraId="741BD818" w14:textId="77777777" w:rsidR="00E030C7" w:rsidRPr="00CE2445" w:rsidRDefault="00E030C7" w:rsidP="00E030C7">
      <w:pPr>
        <w:pStyle w:val="PRIMERAPLANA"/>
        <w:numPr>
          <w:ilvl w:val="0"/>
          <w:numId w:val="13"/>
        </w:numPr>
        <w:spacing w:line="360" w:lineRule="auto"/>
        <w:ind w:left="709"/>
        <w:rPr>
          <w:rFonts w:ascii="Times New Roman" w:hAnsi="Times New Roman"/>
          <w:b/>
          <w:lang w:val="es-MX"/>
        </w:rPr>
      </w:pPr>
      <w:r w:rsidRPr="00CE2445">
        <w:rPr>
          <w:rFonts w:ascii="Times New Roman" w:hAnsi="Times New Roman"/>
          <w:b/>
          <w:lang w:val="es-MX"/>
        </w:rPr>
        <w:t>EN MATERIA DE INGRESOS</w:t>
      </w:r>
    </w:p>
    <w:p w14:paraId="120F3FF1" w14:textId="77777777" w:rsidR="005364CA" w:rsidRPr="005364CA" w:rsidRDefault="005364CA" w:rsidP="005364CA">
      <w:pPr>
        <w:pStyle w:val="PRIMERAPLANA"/>
        <w:spacing w:line="360" w:lineRule="auto"/>
        <w:rPr>
          <w:rFonts w:ascii="Times New Roman" w:hAnsi="Times New Roman"/>
          <w:bCs/>
          <w:lang w:val="es-MX"/>
        </w:rPr>
      </w:pPr>
    </w:p>
    <w:p w14:paraId="6E14CE8C"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La Ley de Ingresos del Estado de Tlaxcala, para el Ejercicio Fiscal 2026, es el instrumento jurídico que establece los ingresos que el Gobierno del Estado, recaudará por concepto de impuestos, derechos, productos, aprovechamientos, participaciones federales, incentivos económicos, aportaciones federales y otros ingresos federales transferidos; que serán destinados a cubrir los gastos públicos en las </w:t>
      </w:r>
      <w:r w:rsidRPr="005364CA">
        <w:rPr>
          <w:rFonts w:ascii="Times New Roman" w:hAnsi="Times New Roman"/>
          <w:bCs/>
          <w:lang w:val="es-MX"/>
        </w:rPr>
        <w:lastRenderedPageBreak/>
        <w:t>cantidades estimadas en la misma. Este documento presupuestario ofrece información valiosa para identificar las prioridades del gobierno, además de ser una importante herramienta de transparencia y rendición de cuentas a la ciudadanía, garantizando el respeto absoluto a los principios fundamentales de proporcionalidad, equidad y legalidad consagrados en nuestra Carta Magna.</w:t>
      </w:r>
    </w:p>
    <w:p w14:paraId="2F44D46F" w14:textId="77777777" w:rsidR="005364CA" w:rsidRPr="005364CA" w:rsidRDefault="005364CA" w:rsidP="005364CA">
      <w:pPr>
        <w:pStyle w:val="PRIMERAPLANA"/>
        <w:spacing w:line="360" w:lineRule="auto"/>
        <w:rPr>
          <w:rFonts w:ascii="Times New Roman" w:hAnsi="Times New Roman"/>
          <w:bCs/>
          <w:lang w:val="es-MX"/>
        </w:rPr>
      </w:pPr>
    </w:p>
    <w:p w14:paraId="5AFD917E" w14:textId="26B0EF34" w:rsidR="00E030C7" w:rsidRPr="00CE2445"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La iniciativa de Ley de Ingresos del Estado de Tlaxcala, para el Ejercicio Fiscal 2026, que se somete a la consideración de ese Congreso, es una propuesta objetiva y responsable que prevé la reorientación de los ingresos públicos hacia la atención de las necesidades más apremiantes de la sociedad tlaxcalteca, procurando aminorar los efectos desequilibrantes que produce la dependencia que se tiene de las participaciones federales, que por su propia naturaleza son variables y más aún en un entorno económico global</w:t>
      </w:r>
      <w:r w:rsidR="000D44F7">
        <w:rPr>
          <w:rFonts w:ascii="Times New Roman" w:hAnsi="Times New Roman"/>
          <w:bCs/>
          <w:lang w:val="es-MX"/>
        </w:rPr>
        <w:t>,</w:t>
      </w:r>
      <w:r w:rsidRPr="005364CA">
        <w:rPr>
          <w:rFonts w:ascii="Times New Roman" w:hAnsi="Times New Roman"/>
          <w:bCs/>
          <w:lang w:val="es-MX"/>
        </w:rPr>
        <w:t xml:space="preserve"> que si bien se ha tornado cambiante</w:t>
      </w:r>
      <w:r w:rsidR="000D44F7">
        <w:rPr>
          <w:rFonts w:ascii="Times New Roman" w:hAnsi="Times New Roman"/>
          <w:bCs/>
          <w:lang w:val="es-MX"/>
        </w:rPr>
        <w:t>,</w:t>
      </w:r>
      <w:r w:rsidRPr="005364CA">
        <w:rPr>
          <w:rFonts w:ascii="Times New Roman" w:hAnsi="Times New Roman"/>
          <w:bCs/>
          <w:lang w:val="es-MX"/>
        </w:rPr>
        <w:t xml:space="preserve"> ha dado signos de relativa estabilidad; sin embargo, no está exento de choques que puedan tornarlo incierto</w:t>
      </w:r>
      <w:r w:rsidR="00E030C7" w:rsidRPr="00CE2445">
        <w:rPr>
          <w:rFonts w:ascii="Times New Roman" w:hAnsi="Times New Roman"/>
          <w:bCs/>
          <w:lang w:val="es-MX"/>
        </w:rPr>
        <w:t>.</w:t>
      </w:r>
    </w:p>
    <w:p w14:paraId="4CC36444" w14:textId="77777777" w:rsidR="00E030C7" w:rsidRPr="00CE2445" w:rsidRDefault="00E030C7" w:rsidP="00E030C7">
      <w:pPr>
        <w:pStyle w:val="PRIMERAPLANA"/>
        <w:spacing w:line="360" w:lineRule="auto"/>
        <w:rPr>
          <w:rFonts w:ascii="Times New Roman" w:hAnsi="Times New Roman"/>
          <w:bCs/>
          <w:lang w:val="es-MX"/>
        </w:rPr>
      </w:pPr>
    </w:p>
    <w:p w14:paraId="7EEA6834" w14:textId="77777777" w:rsidR="00E030C7" w:rsidRPr="00CE2445" w:rsidRDefault="00E030C7" w:rsidP="00E030C7">
      <w:pPr>
        <w:pStyle w:val="PRIMERAPLANA"/>
        <w:numPr>
          <w:ilvl w:val="0"/>
          <w:numId w:val="16"/>
        </w:numPr>
        <w:spacing w:line="360" w:lineRule="auto"/>
        <w:ind w:left="426" w:hanging="426"/>
        <w:rPr>
          <w:rFonts w:ascii="Times New Roman" w:hAnsi="Times New Roman"/>
          <w:b/>
          <w:lang w:val="es-MX"/>
        </w:rPr>
      </w:pPr>
      <w:r w:rsidRPr="00CE2445">
        <w:rPr>
          <w:rFonts w:ascii="Times New Roman" w:hAnsi="Times New Roman"/>
          <w:b/>
          <w:lang w:val="es-MX"/>
        </w:rPr>
        <w:t>ENTORNO ECONÓMICO INTERNACIONAL</w:t>
      </w:r>
    </w:p>
    <w:p w14:paraId="01AC9B7D" w14:textId="77777777" w:rsidR="00E030C7" w:rsidRPr="00CE2445" w:rsidRDefault="00E030C7" w:rsidP="00E030C7">
      <w:pPr>
        <w:pStyle w:val="PRIMERAPLANA"/>
        <w:spacing w:line="360" w:lineRule="auto"/>
        <w:rPr>
          <w:rFonts w:ascii="Times New Roman" w:hAnsi="Times New Roman"/>
          <w:b/>
          <w:lang w:val="es-MX"/>
        </w:rPr>
      </w:pPr>
    </w:p>
    <w:p w14:paraId="472519BE" w14:textId="6E330329"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Durante el primer semestre de 2025, la economía global mostró una moderación en su ritmo de crecimiento, en un entorno caracterizado por elevada incertidumbre, tensiones comerciales y conflictos geopolíticos. En </w:t>
      </w:r>
      <w:r w:rsidR="00AF69B0">
        <w:rPr>
          <w:rFonts w:ascii="Times New Roman" w:hAnsi="Times New Roman"/>
          <w:bCs/>
          <w:lang w:val="es-MX"/>
        </w:rPr>
        <w:t>Estados Unidos de Norteamérica (</w:t>
      </w:r>
      <w:r w:rsidRPr="005364CA">
        <w:rPr>
          <w:rFonts w:ascii="Times New Roman" w:hAnsi="Times New Roman"/>
          <w:bCs/>
          <w:lang w:val="es-MX"/>
        </w:rPr>
        <w:t>EE.UU.</w:t>
      </w:r>
      <w:r w:rsidR="00AF69B0">
        <w:rPr>
          <w:rFonts w:ascii="Times New Roman" w:hAnsi="Times New Roman"/>
          <w:bCs/>
          <w:lang w:val="es-MX"/>
        </w:rPr>
        <w:t>)</w:t>
      </w:r>
      <w:r w:rsidRPr="005364CA">
        <w:rPr>
          <w:rFonts w:ascii="Times New Roman" w:hAnsi="Times New Roman"/>
          <w:bCs/>
          <w:lang w:val="es-MX"/>
        </w:rPr>
        <w:t>, el crecimiento anual del PIB se desaceleró a 2.0%, desde el 2.6% observado en la segunda mitad de 2024, como resultado de una menor demanda interna, en parte explicada por la mayor cautela en hogares y empresas frente a la implementación de nuevas medidas arancelarias. En la zona euro, la actividad económica permaneció débil, reflejando una baja demanda interna. Por su parte, China registró un crecimiento moderado, pero resiliente, apoyado en un repunte de las exportaciones netas, así como una política fiscal expansiva y monetaria acomodaticia.</w:t>
      </w:r>
    </w:p>
    <w:p w14:paraId="755969E2" w14:textId="77777777" w:rsidR="005364CA" w:rsidRPr="005364CA" w:rsidRDefault="005364CA" w:rsidP="005364CA">
      <w:pPr>
        <w:pStyle w:val="PRIMERAPLANA"/>
        <w:spacing w:line="360" w:lineRule="auto"/>
        <w:rPr>
          <w:rFonts w:ascii="Times New Roman" w:hAnsi="Times New Roman"/>
          <w:bCs/>
          <w:lang w:val="es-MX"/>
        </w:rPr>
      </w:pPr>
    </w:p>
    <w:p w14:paraId="023FF778"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En los mercados internacionales, los precios de las materias primas experimentaron episodios de volatilidad, en particular los precios de energéticos. El precio del crudo mantuvo una trayectoria descendente, ante la percepción de una demanda global más débil y una mayor oferta por parte de la Organización de Países Exportadores de Petróleo y sus aliados (OPEP+), a pesar del conflicto armado entre Israel e Irán ocurrido en junio que presionó los precios al alza. En contraste, los precios del acero, aluminio y oro aumentaron, reflejando la intensificación de las tensiones comerciales y geopolíticas.</w:t>
      </w:r>
    </w:p>
    <w:p w14:paraId="6B056D84" w14:textId="77777777" w:rsidR="005364CA" w:rsidRPr="005364CA" w:rsidRDefault="005364CA" w:rsidP="005364CA">
      <w:pPr>
        <w:pStyle w:val="PRIMERAPLANA"/>
        <w:spacing w:line="360" w:lineRule="auto"/>
        <w:rPr>
          <w:rFonts w:ascii="Times New Roman" w:hAnsi="Times New Roman"/>
          <w:bCs/>
          <w:lang w:val="es-MX"/>
        </w:rPr>
      </w:pPr>
    </w:p>
    <w:p w14:paraId="4A474044"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En el ámbito monetario, la mayoría de los bancos centrales continuó con un proceso gradual de relajamiento, en un entorno de menores presiones inflacionarias pero alta incertidumbre. En EE.UU., </w:t>
      </w:r>
      <w:r w:rsidRPr="005364CA">
        <w:rPr>
          <w:rFonts w:ascii="Times New Roman" w:hAnsi="Times New Roman"/>
          <w:bCs/>
          <w:lang w:val="es-MX"/>
        </w:rPr>
        <w:lastRenderedPageBreak/>
        <w:t>la Reserva Federal (FED) mantuvo sin cambios el rango objetivo para la tasa de fondos federales en 4.2% a 4.50%, a la espera de mayor claridad sobre los efectos de los aranceles en la actividad económica y la inflación.</w:t>
      </w:r>
    </w:p>
    <w:p w14:paraId="2A793D0F" w14:textId="77777777" w:rsidR="005364CA" w:rsidRPr="005364CA" w:rsidRDefault="005364CA" w:rsidP="005364CA">
      <w:pPr>
        <w:pStyle w:val="PRIMERAPLANA"/>
        <w:spacing w:line="360" w:lineRule="auto"/>
        <w:rPr>
          <w:rFonts w:ascii="Times New Roman" w:hAnsi="Times New Roman"/>
          <w:bCs/>
          <w:lang w:val="es-MX"/>
        </w:rPr>
      </w:pPr>
    </w:p>
    <w:p w14:paraId="08281F73"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La inflación global continuó su trayectoria descendente en 2025, aunque con heterogeneidad entre países. En la zona euro, la inflación general anual disminuyó de 2.5% a 2.0% entre enero y julio, en línea con el objetivo del Banco Central Europeo (BCE), resultado de una mayor deflación en energéticos y de una disminución en la inflación subyacente, que pasó de 2.7% a 2.3%. Por su parte, China registró deflación persistente por debilidad en la demanda interna, con caídas en los precios de alimentos, comunicación y transporte.</w:t>
      </w:r>
    </w:p>
    <w:p w14:paraId="064B3EB2" w14:textId="77777777" w:rsidR="005364CA" w:rsidRPr="005364CA" w:rsidRDefault="005364CA" w:rsidP="005364CA">
      <w:pPr>
        <w:pStyle w:val="PRIMERAPLANA"/>
        <w:spacing w:line="360" w:lineRule="auto"/>
        <w:rPr>
          <w:rFonts w:ascii="Times New Roman" w:hAnsi="Times New Roman"/>
          <w:bCs/>
          <w:lang w:val="es-MX"/>
        </w:rPr>
      </w:pPr>
    </w:p>
    <w:p w14:paraId="0FB0E3D2" w14:textId="3E2F2CD9"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Se prevé que el crecimiento global se moderará en la segunda mitad del año, aunque con mayor resiliencia que la estimada en abril. Este desempeño estaría sustentado por el avance en negociaciones comerciales con EE.UU., una mejora gradual del comercio de bienes y servicios, un arancel efectivo promedio menor al inicialmente anticipado y condiciones financieras más favorables. Las proyecciones recientes reflejan revisiones al alza para EE.UU., la zona euro y China por parte del Fondo Monetario Internacional (FMI) en su actualización de julio, mientras que la </w:t>
      </w:r>
      <w:r w:rsidR="000D44F7">
        <w:rPr>
          <w:rFonts w:ascii="Times New Roman" w:hAnsi="Times New Roman"/>
          <w:bCs/>
          <w:lang w:val="es-MX"/>
        </w:rPr>
        <w:t>Organización Mundial de Comercio (</w:t>
      </w:r>
      <w:r w:rsidRPr="005364CA">
        <w:rPr>
          <w:rFonts w:ascii="Times New Roman" w:hAnsi="Times New Roman"/>
          <w:bCs/>
          <w:lang w:val="es-MX"/>
        </w:rPr>
        <w:t>OMC</w:t>
      </w:r>
      <w:r w:rsidR="000D44F7">
        <w:rPr>
          <w:rFonts w:ascii="Times New Roman" w:hAnsi="Times New Roman"/>
          <w:bCs/>
          <w:lang w:val="es-MX"/>
        </w:rPr>
        <w:t>)</w:t>
      </w:r>
      <w:r w:rsidRPr="005364CA">
        <w:rPr>
          <w:rFonts w:ascii="Times New Roman" w:hAnsi="Times New Roman"/>
          <w:bCs/>
          <w:lang w:val="es-MX"/>
        </w:rPr>
        <w:t xml:space="preserve"> ajustó las perspectivas de comercio mundial para 2025 a una expansión de 0.9% anual, desde una contracción de 0.2% prevista en abril, en un contexto de normalización parcial de cadenas de suministro, costos de flete más bajos que en 2024 y cierta estabilización de los tiempos de entrega. </w:t>
      </w:r>
    </w:p>
    <w:p w14:paraId="1020A8C3" w14:textId="77777777" w:rsidR="005364CA" w:rsidRPr="005364CA" w:rsidRDefault="005364CA" w:rsidP="005364CA">
      <w:pPr>
        <w:pStyle w:val="PRIMERAPLANA"/>
        <w:spacing w:line="360" w:lineRule="auto"/>
        <w:rPr>
          <w:rFonts w:ascii="Times New Roman" w:hAnsi="Times New Roman"/>
          <w:bCs/>
          <w:lang w:val="es-MX"/>
        </w:rPr>
      </w:pPr>
    </w:p>
    <w:p w14:paraId="4FF70087"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El sesgo de crecimiento sigue siendo heterogéneo entre regiones y sectores. Las economías avanzadas muestran mayor tracción en servicios, particularmente tecnología y servicios financieros, con manufacturas recuperándose gradualmente por reabastecimiento de inventarios y menores costos de transporte, aunque aún afectadas por la incertidumbre arancelaria. En economías emergentes, Asia, excluyendo China, lideró el comercio en electrónica y maquinaria, mientras que América Latina moderó su crecimiento por condiciones financieras todavía restrictivas y menor impulso de precios de materias primas. Europa emergente, por su parte, enfrenta un arrastre por la debilidad de su demanda externa. Pese a todo, la inversión global se apoya en tendencias estructurales de relocalización, digitalización y transición energética, pero su materialización sería desigual por brechas de infraestructura, costos de capital y claridad regulatoria.</w:t>
      </w:r>
    </w:p>
    <w:p w14:paraId="51DC2404" w14:textId="77777777" w:rsidR="005364CA" w:rsidRPr="005364CA" w:rsidRDefault="005364CA" w:rsidP="005364CA">
      <w:pPr>
        <w:pStyle w:val="PRIMERAPLANA"/>
        <w:spacing w:line="360" w:lineRule="auto"/>
        <w:rPr>
          <w:rFonts w:ascii="Times New Roman" w:hAnsi="Times New Roman"/>
          <w:bCs/>
          <w:lang w:val="es-MX"/>
        </w:rPr>
      </w:pPr>
    </w:p>
    <w:p w14:paraId="4CB2B724" w14:textId="055E99A7" w:rsidR="00E030C7" w:rsidRPr="00CE2445"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La política arancelaria implicará efectos heterogéneos y potencialmente más persistentes en EE.UU. y en economías con medidas contrarias, vía mayores costos de importación, revisión de contratos y </w:t>
      </w:r>
      <w:r w:rsidRPr="005364CA">
        <w:rPr>
          <w:rFonts w:ascii="Times New Roman" w:hAnsi="Times New Roman"/>
          <w:bCs/>
          <w:lang w:val="es-MX"/>
        </w:rPr>
        <w:lastRenderedPageBreak/>
        <w:t>menor competencia; el traslado a precios podría ser más rápido en bienes transables y más lento en servicios. Además, se añaden los riesgos al alza por tensiones geopolíticas en Europa y Medio Oriente y por eventos climáticos que podrían afectar cosechas y logística, mientras que a la baja destacan una desaceleración más marcada de China o una corrección de activos de riesgo que endurezcan de forma abrupta las condiciones financieras</w:t>
      </w:r>
      <w:r w:rsidR="00E030C7" w:rsidRPr="00CE2445">
        <w:rPr>
          <w:rFonts w:ascii="Times New Roman" w:hAnsi="Times New Roman"/>
          <w:bCs/>
          <w:lang w:val="es-MX"/>
        </w:rPr>
        <w:t>.</w:t>
      </w:r>
    </w:p>
    <w:p w14:paraId="7F28CDEB" w14:textId="77777777" w:rsidR="00E030C7" w:rsidRPr="00CE2445" w:rsidRDefault="00E030C7" w:rsidP="00E030C7">
      <w:pPr>
        <w:pStyle w:val="PRIMERAPLANA"/>
        <w:spacing w:line="360" w:lineRule="auto"/>
        <w:rPr>
          <w:rFonts w:ascii="Times New Roman" w:hAnsi="Times New Roman"/>
          <w:bCs/>
          <w:lang w:val="es-MX"/>
        </w:rPr>
      </w:pPr>
    </w:p>
    <w:p w14:paraId="5B70BB83" w14:textId="77777777" w:rsidR="00E030C7" w:rsidRPr="00CE2445" w:rsidRDefault="00E030C7" w:rsidP="00E030C7">
      <w:pPr>
        <w:pStyle w:val="PRIMERAPLANA"/>
        <w:numPr>
          <w:ilvl w:val="0"/>
          <w:numId w:val="16"/>
        </w:numPr>
        <w:spacing w:line="360" w:lineRule="auto"/>
        <w:ind w:left="426" w:hanging="426"/>
        <w:rPr>
          <w:rFonts w:ascii="Times New Roman" w:hAnsi="Times New Roman"/>
          <w:b/>
          <w:lang w:val="es-MX"/>
        </w:rPr>
      </w:pPr>
      <w:r w:rsidRPr="00CE2445">
        <w:rPr>
          <w:rFonts w:ascii="Times New Roman" w:hAnsi="Times New Roman"/>
          <w:b/>
          <w:lang w:val="es-MX"/>
        </w:rPr>
        <w:t>ENTORNO ECONÓMICO NACIONAL</w:t>
      </w:r>
    </w:p>
    <w:p w14:paraId="0ED67645" w14:textId="77777777" w:rsidR="00E030C7" w:rsidRPr="00CE2445" w:rsidRDefault="00E030C7" w:rsidP="00E030C7">
      <w:pPr>
        <w:pStyle w:val="PRIMERAPLANA"/>
        <w:spacing w:line="360" w:lineRule="auto"/>
        <w:rPr>
          <w:rFonts w:ascii="Times New Roman" w:hAnsi="Times New Roman"/>
          <w:bCs/>
          <w:lang w:val="es-MX"/>
        </w:rPr>
      </w:pPr>
    </w:p>
    <w:p w14:paraId="38A812FD"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En 2025, la economía mexicana continuó con un desempeño positivo, pese a la incertidumbre sobre la política comercial a nivel global. Durante el primer semestre, la actividad económica creció 0.3% respecto al semestre previo y acumuló un crecimiento de 0.9% en el primer semestre, con cifras ajustadas por estacionalidad. En ambos trimestres, el desempeño económico superó las expectativas de los analistas y, en el segundo, registró un crecimiento superior al promedio de 2011 a 2019.</w:t>
      </w:r>
    </w:p>
    <w:p w14:paraId="22ED4CA1" w14:textId="77777777" w:rsidR="005364CA" w:rsidRPr="005364CA" w:rsidRDefault="005364CA" w:rsidP="005364CA">
      <w:pPr>
        <w:pStyle w:val="PRIMERAPLANA"/>
        <w:spacing w:line="360" w:lineRule="auto"/>
        <w:rPr>
          <w:rFonts w:ascii="Times New Roman" w:hAnsi="Times New Roman"/>
          <w:bCs/>
          <w:lang w:val="es-MX"/>
        </w:rPr>
      </w:pPr>
    </w:p>
    <w:p w14:paraId="04A1725E"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Para el segundo semestre de 2025, se prevé que la actividad económica mantendrá un desempeño positivo, apoyada en la recuperación gradual de la demanda interna y la resiliencia de la demanda externa. El consumo retomará su dinamismo gracias al crecimiento sostenido del ingreso laboral y el ahorro doméstico, así como a la generación de empleo y la continuidad de programas sociales. Hacia finales de año se anticipa una reactivación de la inversión nacional, favorecida por un entorno global con mayor certidumbre, lo que beneficiará a los sectores más expuestos a cambios en la política comercial internacional. Las exportaciones contarán con el respaldo de la posición favorable de México frente a otros competidores comerciales y la mejora en las perspectivas de crecimiento de EE.UU.</w:t>
      </w:r>
    </w:p>
    <w:p w14:paraId="40AD2444" w14:textId="77777777" w:rsidR="005364CA" w:rsidRPr="005364CA" w:rsidRDefault="005364CA" w:rsidP="005364CA">
      <w:pPr>
        <w:pStyle w:val="PRIMERAPLANA"/>
        <w:spacing w:line="360" w:lineRule="auto"/>
        <w:rPr>
          <w:rFonts w:ascii="Times New Roman" w:hAnsi="Times New Roman"/>
          <w:bCs/>
          <w:lang w:val="es-MX"/>
        </w:rPr>
      </w:pPr>
    </w:p>
    <w:p w14:paraId="4D550D4F"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En el primer semestre de 2025, la cuenta corriente de la balanza de pagos registró un déficit de 11 </w:t>
      </w:r>
      <w:proofErr w:type="spellStart"/>
      <w:r w:rsidRPr="005364CA">
        <w:rPr>
          <w:rFonts w:ascii="Times New Roman" w:hAnsi="Times New Roman"/>
          <w:bCs/>
          <w:lang w:val="es-MX"/>
        </w:rPr>
        <w:t>mmd</w:t>
      </w:r>
      <w:proofErr w:type="spellEnd"/>
      <w:r w:rsidRPr="005364CA">
        <w:rPr>
          <w:rFonts w:ascii="Times New Roman" w:hAnsi="Times New Roman"/>
          <w:bCs/>
          <w:lang w:val="es-MX"/>
        </w:rPr>
        <w:t>, equivalente al 1.2% del PIB, lo que representó una reducción frente al déficit del mismo periodo de 2024. Este comportamiento obedeció a la conversión a un superávit en la balanza de bienes y servicios, explicado por un fuerte dinamismo en el superávit de la balanza no petrolera y un menor déficit en la balanza del ingreso primario. Estos elementos compensaron un mayor déficit en la balanza petrolera y un menor superávit en el ingreso secundario, resultado de una moderación en el flujo de las remesas.</w:t>
      </w:r>
    </w:p>
    <w:p w14:paraId="52EC69E9" w14:textId="77777777" w:rsidR="005364CA" w:rsidRPr="005364CA" w:rsidRDefault="005364CA" w:rsidP="005364CA">
      <w:pPr>
        <w:pStyle w:val="PRIMERAPLANA"/>
        <w:spacing w:line="360" w:lineRule="auto"/>
        <w:rPr>
          <w:rFonts w:ascii="Times New Roman" w:hAnsi="Times New Roman"/>
          <w:bCs/>
          <w:lang w:val="es-MX"/>
        </w:rPr>
      </w:pPr>
    </w:p>
    <w:p w14:paraId="52A80428" w14:textId="7DAA298C"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Derivado de la evolución reciente y las perspectivas sectoriales, se estima que en 2025 el crecimiento de la economía mexicana se ubique en un rango de entre 0.5% y 1.5% real anual. Esta estimación refleja la resiliencia del mercado interno, el dinamismo del sector externo y el fortalecimiento de la </w:t>
      </w:r>
      <w:r w:rsidRPr="005364CA">
        <w:rPr>
          <w:rFonts w:ascii="Times New Roman" w:hAnsi="Times New Roman"/>
          <w:bCs/>
          <w:lang w:val="es-MX"/>
        </w:rPr>
        <w:lastRenderedPageBreak/>
        <w:t xml:space="preserve">inversión hacia la segunda mitad del año. En materia de precios, se prevé que la inflación general mantendrá su tendencia descendente y cierre el año en 3.8% anual, aunque con presiones transitorias derivadas de la disipación del efecto base en frutas y verduras. Esta proyección implica un incremento de 0.3% respecto a lo anticipado en el Paquete Económico 2025. En línea con ello, se anticipa que la tasa de interés de referencia del Banco de México cierre en 7.25%, 75 </w:t>
      </w:r>
      <w:r w:rsidR="00AF69B0">
        <w:rPr>
          <w:rFonts w:ascii="Times New Roman" w:hAnsi="Times New Roman"/>
          <w:bCs/>
          <w:lang w:val="es-MX"/>
        </w:rPr>
        <w:t>puntos base (</w:t>
      </w:r>
      <w:r w:rsidRPr="005364CA">
        <w:rPr>
          <w:rFonts w:ascii="Times New Roman" w:hAnsi="Times New Roman"/>
          <w:bCs/>
          <w:lang w:val="es-MX"/>
        </w:rPr>
        <w:t>pb</w:t>
      </w:r>
      <w:r w:rsidR="00AF69B0">
        <w:rPr>
          <w:rFonts w:ascii="Times New Roman" w:hAnsi="Times New Roman"/>
          <w:bCs/>
          <w:lang w:val="es-MX"/>
        </w:rPr>
        <w:t>)</w:t>
      </w:r>
      <w:r w:rsidRPr="005364CA">
        <w:rPr>
          <w:rFonts w:ascii="Times New Roman" w:hAnsi="Times New Roman"/>
          <w:bCs/>
          <w:lang w:val="es-MX"/>
        </w:rPr>
        <w:t xml:space="preserve"> por debajo de lo previsto originalmente. Se estima que el tipo de cambio cierre el año en 19.9 pesos por dólar, mayor al estimado en el Paquete Económico de 18.5 pesos por dólar, debido principalmente a la incertidumbre en materia comercial. </w:t>
      </w:r>
    </w:p>
    <w:p w14:paraId="12B45DAF" w14:textId="77777777" w:rsidR="005364CA" w:rsidRPr="005364CA" w:rsidRDefault="005364CA" w:rsidP="005364CA">
      <w:pPr>
        <w:pStyle w:val="PRIMERAPLANA"/>
        <w:spacing w:line="360" w:lineRule="auto"/>
        <w:rPr>
          <w:rFonts w:ascii="Times New Roman" w:hAnsi="Times New Roman"/>
          <w:bCs/>
          <w:lang w:val="es-MX"/>
        </w:rPr>
      </w:pPr>
    </w:p>
    <w:p w14:paraId="2C7AAC50" w14:textId="549BE3DD"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No obstante, factores como un crecimiento más sólido de EE.UU., mayores rendimientos de los bonos del Tesoro o un aumento en la aversión global al riesgo podrían ejercer presiones adicionales. En la balanza de pagos, se proyecta un déficit de cuenta corriente de 0.3% del PIB, inferior al previsto originalmente, explicado por una mejora en la balanza de servicios y un mayor superávit en la balanza no petrolera, lo cual compensará la ampliación del déficit petrolero y la moderación en el ingreso secundario. En cuanto al mercado petrolero, se estima un precio promedio para la </w:t>
      </w:r>
      <w:r w:rsidR="00AF69B0">
        <w:rPr>
          <w:rFonts w:ascii="Times New Roman" w:hAnsi="Times New Roman"/>
          <w:bCs/>
          <w:lang w:val="es-MX"/>
        </w:rPr>
        <w:t>Mezcla Mexicana de Exportación (</w:t>
      </w:r>
      <w:r w:rsidRPr="005364CA">
        <w:rPr>
          <w:rFonts w:ascii="Times New Roman" w:hAnsi="Times New Roman"/>
          <w:bCs/>
          <w:lang w:val="es-MX"/>
        </w:rPr>
        <w:t>MME</w:t>
      </w:r>
      <w:r w:rsidR="00AF69B0">
        <w:rPr>
          <w:rFonts w:ascii="Times New Roman" w:hAnsi="Times New Roman"/>
          <w:bCs/>
          <w:lang w:val="es-MX"/>
        </w:rPr>
        <w:t>)</w:t>
      </w:r>
      <w:r w:rsidRPr="005364CA">
        <w:rPr>
          <w:rFonts w:ascii="Times New Roman" w:hAnsi="Times New Roman"/>
          <w:bCs/>
          <w:lang w:val="es-MX"/>
        </w:rPr>
        <w:t xml:space="preserve"> de 62.0 </w:t>
      </w:r>
      <w:r w:rsidR="00AF69B0">
        <w:rPr>
          <w:rFonts w:ascii="Times New Roman" w:hAnsi="Times New Roman"/>
          <w:bCs/>
          <w:lang w:val="es-MX"/>
        </w:rPr>
        <w:t>dólares por barril (</w:t>
      </w:r>
      <w:r w:rsidRPr="005364CA">
        <w:rPr>
          <w:rFonts w:ascii="Times New Roman" w:hAnsi="Times New Roman"/>
          <w:bCs/>
          <w:lang w:val="es-MX"/>
        </w:rPr>
        <w:t>dpb</w:t>
      </w:r>
      <w:r w:rsidR="00AF69B0">
        <w:rPr>
          <w:rFonts w:ascii="Times New Roman" w:hAnsi="Times New Roman"/>
          <w:bCs/>
          <w:lang w:val="es-MX"/>
        </w:rPr>
        <w:t>)</w:t>
      </w:r>
      <w:r w:rsidRPr="005364CA">
        <w:rPr>
          <w:rFonts w:ascii="Times New Roman" w:hAnsi="Times New Roman"/>
          <w:bCs/>
          <w:lang w:val="es-MX"/>
        </w:rPr>
        <w:t>, en línea con los mercados de futuros y la evolución reciente de los precios internacionales. La expectativa es que el precio se mantenga estable ante la combinación de una mayor producción global, particularmente por la OPEP+ y una demanda sujeta a riesgos geopolíticos y comerciales. Se prevé un aumento en la oferta global de petróleo de 2.0 millones de barriles diarios (</w:t>
      </w:r>
      <w:proofErr w:type="spellStart"/>
      <w:r w:rsidRPr="005364CA">
        <w:rPr>
          <w:rFonts w:ascii="Times New Roman" w:hAnsi="Times New Roman"/>
          <w:bCs/>
          <w:lang w:val="es-MX"/>
        </w:rPr>
        <w:t>Mbd</w:t>
      </w:r>
      <w:proofErr w:type="spellEnd"/>
      <w:r w:rsidRPr="005364CA">
        <w:rPr>
          <w:rFonts w:ascii="Times New Roman" w:hAnsi="Times New Roman"/>
          <w:bCs/>
          <w:lang w:val="es-MX"/>
        </w:rPr>
        <w:t xml:space="preserve">) en el segundo semestre, aunque persisten riesgos por conflictos en Medio Oriente y sanciones a Rusia. En México, la producción petrolera continuará alineándose paulatinamente al objetivo de 1.8 </w:t>
      </w:r>
      <w:proofErr w:type="spellStart"/>
      <w:r w:rsidRPr="005364CA">
        <w:rPr>
          <w:rFonts w:ascii="Times New Roman" w:hAnsi="Times New Roman"/>
          <w:bCs/>
          <w:lang w:val="es-MX"/>
        </w:rPr>
        <w:t>Mbd</w:t>
      </w:r>
      <w:proofErr w:type="spellEnd"/>
      <w:r w:rsidRPr="005364CA">
        <w:rPr>
          <w:rFonts w:ascii="Times New Roman" w:hAnsi="Times New Roman"/>
          <w:bCs/>
          <w:lang w:val="es-MX"/>
        </w:rPr>
        <w:t>, respaldada por el Plan Estratégico 2025–2035 de Pemex.</w:t>
      </w:r>
    </w:p>
    <w:p w14:paraId="79313334" w14:textId="77777777" w:rsidR="005364CA" w:rsidRPr="005364CA" w:rsidRDefault="005364CA" w:rsidP="005364CA">
      <w:pPr>
        <w:pStyle w:val="PRIMERAPLANA"/>
        <w:spacing w:line="360" w:lineRule="auto"/>
        <w:rPr>
          <w:rFonts w:ascii="Times New Roman" w:hAnsi="Times New Roman"/>
          <w:bCs/>
          <w:lang w:val="es-MX"/>
        </w:rPr>
      </w:pPr>
    </w:p>
    <w:p w14:paraId="6F86504B"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Se estima que los ingresos presupuestarios ascenderán a 21.9% del PIB al cierre del año, nivel por encima del promedio histórico (1990-2024) en 1.7% del PIB. Este resultado refleja principalmente la evolución favorable de la recaudación tributaria, que alcanzará por primera vez 14.8% del PIB sin que haya mediado una reforma fiscal. Además, los ingresos tributarios aumentarán 3.5% real anual, lo que implicará recursos adicionales por 41.3 mil millones de pesos (</w:t>
      </w:r>
      <w:proofErr w:type="spellStart"/>
      <w:r w:rsidRPr="005364CA">
        <w:rPr>
          <w:rFonts w:ascii="Times New Roman" w:hAnsi="Times New Roman"/>
          <w:bCs/>
          <w:lang w:val="es-MX"/>
        </w:rPr>
        <w:t>mmp</w:t>
      </w:r>
      <w:proofErr w:type="spellEnd"/>
      <w:r w:rsidRPr="005364CA">
        <w:rPr>
          <w:rFonts w:ascii="Times New Roman" w:hAnsi="Times New Roman"/>
          <w:bCs/>
          <w:lang w:val="es-MX"/>
        </w:rPr>
        <w:t>) respecto al programa y permitirá incrementar las participaciones a entidades federativas y municipios en línea con el fortalecimiento de la recaudación federal participable.</w:t>
      </w:r>
    </w:p>
    <w:p w14:paraId="0EC33793" w14:textId="77777777" w:rsidR="005364CA" w:rsidRPr="005364CA" w:rsidRDefault="005364CA" w:rsidP="005364CA">
      <w:pPr>
        <w:pStyle w:val="PRIMERAPLANA"/>
        <w:spacing w:line="360" w:lineRule="auto"/>
        <w:rPr>
          <w:rFonts w:ascii="Times New Roman" w:hAnsi="Times New Roman"/>
          <w:bCs/>
          <w:lang w:val="es-MX"/>
        </w:rPr>
      </w:pPr>
    </w:p>
    <w:p w14:paraId="7237AC49"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Por otra parte, los ingresos no tributarios del Gobierno Federal ascenderán a 1.1% del PIB, lo que equivale a 16.8 </w:t>
      </w:r>
      <w:proofErr w:type="spellStart"/>
      <w:r w:rsidRPr="005364CA">
        <w:rPr>
          <w:rFonts w:ascii="Times New Roman" w:hAnsi="Times New Roman"/>
          <w:bCs/>
          <w:lang w:val="es-MX"/>
        </w:rPr>
        <w:t>mmp</w:t>
      </w:r>
      <w:proofErr w:type="spellEnd"/>
      <w:r w:rsidRPr="005364CA">
        <w:rPr>
          <w:rFonts w:ascii="Times New Roman" w:hAnsi="Times New Roman"/>
          <w:bCs/>
          <w:lang w:val="es-MX"/>
        </w:rPr>
        <w:t xml:space="preserve"> adicionales a lo presupuestado, recursos que se asignarán de acuerdo con la norma presupuestaria. En contraste, los ingresos petroleros se ubicarán en 2.7% del PIB al cierre del año, 0.1% </w:t>
      </w:r>
      <w:r w:rsidRPr="005364CA">
        <w:rPr>
          <w:rFonts w:ascii="Times New Roman" w:hAnsi="Times New Roman"/>
          <w:bCs/>
          <w:lang w:val="es-MX"/>
        </w:rPr>
        <w:lastRenderedPageBreak/>
        <w:t xml:space="preserve">menos que en 2024 y 175.2 </w:t>
      </w:r>
      <w:proofErr w:type="spellStart"/>
      <w:r w:rsidRPr="005364CA">
        <w:rPr>
          <w:rFonts w:ascii="Times New Roman" w:hAnsi="Times New Roman"/>
          <w:bCs/>
          <w:lang w:val="es-MX"/>
        </w:rPr>
        <w:t>mmp</w:t>
      </w:r>
      <w:proofErr w:type="spellEnd"/>
      <w:r w:rsidRPr="005364CA">
        <w:rPr>
          <w:rFonts w:ascii="Times New Roman" w:hAnsi="Times New Roman"/>
          <w:bCs/>
          <w:lang w:val="es-MX"/>
        </w:rPr>
        <w:t xml:space="preserve"> por debajo de lo programado, debido a una menor producción de hidrocarburos que fue compensada parcialmente por un mayor precio del petróleo. Por su parte, los ingresos de CFE, IMSS e ISSSTE sumarán 1,229.2 </w:t>
      </w:r>
      <w:proofErr w:type="spellStart"/>
      <w:r w:rsidRPr="005364CA">
        <w:rPr>
          <w:rFonts w:ascii="Times New Roman" w:hAnsi="Times New Roman"/>
          <w:bCs/>
          <w:lang w:val="es-MX"/>
        </w:rPr>
        <w:t>mmp</w:t>
      </w:r>
      <w:proofErr w:type="spellEnd"/>
      <w:r w:rsidRPr="005364CA">
        <w:rPr>
          <w:rFonts w:ascii="Times New Roman" w:hAnsi="Times New Roman"/>
          <w:bCs/>
          <w:lang w:val="es-MX"/>
        </w:rPr>
        <w:t xml:space="preserve">, equivalentes a 3.4% del PIB, lo que implicará una disminución de 13.6 </w:t>
      </w:r>
      <w:proofErr w:type="spellStart"/>
      <w:r w:rsidRPr="005364CA">
        <w:rPr>
          <w:rFonts w:ascii="Times New Roman" w:hAnsi="Times New Roman"/>
          <w:bCs/>
          <w:lang w:val="es-MX"/>
        </w:rPr>
        <w:t>mmp</w:t>
      </w:r>
      <w:proofErr w:type="spellEnd"/>
      <w:r w:rsidRPr="005364CA">
        <w:rPr>
          <w:rFonts w:ascii="Times New Roman" w:hAnsi="Times New Roman"/>
          <w:bCs/>
          <w:lang w:val="es-MX"/>
        </w:rPr>
        <w:t xml:space="preserve"> frente a lo aprobado, como resultado de menores ingresos propios de la CFE y el IMSS, mientras que los del ISSSTE se mantendrán conforme a lo previsto.</w:t>
      </w:r>
    </w:p>
    <w:p w14:paraId="5CD95AF6" w14:textId="77777777" w:rsidR="005364CA" w:rsidRPr="005364CA" w:rsidRDefault="005364CA" w:rsidP="005364CA">
      <w:pPr>
        <w:pStyle w:val="PRIMERAPLANA"/>
        <w:spacing w:line="360" w:lineRule="auto"/>
        <w:rPr>
          <w:rFonts w:ascii="Times New Roman" w:hAnsi="Times New Roman"/>
          <w:bCs/>
          <w:lang w:val="es-MX"/>
        </w:rPr>
      </w:pPr>
    </w:p>
    <w:p w14:paraId="198385AE"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El gasto público mantendrá una evolución ordenada, con un nivel equivalente a 25.5% del PIB, en línea con lo presupuestado. En su interior, el gasto programable alcanzará 17.9% del PIB, ligeramente por arriba de lo previsto, lo cual permitirá financiar las partidas prioritarias aprobadas en el Presupuesto de Egresos de la Federación (PEF) para el ejercicio 2025. Dentro de este marco, el gasto en protección social permanecerá en niveles históricos, como parte de la estrategia para reducir la pobreza, disminuir la desigualdad y garantizar un mayor bienestar para la población. </w:t>
      </w:r>
    </w:p>
    <w:p w14:paraId="65AC36C8" w14:textId="77777777" w:rsidR="005364CA" w:rsidRPr="005364CA" w:rsidRDefault="005364CA" w:rsidP="005364CA">
      <w:pPr>
        <w:pStyle w:val="PRIMERAPLANA"/>
        <w:spacing w:line="360" w:lineRule="auto"/>
        <w:rPr>
          <w:rFonts w:ascii="Times New Roman" w:hAnsi="Times New Roman"/>
          <w:bCs/>
          <w:lang w:val="es-MX"/>
        </w:rPr>
      </w:pPr>
    </w:p>
    <w:p w14:paraId="1ABE76F1"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En cuanto al costo financiero, se prevé una reducción de 12.4 </w:t>
      </w:r>
      <w:proofErr w:type="spellStart"/>
      <w:r w:rsidRPr="005364CA">
        <w:rPr>
          <w:rFonts w:ascii="Times New Roman" w:hAnsi="Times New Roman"/>
          <w:bCs/>
          <w:lang w:val="es-MX"/>
        </w:rPr>
        <w:t>mmp</w:t>
      </w:r>
      <w:proofErr w:type="spellEnd"/>
      <w:r w:rsidRPr="005364CA">
        <w:rPr>
          <w:rFonts w:ascii="Times New Roman" w:hAnsi="Times New Roman"/>
          <w:bCs/>
          <w:lang w:val="es-MX"/>
        </w:rPr>
        <w:t xml:space="preserve"> respecto al nivel aprobado, gracias a gestiones de manejo de deuda que optimizaron el perfil de vencimientos del Gobierno Federal. Asimismo, el pago de Adeudos de Ejercicios Fiscales Anteriores (</w:t>
      </w:r>
      <w:proofErr w:type="spellStart"/>
      <w:r w:rsidRPr="005364CA">
        <w:rPr>
          <w:rFonts w:ascii="Times New Roman" w:hAnsi="Times New Roman"/>
          <w:bCs/>
          <w:lang w:val="es-MX"/>
        </w:rPr>
        <w:t>Adefas</w:t>
      </w:r>
      <w:proofErr w:type="spellEnd"/>
      <w:r w:rsidRPr="005364CA">
        <w:rPr>
          <w:rFonts w:ascii="Times New Roman" w:hAnsi="Times New Roman"/>
          <w:bCs/>
          <w:lang w:val="es-MX"/>
        </w:rPr>
        <w:t xml:space="preserve">) será menor en 10.0 </w:t>
      </w:r>
      <w:proofErr w:type="spellStart"/>
      <w:r w:rsidRPr="005364CA">
        <w:rPr>
          <w:rFonts w:ascii="Times New Roman" w:hAnsi="Times New Roman"/>
          <w:bCs/>
          <w:lang w:val="es-MX"/>
        </w:rPr>
        <w:t>mmp</w:t>
      </w:r>
      <w:proofErr w:type="spellEnd"/>
      <w:r w:rsidRPr="005364CA">
        <w:rPr>
          <w:rFonts w:ascii="Times New Roman" w:hAnsi="Times New Roman"/>
          <w:bCs/>
          <w:lang w:val="es-MX"/>
        </w:rPr>
        <w:t xml:space="preserve"> frente a lo programado, mientras que las participaciones a entidades federativas y municipios superarán lo previsto en 9.9 </w:t>
      </w:r>
      <w:proofErr w:type="spellStart"/>
      <w:r w:rsidRPr="005364CA">
        <w:rPr>
          <w:rFonts w:ascii="Times New Roman" w:hAnsi="Times New Roman"/>
          <w:bCs/>
          <w:lang w:val="es-MX"/>
        </w:rPr>
        <w:t>mmp</w:t>
      </w:r>
      <w:proofErr w:type="spellEnd"/>
      <w:r w:rsidRPr="005364CA">
        <w:rPr>
          <w:rFonts w:ascii="Times New Roman" w:hAnsi="Times New Roman"/>
          <w:bCs/>
          <w:lang w:val="es-MX"/>
        </w:rPr>
        <w:t xml:space="preserve"> por el mayor dinamismo de la recaudación federal participable. </w:t>
      </w:r>
    </w:p>
    <w:p w14:paraId="17E5BEB0" w14:textId="77777777" w:rsidR="005364CA" w:rsidRPr="005364CA" w:rsidRDefault="005364CA" w:rsidP="005364CA">
      <w:pPr>
        <w:pStyle w:val="PRIMERAPLANA"/>
        <w:spacing w:line="360" w:lineRule="auto"/>
        <w:rPr>
          <w:rFonts w:ascii="Times New Roman" w:hAnsi="Times New Roman"/>
          <w:bCs/>
          <w:lang w:val="es-MX"/>
        </w:rPr>
      </w:pPr>
    </w:p>
    <w:p w14:paraId="63D1362F" w14:textId="0E1C0790"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Al cierre de 2025, se estima un déficit presupuestario de 3.6% del PIB, por debajo del 4.9% registrado en 2024. Asimismo, se anticipa un superávit primario de 0.2% del PIB, en contraste con el déficit observado el año anterior. Los </w:t>
      </w:r>
      <w:r w:rsidR="00AF69B0">
        <w:rPr>
          <w:rFonts w:ascii="Times New Roman" w:hAnsi="Times New Roman"/>
          <w:bCs/>
          <w:lang w:val="es-MX"/>
        </w:rPr>
        <w:t>Requerimientos Financieros del Sector Público (</w:t>
      </w:r>
      <w:r w:rsidRPr="005364CA">
        <w:rPr>
          <w:rFonts w:ascii="Times New Roman" w:hAnsi="Times New Roman"/>
          <w:bCs/>
          <w:lang w:val="es-MX"/>
        </w:rPr>
        <w:t>RFSP</w:t>
      </w:r>
      <w:r w:rsidR="00AF69B0">
        <w:rPr>
          <w:rFonts w:ascii="Times New Roman" w:hAnsi="Times New Roman"/>
          <w:bCs/>
          <w:lang w:val="es-MX"/>
        </w:rPr>
        <w:t>)</w:t>
      </w:r>
      <w:r w:rsidRPr="005364CA">
        <w:rPr>
          <w:rFonts w:ascii="Times New Roman" w:hAnsi="Times New Roman"/>
          <w:bCs/>
          <w:lang w:val="es-MX"/>
        </w:rPr>
        <w:t xml:space="preserve"> se ubicarán en 4.3% del PIB, 1.4% menos que en 2024, aunque ligeramente por encima de lo previsto en el programa, reflejo de las revisiones al marco macroeconómico ante un entorno externo menos favorable, así como los ajustes en las proyecciones para el cierre del año de las Empresas Públicas del Estado y de las instituciones de seguridad social. Finalmente, el </w:t>
      </w:r>
      <w:r w:rsidR="00AF69B0">
        <w:rPr>
          <w:rFonts w:ascii="Times New Roman" w:hAnsi="Times New Roman"/>
          <w:bCs/>
          <w:lang w:val="es-MX"/>
        </w:rPr>
        <w:t>Saldo Histórico de los Requerimientos del Sector Público (</w:t>
      </w:r>
      <w:r w:rsidRPr="005364CA">
        <w:rPr>
          <w:rFonts w:ascii="Times New Roman" w:hAnsi="Times New Roman"/>
          <w:bCs/>
          <w:lang w:val="es-MX"/>
        </w:rPr>
        <w:t>SHRFSP</w:t>
      </w:r>
      <w:r w:rsidR="00AF69B0">
        <w:rPr>
          <w:rFonts w:ascii="Times New Roman" w:hAnsi="Times New Roman"/>
          <w:bCs/>
          <w:lang w:val="es-MX"/>
        </w:rPr>
        <w:t>)</w:t>
      </w:r>
      <w:r w:rsidRPr="005364CA">
        <w:rPr>
          <w:rFonts w:ascii="Times New Roman" w:hAnsi="Times New Roman"/>
          <w:bCs/>
          <w:lang w:val="es-MX"/>
        </w:rPr>
        <w:t xml:space="preserve"> se situará en 52.3% del PIB, lo que confirma que, pese a la volatilidad internacional, la deuda pública mantiene una trayectoria estable y sostenible, respaldada por fundamentos macroeconómicos sólidos y una gestión fiscal prudente.</w:t>
      </w:r>
    </w:p>
    <w:p w14:paraId="6C189784" w14:textId="77777777" w:rsidR="005364CA" w:rsidRPr="005364CA" w:rsidRDefault="005364CA" w:rsidP="005364CA">
      <w:pPr>
        <w:pStyle w:val="PRIMERAPLANA"/>
        <w:spacing w:line="360" w:lineRule="auto"/>
        <w:rPr>
          <w:rFonts w:ascii="Times New Roman" w:hAnsi="Times New Roman"/>
          <w:bCs/>
          <w:lang w:val="es-MX"/>
        </w:rPr>
      </w:pPr>
    </w:p>
    <w:p w14:paraId="0679991E" w14:textId="2509AF91"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En 2026</w:t>
      </w:r>
      <w:r w:rsidR="00BC6A95">
        <w:rPr>
          <w:rFonts w:ascii="Times New Roman" w:hAnsi="Times New Roman"/>
          <w:bCs/>
          <w:lang w:val="es-MX"/>
        </w:rPr>
        <w:t>,</w:t>
      </w:r>
      <w:r w:rsidRPr="005364CA">
        <w:rPr>
          <w:rFonts w:ascii="Times New Roman" w:hAnsi="Times New Roman"/>
          <w:bCs/>
          <w:lang w:val="es-MX"/>
        </w:rPr>
        <w:t xml:space="preserve"> la economía mexicana retomará una senda de crecimiento más sólida, impulsada por la fortaleza sostenida de la demanda interna y un entorno internacional más favorable, con menor incertidumbre sobre las políticas comerciales. El Plan México se consolidará como el principal instrumento del Gobierno Federal para promover el crecimiento y el desarrollo económico de forma </w:t>
      </w:r>
      <w:r w:rsidRPr="005364CA">
        <w:rPr>
          <w:rFonts w:ascii="Times New Roman" w:hAnsi="Times New Roman"/>
          <w:bCs/>
          <w:lang w:val="es-MX"/>
        </w:rPr>
        <w:lastRenderedPageBreak/>
        <w:t>equitativa y sustentable, articulando políticas públicas dirigidas a incrementar la producción para el mercado interno, la sustitución de importaciones, el desarrollo regional, la innovación productiva y la transición hacia una economía más incluyente, resiliente y ambientalmente responsable.</w:t>
      </w:r>
    </w:p>
    <w:p w14:paraId="01F3D89D" w14:textId="77777777" w:rsidR="005364CA" w:rsidRPr="005364CA" w:rsidRDefault="005364CA" w:rsidP="005364CA">
      <w:pPr>
        <w:pStyle w:val="PRIMERAPLANA"/>
        <w:spacing w:line="360" w:lineRule="auto"/>
        <w:rPr>
          <w:rFonts w:ascii="Times New Roman" w:hAnsi="Times New Roman"/>
          <w:bCs/>
          <w:lang w:val="es-MX"/>
        </w:rPr>
      </w:pPr>
    </w:p>
    <w:p w14:paraId="02C9A1CE"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La sinergia entre la inversión pública y la privada permitirá cerrar brechas de infraestructura y conectividad, facilitar el intercambio comercial y reducir costos de transacción. Esta colaboración también impulsará la modernización tecnológica, ampliará la capacidad logística y sentará bases sólidas para un crecimiento más diversificado.</w:t>
      </w:r>
    </w:p>
    <w:p w14:paraId="0C511A1B" w14:textId="77777777" w:rsidR="005364CA" w:rsidRPr="005364CA" w:rsidRDefault="005364CA" w:rsidP="005364CA">
      <w:pPr>
        <w:pStyle w:val="PRIMERAPLANA"/>
        <w:spacing w:line="360" w:lineRule="auto"/>
        <w:rPr>
          <w:rFonts w:ascii="Times New Roman" w:hAnsi="Times New Roman"/>
          <w:bCs/>
          <w:lang w:val="es-MX"/>
        </w:rPr>
      </w:pPr>
    </w:p>
    <w:p w14:paraId="1E63461D" w14:textId="76B004AE"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En 2026, se anticipa una aceleración del consumo privado, respaldada por un incremento sostenido de los salarios reales, la generación de empleo y la expansión de la red de protección social. </w:t>
      </w:r>
      <w:r w:rsidR="007E1CE0">
        <w:rPr>
          <w:rFonts w:ascii="Times New Roman" w:hAnsi="Times New Roman"/>
          <w:bCs/>
          <w:lang w:val="es-MX"/>
        </w:rPr>
        <w:t>S</w:t>
      </w:r>
      <w:r w:rsidRPr="005364CA">
        <w:rPr>
          <w:rFonts w:ascii="Times New Roman" w:hAnsi="Times New Roman"/>
          <w:bCs/>
          <w:lang w:val="es-MX"/>
        </w:rPr>
        <w:t>e prevé además un efecto positivo en el ingreso disponible de los hogares derivado de la expansión de los programas sociales, como la Pensión Mujeres Bienestar para mujeres de 60 a 64 años, que en 2026 cubrirá al 100% de su población objetivo. Asimismo, se ampliarán los beneficios de la Beca Universal de Educación Básica Rita Cetina a nivel de primaria, con un potencial de cobertura de hasta 11.6 millones de estudiantes. Otro aspecto de igual relevancia será la influencia de las medidas para fortalecer el Sistema Nacional de Cuidados, lo cual fomentará una mayor participación laboral de las mujeres y, por ende, una mejora en su poder adquisitivo.</w:t>
      </w:r>
    </w:p>
    <w:p w14:paraId="61857D40" w14:textId="77777777" w:rsidR="005364CA" w:rsidRPr="005364CA" w:rsidRDefault="005364CA" w:rsidP="005364CA">
      <w:pPr>
        <w:pStyle w:val="PRIMERAPLANA"/>
        <w:spacing w:line="360" w:lineRule="auto"/>
        <w:rPr>
          <w:rFonts w:ascii="Times New Roman" w:hAnsi="Times New Roman"/>
          <w:bCs/>
          <w:lang w:val="es-MX"/>
        </w:rPr>
      </w:pPr>
    </w:p>
    <w:p w14:paraId="5922E926" w14:textId="2ABF19B1"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En el ámbito internacional, la producción industrial de EE.UU. se verá favorecida por los incentivos fiscales aprobados para 2026, aunque persistirá el riesgo asociado a la incertidumbre en materia de política comercial. La normalización monetaria de la Reserva Federal reducirá los costos de financiamiento, facilitando la reactivación de proyectos diferidos. Por último, la disciplina fiscal, el manejo prudente de la deuda y una política monetaria menos restrictiva continuarán fortaleciendo la confianza y el apetito por invertir en México, asegurando además un acceso sostenido al financiamiento en condiciones favorables. Estos elementos seguirán impulsando tanto la inversión nacional como la </w:t>
      </w:r>
      <w:r w:rsidR="00AF69B0">
        <w:rPr>
          <w:rFonts w:ascii="Times New Roman" w:hAnsi="Times New Roman"/>
          <w:bCs/>
          <w:lang w:val="es-MX"/>
        </w:rPr>
        <w:t>Inversión Extranjera Directa (</w:t>
      </w:r>
      <w:r w:rsidRPr="005364CA">
        <w:rPr>
          <w:rFonts w:ascii="Times New Roman" w:hAnsi="Times New Roman"/>
          <w:bCs/>
          <w:lang w:val="es-MX"/>
        </w:rPr>
        <w:t>IED</w:t>
      </w:r>
      <w:r w:rsidR="00AF69B0">
        <w:rPr>
          <w:rFonts w:ascii="Times New Roman" w:hAnsi="Times New Roman"/>
          <w:bCs/>
          <w:lang w:val="es-MX"/>
        </w:rPr>
        <w:t>)</w:t>
      </w:r>
      <w:r w:rsidRPr="005364CA">
        <w:rPr>
          <w:rFonts w:ascii="Times New Roman" w:hAnsi="Times New Roman"/>
          <w:bCs/>
          <w:lang w:val="es-MX"/>
        </w:rPr>
        <w:t>, como ya se observó en la primera mitad de 2025, cuando se alcanzó un máximo histórico de flujos de entrada, confirmando el atractivo estructural de México como plataforma productiva y de exportación.</w:t>
      </w:r>
    </w:p>
    <w:p w14:paraId="2B573C09" w14:textId="77777777" w:rsidR="005364CA" w:rsidRPr="005364CA" w:rsidRDefault="005364CA" w:rsidP="005364CA">
      <w:pPr>
        <w:pStyle w:val="PRIMERAPLANA"/>
        <w:spacing w:line="360" w:lineRule="auto"/>
        <w:rPr>
          <w:rFonts w:ascii="Times New Roman" w:hAnsi="Times New Roman"/>
          <w:bCs/>
          <w:lang w:val="es-MX"/>
        </w:rPr>
      </w:pPr>
    </w:p>
    <w:p w14:paraId="4CA6E7F5"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En 2026 la economía mexicana registrará un crecimiento en un rango de entre 1.8% y 2.8%. Se prevé que la inflación seguirá una trayectoria descendente y cierre el año en 3.0% anual. En este contexto, la tasa de interés de política monetaria del Banco de México cerraría el año en 6.0%, lo cual resultará en una reducción de 125 pb respecto al cierre estimado de 2025.</w:t>
      </w:r>
    </w:p>
    <w:p w14:paraId="1630B5A5" w14:textId="77777777" w:rsidR="005364CA" w:rsidRPr="005364CA"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lastRenderedPageBreak/>
        <w:t>El tipo de cambio se proyecta en 18.9 pesos por dólar al cierre de 2026, esto es, una apreciación de 5.6% respecto al nivel estimado para el cierre de 2025. Esta evolución es consistente con episodios históricos en los que periodos de depreciación del peso son seguidos por fases de apreciación cambiaria. Por su parte, la cuenta corriente de la balanza de pagos presentará un déficit de 0.6% del PIB, resultado de una moderación en el superávit de la balanza no petrolera, una disminución en el déficit de la balanza petrolera y un comportamiento estable del ingreso primario y secundario.</w:t>
      </w:r>
    </w:p>
    <w:p w14:paraId="65B5487D" w14:textId="77777777" w:rsidR="005364CA" w:rsidRPr="005364CA" w:rsidRDefault="005364CA" w:rsidP="005364CA">
      <w:pPr>
        <w:pStyle w:val="PRIMERAPLANA"/>
        <w:spacing w:line="360" w:lineRule="auto"/>
        <w:rPr>
          <w:rFonts w:ascii="Times New Roman" w:hAnsi="Times New Roman"/>
          <w:bCs/>
          <w:lang w:val="es-MX"/>
        </w:rPr>
      </w:pPr>
    </w:p>
    <w:p w14:paraId="48FD16DE" w14:textId="14E7EFD7" w:rsidR="00E030C7" w:rsidRPr="00CE2445" w:rsidRDefault="005364CA" w:rsidP="005364CA">
      <w:pPr>
        <w:pStyle w:val="PRIMERAPLANA"/>
        <w:spacing w:line="360" w:lineRule="auto"/>
        <w:rPr>
          <w:rFonts w:ascii="Times New Roman" w:hAnsi="Times New Roman"/>
          <w:bCs/>
          <w:lang w:val="es-MX"/>
        </w:rPr>
      </w:pPr>
      <w:r w:rsidRPr="005364CA">
        <w:rPr>
          <w:rFonts w:ascii="Times New Roman" w:hAnsi="Times New Roman"/>
          <w:bCs/>
          <w:lang w:val="es-MX"/>
        </w:rPr>
        <w:t xml:space="preserve">Finalmente, se estima un precio promedio de la MME de 54.9 dpb para 2026, en línea con la metodología establecida en el artículo 31 de la Ley Federal de Presupuesto y Responsabilidad Hacendaria (LFPRH) y el artículo 15 de su Reglamento. Por su parte, la producción petrolera nacional se alineará con el objetivo de 1.8 </w:t>
      </w:r>
      <w:proofErr w:type="spellStart"/>
      <w:r w:rsidRPr="005364CA">
        <w:rPr>
          <w:rFonts w:ascii="Times New Roman" w:hAnsi="Times New Roman"/>
          <w:bCs/>
          <w:lang w:val="es-MX"/>
        </w:rPr>
        <w:t>Mbd</w:t>
      </w:r>
      <w:proofErr w:type="spellEnd"/>
      <w:r w:rsidRPr="005364CA">
        <w:rPr>
          <w:rFonts w:ascii="Times New Roman" w:hAnsi="Times New Roman"/>
          <w:bCs/>
          <w:lang w:val="es-MX"/>
        </w:rPr>
        <w:t>, impulsado por el Plan Estratégico 2025–2035 de Pemex, que contempla más de 20 proyectos de exploración y producción con participación privada y en esquemas de inversión mixta.</w:t>
      </w:r>
    </w:p>
    <w:tbl>
      <w:tblPr>
        <w:tblW w:w="7274" w:type="dxa"/>
        <w:jc w:val="center"/>
        <w:tblCellMar>
          <w:left w:w="70" w:type="dxa"/>
          <w:right w:w="70" w:type="dxa"/>
        </w:tblCellMar>
        <w:tblLook w:val="04A0" w:firstRow="1" w:lastRow="0" w:firstColumn="1" w:lastColumn="0" w:noHBand="0" w:noVBand="1"/>
      </w:tblPr>
      <w:tblGrid>
        <w:gridCol w:w="3969"/>
        <w:gridCol w:w="992"/>
        <w:gridCol w:w="1156"/>
        <w:gridCol w:w="1157"/>
      </w:tblGrid>
      <w:tr w:rsidR="005364CA" w:rsidRPr="00906252" w14:paraId="61F8CB64" w14:textId="77777777" w:rsidTr="00AC3862">
        <w:trPr>
          <w:trHeight w:val="300"/>
          <w:tblHeader/>
          <w:jc w:val="center"/>
        </w:trPr>
        <w:tc>
          <w:tcPr>
            <w:tcW w:w="7274" w:type="dxa"/>
            <w:gridSpan w:val="4"/>
            <w:tcBorders>
              <w:top w:val="nil"/>
              <w:left w:val="nil"/>
              <w:bottom w:val="nil"/>
              <w:right w:val="nil"/>
            </w:tcBorders>
          </w:tcPr>
          <w:p w14:paraId="3FD17816" w14:textId="77777777" w:rsidR="005364CA" w:rsidRPr="00906252" w:rsidRDefault="005364CA" w:rsidP="00AC3862">
            <w:pPr>
              <w:jc w:val="center"/>
              <w:rPr>
                <w:b/>
                <w:bCs/>
                <w:color w:val="000000"/>
                <w:sz w:val="22"/>
                <w:szCs w:val="22"/>
                <w:lang w:eastAsia="es-MX"/>
              </w:rPr>
            </w:pPr>
            <w:r>
              <w:rPr>
                <w:b/>
                <w:bCs/>
                <w:color w:val="000000"/>
                <w:sz w:val="22"/>
                <w:szCs w:val="22"/>
              </w:rPr>
              <w:t>M</w:t>
            </w:r>
            <w:r w:rsidRPr="00906252">
              <w:rPr>
                <w:b/>
                <w:bCs/>
                <w:color w:val="000000"/>
                <w:sz w:val="22"/>
                <w:szCs w:val="22"/>
              </w:rPr>
              <w:t xml:space="preserve">arco </w:t>
            </w:r>
            <w:r>
              <w:rPr>
                <w:b/>
                <w:bCs/>
                <w:color w:val="000000"/>
                <w:sz w:val="22"/>
                <w:szCs w:val="22"/>
              </w:rPr>
              <w:t>M</w:t>
            </w:r>
            <w:r w:rsidRPr="00906252">
              <w:rPr>
                <w:b/>
                <w:bCs/>
                <w:color w:val="000000"/>
                <w:sz w:val="22"/>
                <w:szCs w:val="22"/>
              </w:rPr>
              <w:t>acroeconómico 202</w:t>
            </w:r>
            <w:r>
              <w:rPr>
                <w:b/>
                <w:bCs/>
                <w:color w:val="000000"/>
                <w:sz w:val="22"/>
                <w:szCs w:val="22"/>
              </w:rPr>
              <w:t>5</w:t>
            </w:r>
            <w:r w:rsidRPr="00906252">
              <w:rPr>
                <w:b/>
                <w:bCs/>
                <w:color w:val="000000"/>
                <w:sz w:val="22"/>
                <w:szCs w:val="22"/>
              </w:rPr>
              <w:t>-202</w:t>
            </w:r>
            <w:r>
              <w:rPr>
                <w:b/>
                <w:bCs/>
                <w:color w:val="000000"/>
                <w:sz w:val="22"/>
                <w:szCs w:val="22"/>
              </w:rPr>
              <w:t>6</w:t>
            </w:r>
          </w:p>
        </w:tc>
      </w:tr>
      <w:tr w:rsidR="005364CA" w:rsidRPr="00906252" w14:paraId="3F849DD5" w14:textId="77777777" w:rsidTr="00AC3862">
        <w:trPr>
          <w:trHeight w:val="300"/>
          <w:tblHeader/>
          <w:jc w:val="center"/>
        </w:trPr>
        <w:tc>
          <w:tcPr>
            <w:tcW w:w="3969" w:type="dxa"/>
            <w:tcBorders>
              <w:top w:val="single" w:sz="4" w:space="0" w:color="auto"/>
              <w:left w:val="nil"/>
              <w:bottom w:val="single" w:sz="4" w:space="0" w:color="auto"/>
              <w:right w:val="nil"/>
            </w:tcBorders>
            <w:shd w:val="clear" w:color="auto" w:fill="E4C776"/>
            <w:noWrap/>
            <w:vAlign w:val="center"/>
            <w:hideMark/>
          </w:tcPr>
          <w:p w14:paraId="209FAEA5" w14:textId="77777777" w:rsidR="005364CA" w:rsidRPr="00906252" w:rsidRDefault="005364CA" w:rsidP="00AC3862">
            <w:pPr>
              <w:rPr>
                <w:color w:val="000000"/>
                <w:sz w:val="18"/>
                <w:szCs w:val="18"/>
              </w:rPr>
            </w:pPr>
            <w:r w:rsidRPr="00906252">
              <w:rPr>
                <w:color w:val="000000"/>
                <w:sz w:val="18"/>
                <w:szCs w:val="18"/>
              </w:rPr>
              <w:t xml:space="preserve">  </w:t>
            </w:r>
          </w:p>
        </w:tc>
        <w:tc>
          <w:tcPr>
            <w:tcW w:w="992" w:type="dxa"/>
            <w:tcBorders>
              <w:top w:val="single" w:sz="4" w:space="0" w:color="auto"/>
              <w:left w:val="nil"/>
              <w:bottom w:val="single" w:sz="4" w:space="0" w:color="auto"/>
            </w:tcBorders>
            <w:shd w:val="clear" w:color="auto" w:fill="E4C776"/>
            <w:noWrap/>
            <w:vAlign w:val="center"/>
            <w:hideMark/>
          </w:tcPr>
          <w:p w14:paraId="28FBB853" w14:textId="77777777" w:rsidR="005364CA" w:rsidRDefault="005364CA" w:rsidP="00AC3862">
            <w:pPr>
              <w:jc w:val="center"/>
              <w:rPr>
                <w:b/>
                <w:bCs/>
                <w:color w:val="740000"/>
                <w:sz w:val="18"/>
                <w:szCs w:val="18"/>
              </w:rPr>
            </w:pPr>
            <w:r>
              <w:rPr>
                <w:b/>
                <w:bCs/>
                <w:color w:val="740000"/>
                <w:sz w:val="18"/>
                <w:szCs w:val="18"/>
              </w:rPr>
              <w:t>Aprobado</w:t>
            </w:r>
          </w:p>
          <w:p w14:paraId="5BDB0D76" w14:textId="77777777" w:rsidR="005364CA" w:rsidRPr="00906252" w:rsidRDefault="005364CA" w:rsidP="00AC3862">
            <w:pPr>
              <w:jc w:val="center"/>
              <w:rPr>
                <w:b/>
                <w:bCs/>
                <w:color w:val="740000"/>
                <w:sz w:val="18"/>
                <w:szCs w:val="18"/>
              </w:rPr>
            </w:pPr>
            <w:r w:rsidRPr="00906252">
              <w:rPr>
                <w:b/>
                <w:bCs/>
                <w:color w:val="740000"/>
                <w:sz w:val="18"/>
                <w:szCs w:val="18"/>
              </w:rPr>
              <w:t>202</w:t>
            </w:r>
            <w:r>
              <w:rPr>
                <w:b/>
                <w:bCs/>
                <w:color w:val="740000"/>
                <w:sz w:val="18"/>
                <w:szCs w:val="18"/>
              </w:rPr>
              <w:t>5</w:t>
            </w:r>
          </w:p>
        </w:tc>
        <w:tc>
          <w:tcPr>
            <w:tcW w:w="1156" w:type="dxa"/>
            <w:tcBorders>
              <w:top w:val="single" w:sz="4" w:space="0" w:color="auto"/>
              <w:bottom w:val="single" w:sz="4" w:space="0" w:color="auto"/>
              <w:right w:val="nil"/>
            </w:tcBorders>
            <w:shd w:val="clear" w:color="auto" w:fill="E4C776"/>
            <w:vAlign w:val="center"/>
          </w:tcPr>
          <w:p w14:paraId="7DA04261" w14:textId="77777777" w:rsidR="005364CA" w:rsidRDefault="005364CA" w:rsidP="00AC3862">
            <w:pPr>
              <w:jc w:val="center"/>
              <w:rPr>
                <w:b/>
                <w:bCs/>
                <w:color w:val="740000"/>
                <w:sz w:val="18"/>
                <w:szCs w:val="18"/>
              </w:rPr>
            </w:pPr>
            <w:r>
              <w:rPr>
                <w:b/>
                <w:bCs/>
                <w:color w:val="740000"/>
                <w:sz w:val="18"/>
                <w:szCs w:val="18"/>
              </w:rPr>
              <w:t>Estimado</w:t>
            </w:r>
          </w:p>
          <w:p w14:paraId="081F6D44" w14:textId="77777777" w:rsidR="005364CA" w:rsidRPr="00906252" w:rsidRDefault="005364CA" w:rsidP="00AC3862">
            <w:pPr>
              <w:jc w:val="center"/>
              <w:rPr>
                <w:b/>
                <w:bCs/>
                <w:color w:val="740000"/>
                <w:sz w:val="18"/>
                <w:szCs w:val="18"/>
              </w:rPr>
            </w:pPr>
            <w:r>
              <w:rPr>
                <w:b/>
                <w:bCs/>
                <w:color w:val="740000"/>
                <w:sz w:val="18"/>
                <w:szCs w:val="18"/>
              </w:rPr>
              <w:t>2025</w:t>
            </w:r>
          </w:p>
        </w:tc>
        <w:tc>
          <w:tcPr>
            <w:tcW w:w="1157" w:type="dxa"/>
            <w:tcBorders>
              <w:top w:val="single" w:sz="4" w:space="0" w:color="auto"/>
              <w:left w:val="nil"/>
              <w:bottom w:val="single" w:sz="4" w:space="0" w:color="auto"/>
              <w:right w:val="nil"/>
            </w:tcBorders>
            <w:shd w:val="clear" w:color="auto" w:fill="E4C776"/>
            <w:noWrap/>
            <w:vAlign w:val="center"/>
            <w:hideMark/>
          </w:tcPr>
          <w:p w14:paraId="38AF7E14" w14:textId="77777777" w:rsidR="005364CA" w:rsidRPr="00906252" w:rsidRDefault="005364CA" w:rsidP="00AC3862">
            <w:pPr>
              <w:jc w:val="center"/>
              <w:rPr>
                <w:b/>
                <w:bCs/>
                <w:color w:val="740000"/>
                <w:sz w:val="18"/>
                <w:szCs w:val="18"/>
              </w:rPr>
            </w:pPr>
            <w:r w:rsidRPr="00906252">
              <w:rPr>
                <w:b/>
                <w:bCs/>
                <w:color w:val="740000"/>
                <w:sz w:val="18"/>
                <w:szCs w:val="18"/>
              </w:rPr>
              <w:t>202</w:t>
            </w:r>
            <w:r>
              <w:rPr>
                <w:b/>
                <w:bCs/>
                <w:color w:val="740000"/>
                <w:sz w:val="18"/>
                <w:szCs w:val="18"/>
              </w:rPr>
              <w:t>6</w:t>
            </w:r>
          </w:p>
        </w:tc>
      </w:tr>
      <w:tr w:rsidR="005364CA" w:rsidRPr="002A437F" w14:paraId="408AA397" w14:textId="77777777" w:rsidTr="00AC3862">
        <w:trPr>
          <w:trHeight w:val="300"/>
          <w:jc w:val="center"/>
        </w:trPr>
        <w:tc>
          <w:tcPr>
            <w:tcW w:w="3969" w:type="dxa"/>
            <w:tcBorders>
              <w:top w:val="nil"/>
              <w:left w:val="nil"/>
              <w:bottom w:val="nil"/>
              <w:right w:val="nil"/>
            </w:tcBorders>
            <w:noWrap/>
            <w:vAlign w:val="bottom"/>
            <w:hideMark/>
          </w:tcPr>
          <w:p w14:paraId="5DA7C2AD" w14:textId="77777777" w:rsidR="005364CA" w:rsidRPr="002A437F" w:rsidRDefault="005364CA" w:rsidP="00AC3862">
            <w:pPr>
              <w:rPr>
                <w:b/>
                <w:bCs/>
                <w:color w:val="000000"/>
                <w:sz w:val="18"/>
                <w:szCs w:val="18"/>
              </w:rPr>
            </w:pPr>
            <w:r w:rsidRPr="002A437F">
              <w:rPr>
                <w:b/>
                <w:bCs/>
                <w:color w:val="000000"/>
                <w:sz w:val="18"/>
                <w:szCs w:val="18"/>
              </w:rPr>
              <w:t xml:space="preserve">Producto Interno Bruto </w:t>
            </w:r>
          </w:p>
        </w:tc>
        <w:tc>
          <w:tcPr>
            <w:tcW w:w="992" w:type="dxa"/>
            <w:tcBorders>
              <w:top w:val="nil"/>
              <w:left w:val="nil"/>
              <w:bottom w:val="nil"/>
              <w:right w:val="nil"/>
            </w:tcBorders>
            <w:noWrap/>
            <w:vAlign w:val="bottom"/>
            <w:hideMark/>
          </w:tcPr>
          <w:p w14:paraId="07E45FEF" w14:textId="77777777" w:rsidR="005364CA" w:rsidRPr="002A437F" w:rsidRDefault="005364CA" w:rsidP="00AC3862">
            <w:pPr>
              <w:rPr>
                <w:b/>
                <w:bCs/>
                <w:color w:val="000000"/>
                <w:sz w:val="18"/>
                <w:szCs w:val="18"/>
              </w:rPr>
            </w:pPr>
          </w:p>
        </w:tc>
        <w:tc>
          <w:tcPr>
            <w:tcW w:w="1156" w:type="dxa"/>
            <w:tcBorders>
              <w:top w:val="nil"/>
              <w:left w:val="nil"/>
              <w:bottom w:val="nil"/>
              <w:right w:val="nil"/>
            </w:tcBorders>
          </w:tcPr>
          <w:p w14:paraId="5F411BAE" w14:textId="77777777" w:rsidR="005364CA" w:rsidRPr="002A437F" w:rsidRDefault="005364CA" w:rsidP="00AC3862">
            <w:pPr>
              <w:rPr>
                <w:b/>
                <w:bCs/>
                <w:sz w:val="20"/>
                <w:szCs w:val="20"/>
              </w:rPr>
            </w:pPr>
          </w:p>
        </w:tc>
        <w:tc>
          <w:tcPr>
            <w:tcW w:w="1157" w:type="dxa"/>
            <w:tcBorders>
              <w:top w:val="nil"/>
              <w:left w:val="nil"/>
              <w:bottom w:val="nil"/>
              <w:right w:val="nil"/>
            </w:tcBorders>
            <w:noWrap/>
            <w:vAlign w:val="bottom"/>
            <w:hideMark/>
          </w:tcPr>
          <w:p w14:paraId="5FCFC377" w14:textId="77777777" w:rsidR="005364CA" w:rsidRPr="002A437F" w:rsidRDefault="005364CA" w:rsidP="00AC3862">
            <w:pPr>
              <w:rPr>
                <w:b/>
                <w:bCs/>
                <w:sz w:val="20"/>
                <w:szCs w:val="20"/>
              </w:rPr>
            </w:pPr>
          </w:p>
        </w:tc>
      </w:tr>
      <w:tr w:rsidR="005364CA" w:rsidRPr="00906252" w14:paraId="77AE44CE" w14:textId="77777777" w:rsidTr="00AC3862">
        <w:trPr>
          <w:trHeight w:val="300"/>
          <w:jc w:val="center"/>
        </w:trPr>
        <w:tc>
          <w:tcPr>
            <w:tcW w:w="3969" w:type="dxa"/>
            <w:tcBorders>
              <w:top w:val="nil"/>
              <w:left w:val="nil"/>
              <w:bottom w:val="nil"/>
              <w:right w:val="nil"/>
            </w:tcBorders>
            <w:shd w:val="clear" w:color="000000" w:fill="F2F2F2"/>
            <w:noWrap/>
            <w:vAlign w:val="bottom"/>
            <w:hideMark/>
          </w:tcPr>
          <w:p w14:paraId="21B2BF42" w14:textId="77777777" w:rsidR="005364CA" w:rsidRPr="00906252" w:rsidRDefault="005364CA" w:rsidP="00AC3862">
            <w:pPr>
              <w:rPr>
                <w:color w:val="000000"/>
                <w:sz w:val="18"/>
                <w:szCs w:val="18"/>
              </w:rPr>
            </w:pPr>
            <w:r w:rsidRPr="00906252">
              <w:rPr>
                <w:color w:val="000000"/>
                <w:sz w:val="18"/>
                <w:szCs w:val="18"/>
              </w:rPr>
              <w:t xml:space="preserve">     Crecimiento % real (rango) </w:t>
            </w:r>
          </w:p>
        </w:tc>
        <w:tc>
          <w:tcPr>
            <w:tcW w:w="992" w:type="dxa"/>
            <w:tcBorders>
              <w:top w:val="nil"/>
              <w:left w:val="nil"/>
              <w:bottom w:val="nil"/>
              <w:right w:val="nil"/>
            </w:tcBorders>
            <w:shd w:val="clear" w:color="000000" w:fill="F2F2F2"/>
            <w:noWrap/>
            <w:vAlign w:val="bottom"/>
            <w:hideMark/>
          </w:tcPr>
          <w:p w14:paraId="616013ED" w14:textId="77777777" w:rsidR="005364CA" w:rsidRPr="00906252" w:rsidRDefault="005364CA" w:rsidP="00AC3862">
            <w:pPr>
              <w:jc w:val="right"/>
              <w:rPr>
                <w:color w:val="000000"/>
                <w:sz w:val="18"/>
                <w:szCs w:val="18"/>
              </w:rPr>
            </w:pPr>
            <w:r w:rsidRPr="00906252">
              <w:rPr>
                <w:color w:val="000000"/>
                <w:sz w:val="18"/>
                <w:szCs w:val="18"/>
              </w:rPr>
              <w:t>[2.</w:t>
            </w:r>
            <w:r>
              <w:rPr>
                <w:color w:val="000000"/>
                <w:sz w:val="18"/>
                <w:szCs w:val="18"/>
              </w:rPr>
              <w:t>0</w:t>
            </w:r>
            <w:r w:rsidRPr="00906252">
              <w:rPr>
                <w:color w:val="000000"/>
                <w:sz w:val="18"/>
                <w:szCs w:val="18"/>
              </w:rPr>
              <w:t>, 3.</w:t>
            </w:r>
            <w:r>
              <w:rPr>
                <w:color w:val="000000"/>
                <w:sz w:val="18"/>
                <w:szCs w:val="18"/>
              </w:rPr>
              <w:t>0</w:t>
            </w:r>
            <w:r w:rsidRPr="00906252">
              <w:rPr>
                <w:color w:val="000000"/>
                <w:sz w:val="18"/>
                <w:szCs w:val="18"/>
              </w:rPr>
              <w:t xml:space="preserve">] </w:t>
            </w:r>
          </w:p>
        </w:tc>
        <w:tc>
          <w:tcPr>
            <w:tcW w:w="1156" w:type="dxa"/>
            <w:tcBorders>
              <w:top w:val="nil"/>
              <w:left w:val="nil"/>
              <w:bottom w:val="nil"/>
              <w:right w:val="nil"/>
            </w:tcBorders>
            <w:shd w:val="clear" w:color="000000" w:fill="F2F2F2"/>
            <w:vAlign w:val="bottom"/>
          </w:tcPr>
          <w:p w14:paraId="3DE959D8" w14:textId="77777777" w:rsidR="005364CA" w:rsidRPr="00906252" w:rsidRDefault="005364CA" w:rsidP="00AC3862">
            <w:pPr>
              <w:jc w:val="right"/>
              <w:rPr>
                <w:color w:val="000000"/>
                <w:sz w:val="18"/>
                <w:szCs w:val="18"/>
              </w:rPr>
            </w:pPr>
            <w:r w:rsidRPr="00906252">
              <w:rPr>
                <w:color w:val="000000"/>
                <w:sz w:val="18"/>
                <w:szCs w:val="18"/>
              </w:rPr>
              <w:t xml:space="preserve">     [</w:t>
            </w:r>
            <w:r>
              <w:rPr>
                <w:color w:val="000000"/>
                <w:sz w:val="18"/>
                <w:szCs w:val="18"/>
              </w:rPr>
              <w:t>0</w:t>
            </w:r>
            <w:r w:rsidRPr="00906252">
              <w:rPr>
                <w:color w:val="000000"/>
                <w:sz w:val="18"/>
                <w:szCs w:val="18"/>
              </w:rPr>
              <w:t>.</w:t>
            </w:r>
            <w:r>
              <w:rPr>
                <w:color w:val="000000"/>
                <w:sz w:val="18"/>
                <w:szCs w:val="18"/>
              </w:rPr>
              <w:t>5</w:t>
            </w:r>
            <w:r w:rsidRPr="00906252">
              <w:rPr>
                <w:color w:val="000000"/>
                <w:sz w:val="18"/>
                <w:szCs w:val="18"/>
              </w:rPr>
              <w:t xml:space="preserve">, </w:t>
            </w:r>
            <w:r>
              <w:rPr>
                <w:color w:val="000000"/>
                <w:sz w:val="18"/>
                <w:szCs w:val="18"/>
              </w:rPr>
              <w:t>1</w:t>
            </w:r>
            <w:r w:rsidRPr="00906252">
              <w:rPr>
                <w:color w:val="000000"/>
                <w:sz w:val="18"/>
                <w:szCs w:val="18"/>
              </w:rPr>
              <w:t>.</w:t>
            </w:r>
            <w:r>
              <w:rPr>
                <w:color w:val="000000"/>
                <w:sz w:val="18"/>
                <w:szCs w:val="18"/>
              </w:rPr>
              <w:t>5</w:t>
            </w:r>
            <w:r w:rsidRPr="00906252">
              <w:rPr>
                <w:color w:val="000000"/>
                <w:sz w:val="18"/>
                <w:szCs w:val="18"/>
              </w:rPr>
              <w:t xml:space="preserve">] </w:t>
            </w:r>
          </w:p>
        </w:tc>
        <w:tc>
          <w:tcPr>
            <w:tcW w:w="1157" w:type="dxa"/>
            <w:tcBorders>
              <w:top w:val="nil"/>
              <w:left w:val="nil"/>
              <w:bottom w:val="nil"/>
              <w:right w:val="nil"/>
            </w:tcBorders>
            <w:shd w:val="clear" w:color="000000" w:fill="F2F2F2"/>
            <w:noWrap/>
            <w:vAlign w:val="bottom"/>
            <w:hideMark/>
          </w:tcPr>
          <w:p w14:paraId="3C2878C7" w14:textId="77777777" w:rsidR="005364CA" w:rsidRPr="00906252" w:rsidRDefault="005364CA" w:rsidP="00AC3862">
            <w:pPr>
              <w:jc w:val="right"/>
              <w:rPr>
                <w:color w:val="000000"/>
                <w:sz w:val="18"/>
                <w:szCs w:val="18"/>
              </w:rPr>
            </w:pPr>
            <w:r w:rsidRPr="00906252">
              <w:rPr>
                <w:color w:val="000000"/>
                <w:sz w:val="18"/>
                <w:szCs w:val="18"/>
              </w:rPr>
              <w:t xml:space="preserve">     [</w:t>
            </w:r>
            <w:r>
              <w:rPr>
                <w:color w:val="000000"/>
                <w:sz w:val="18"/>
                <w:szCs w:val="18"/>
              </w:rPr>
              <w:t>1</w:t>
            </w:r>
            <w:r w:rsidRPr="00906252">
              <w:rPr>
                <w:color w:val="000000"/>
                <w:sz w:val="18"/>
                <w:szCs w:val="18"/>
              </w:rPr>
              <w:t>.</w:t>
            </w:r>
            <w:r>
              <w:rPr>
                <w:color w:val="000000"/>
                <w:sz w:val="18"/>
                <w:szCs w:val="18"/>
              </w:rPr>
              <w:t>8</w:t>
            </w:r>
            <w:r w:rsidRPr="00906252">
              <w:rPr>
                <w:color w:val="000000"/>
                <w:sz w:val="18"/>
                <w:szCs w:val="18"/>
              </w:rPr>
              <w:t xml:space="preserve">, </w:t>
            </w:r>
            <w:r>
              <w:rPr>
                <w:color w:val="000000"/>
                <w:sz w:val="18"/>
                <w:szCs w:val="18"/>
              </w:rPr>
              <w:t>2</w:t>
            </w:r>
            <w:r w:rsidRPr="00906252">
              <w:rPr>
                <w:color w:val="000000"/>
                <w:sz w:val="18"/>
                <w:szCs w:val="18"/>
              </w:rPr>
              <w:t>.</w:t>
            </w:r>
            <w:r>
              <w:rPr>
                <w:color w:val="000000"/>
                <w:sz w:val="18"/>
                <w:szCs w:val="18"/>
              </w:rPr>
              <w:t>8</w:t>
            </w:r>
            <w:r w:rsidRPr="00906252">
              <w:rPr>
                <w:color w:val="000000"/>
                <w:sz w:val="18"/>
                <w:szCs w:val="18"/>
              </w:rPr>
              <w:t xml:space="preserve">] </w:t>
            </w:r>
          </w:p>
        </w:tc>
      </w:tr>
      <w:tr w:rsidR="005364CA" w:rsidRPr="00906252" w14:paraId="120114BC" w14:textId="77777777" w:rsidTr="00AC3862">
        <w:trPr>
          <w:trHeight w:val="300"/>
          <w:jc w:val="center"/>
        </w:trPr>
        <w:tc>
          <w:tcPr>
            <w:tcW w:w="3969" w:type="dxa"/>
            <w:tcBorders>
              <w:top w:val="nil"/>
              <w:left w:val="nil"/>
              <w:bottom w:val="nil"/>
              <w:right w:val="nil"/>
            </w:tcBorders>
            <w:noWrap/>
            <w:vAlign w:val="bottom"/>
            <w:hideMark/>
          </w:tcPr>
          <w:p w14:paraId="73927CDB" w14:textId="77777777" w:rsidR="005364CA" w:rsidRPr="00906252" w:rsidRDefault="005364CA" w:rsidP="00AC3862">
            <w:pPr>
              <w:rPr>
                <w:color w:val="000000"/>
                <w:sz w:val="18"/>
                <w:szCs w:val="18"/>
              </w:rPr>
            </w:pPr>
            <w:r w:rsidRPr="00906252">
              <w:rPr>
                <w:color w:val="000000"/>
                <w:sz w:val="18"/>
                <w:szCs w:val="18"/>
              </w:rPr>
              <w:t xml:space="preserve">     Nominal (miles de millones de pesos) </w:t>
            </w:r>
          </w:p>
        </w:tc>
        <w:tc>
          <w:tcPr>
            <w:tcW w:w="992" w:type="dxa"/>
            <w:tcBorders>
              <w:top w:val="nil"/>
              <w:left w:val="nil"/>
              <w:bottom w:val="nil"/>
              <w:right w:val="nil"/>
            </w:tcBorders>
            <w:noWrap/>
            <w:vAlign w:val="bottom"/>
            <w:hideMark/>
          </w:tcPr>
          <w:p w14:paraId="55CCDEA9" w14:textId="77777777" w:rsidR="005364CA" w:rsidRPr="00906252" w:rsidRDefault="005364CA" w:rsidP="00AC3862">
            <w:pPr>
              <w:jc w:val="right"/>
              <w:rPr>
                <w:color w:val="000000"/>
                <w:sz w:val="18"/>
                <w:szCs w:val="18"/>
              </w:rPr>
            </w:pPr>
            <w:r w:rsidRPr="00906252">
              <w:rPr>
                <w:color w:val="000000"/>
                <w:sz w:val="18"/>
                <w:szCs w:val="18"/>
              </w:rPr>
              <w:t>3</w:t>
            </w:r>
            <w:r>
              <w:rPr>
                <w:color w:val="000000"/>
                <w:sz w:val="18"/>
                <w:szCs w:val="18"/>
              </w:rPr>
              <w:t>6</w:t>
            </w:r>
            <w:r w:rsidRPr="00906252">
              <w:rPr>
                <w:color w:val="000000"/>
                <w:sz w:val="18"/>
                <w:szCs w:val="18"/>
              </w:rPr>
              <w:t>,</w:t>
            </w:r>
            <w:r>
              <w:rPr>
                <w:color w:val="000000"/>
                <w:sz w:val="18"/>
                <w:szCs w:val="18"/>
              </w:rPr>
              <w:t>166</w:t>
            </w:r>
            <w:r w:rsidRPr="00906252">
              <w:rPr>
                <w:color w:val="000000"/>
                <w:sz w:val="18"/>
                <w:szCs w:val="18"/>
              </w:rPr>
              <w:t>.</w:t>
            </w:r>
            <w:r>
              <w:rPr>
                <w:color w:val="000000"/>
                <w:sz w:val="18"/>
                <w:szCs w:val="18"/>
              </w:rPr>
              <w:t>4</w:t>
            </w:r>
          </w:p>
        </w:tc>
        <w:tc>
          <w:tcPr>
            <w:tcW w:w="1156" w:type="dxa"/>
            <w:tcBorders>
              <w:top w:val="nil"/>
              <w:left w:val="nil"/>
              <w:bottom w:val="nil"/>
              <w:right w:val="nil"/>
            </w:tcBorders>
            <w:vAlign w:val="bottom"/>
          </w:tcPr>
          <w:p w14:paraId="2F86D209" w14:textId="77777777" w:rsidR="005364CA" w:rsidRPr="00906252" w:rsidRDefault="005364CA" w:rsidP="00AC3862">
            <w:pPr>
              <w:jc w:val="right"/>
              <w:rPr>
                <w:color w:val="000000"/>
                <w:sz w:val="18"/>
                <w:szCs w:val="18"/>
              </w:rPr>
            </w:pPr>
            <w:r w:rsidRPr="00906252">
              <w:rPr>
                <w:color w:val="000000"/>
                <w:sz w:val="18"/>
                <w:szCs w:val="18"/>
              </w:rPr>
              <w:t>36,12</w:t>
            </w:r>
            <w:r>
              <w:rPr>
                <w:color w:val="000000"/>
                <w:sz w:val="18"/>
                <w:szCs w:val="18"/>
              </w:rPr>
              <w:t>5</w:t>
            </w:r>
            <w:r w:rsidRPr="00906252">
              <w:rPr>
                <w:color w:val="000000"/>
                <w:sz w:val="18"/>
                <w:szCs w:val="18"/>
              </w:rPr>
              <w:t>.</w:t>
            </w:r>
            <w:r>
              <w:rPr>
                <w:color w:val="000000"/>
                <w:sz w:val="18"/>
                <w:szCs w:val="18"/>
              </w:rPr>
              <w:t>5</w:t>
            </w:r>
          </w:p>
        </w:tc>
        <w:tc>
          <w:tcPr>
            <w:tcW w:w="1157" w:type="dxa"/>
            <w:tcBorders>
              <w:top w:val="nil"/>
              <w:left w:val="nil"/>
              <w:bottom w:val="nil"/>
              <w:right w:val="nil"/>
            </w:tcBorders>
            <w:noWrap/>
            <w:vAlign w:val="bottom"/>
            <w:hideMark/>
          </w:tcPr>
          <w:p w14:paraId="62347889" w14:textId="77777777" w:rsidR="005364CA" w:rsidRPr="00906252" w:rsidRDefault="005364CA" w:rsidP="00AC3862">
            <w:pPr>
              <w:jc w:val="right"/>
              <w:rPr>
                <w:color w:val="000000"/>
                <w:sz w:val="18"/>
                <w:szCs w:val="18"/>
              </w:rPr>
            </w:pPr>
            <w:r w:rsidRPr="00906252">
              <w:rPr>
                <w:color w:val="000000"/>
                <w:sz w:val="18"/>
                <w:szCs w:val="18"/>
              </w:rPr>
              <w:t>3</w:t>
            </w:r>
            <w:r>
              <w:rPr>
                <w:color w:val="000000"/>
                <w:sz w:val="18"/>
                <w:szCs w:val="18"/>
              </w:rPr>
              <w:t>8</w:t>
            </w:r>
            <w:r w:rsidRPr="00906252">
              <w:rPr>
                <w:color w:val="000000"/>
                <w:sz w:val="18"/>
                <w:szCs w:val="18"/>
              </w:rPr>
              <w:t>,</w:t>
            </w:r>
            <w:r>
              <w:rPr>
                <w:color w:val="000000"/>
                <w:sz w:val="18"/>
                <w:szCs w:val="18"/>
              </w:rPr>
              <w:t>715</w:t>
            </w:r>
            <w:r w:rsidRPr="00906252">
              <w:rPr>
                <w:color w:val="000000"/>
                <w:sz w:val="18"/>
                <w:szCs w:val="18"/>
              </w:rPr>
              <w:t>.</w:t>
            </w:r>
            <w:r>
              <w:rPr>
                <w:color w:val="000000"/>
                <w:sz w:val="18"/>
                <w:szCs w:val="18"/>
              </w:rPr>
              <w:t>9</w:t>
            </w:r>
          </w:p>
        </w:tc>
      </w:tr>
      <w:tr w:rsidR="005364CA" w:rsidRPr="00906252" w14:paraId="6434368E" w14:textId="77777777" w:rsidTr="00AC3862">
        <w:trPr>
          <w:trHeight w:val="300"/>
          <w:jc w:val="center"/>
        </w:trPr>
        <w:tc>
          <w:tcPr>
            <w:tcW w:w="3969" w:type="dxa"/>
            <w:tcBorders>
              <w:top w:val="nil"/>
              <w:left w:val="nil"/>
              <w:bottom w:val="nil"/>
              <w:right w:val="nil"/>
            </w:tcBorders>
            <w:shd w:val="clear" w:color="000000" w:fill="F2F2F2"/>
            <w:noWrap/>
            <w:vAlign w:val="bottom"/>
            <w:hideMark/>
          </w:tcPr>
          <w:p w14:paraId="4E853887" w14:textId="77777777" w:rsidR="005364CA" w:rsidRPr="00906252" w:rsidRDefault="005364CA" w:rsidP="00AC3862">
            <w:pPr>
              <w:rPr>
                <w:color w:val="000000"/>
                <w:sz w:val="18"/>
                <w:szCs w:val="18"/>
              </w:rPr>
            </w:pPr>
            <w:r w:rsidRPr="00906252">
              <w:rPr>
                <w:color w:val="000000"/>
                <w:sz w:val="18"/>
                <w:szCs w:val="18"/>
              </w:rPr>
              <w:t xml:space="preserve">     Deflactor del PIB  </w:t>
            </w:r>
          </w:p>
        </w:tc>
        <w:tc>
          <w:tcPr>
            <w:tcW w:w="992" w:type="dxa"/>
            <w:tcBorders>
              <w:top w:val="nil"/>
              <w:left w:val="nil"/>
              <w:bottom w:val="nil"/>
              <w:right w:val="nil"/>
            </w:tcBorders>
            <w:shd w:val="clear" w:color="000000" w:fill="F2F2F2"/>
            <w:noWrap/>
            <w:vAlign w:val="bottom"/>
            <w:hideMark/>
          </w:tcPr>
          <w:p w14:paraId="67D670C7" w14:textId="77777777" w:rsidR="005364CA" w:rsidRPr="00906252" w:rsidRDefault="005364CA" w:rsidP="00AC3862">
            <w:pPr>
              <w:jc w:val="right"/>
              <w:rPr>
                <w:color w:val="000000"/>
                <w:sz w:val="18"/>
                <w:szCs w:val="18"/>
              </w:rPr>
            </w:pPr>
            <w:r w:rsidRPr="00906252">
              <w:rPr>
                <w:color w:val="000000"/>
                <w:sz w:val="18"/>
                <w:szCs w:val="18"/>
              </w:rPr>
              <w:t>4.</w:t>
            </w:r>
            <w:r>
              <w:rPr>
                <w:color w:val="000000"/>
                <w:sz w:val="18"/>
                <w:szCs w:val="18"/>
              </w:rPr>
              <w:t>3</w:t>
            </w:r>
          </w:p>
        </w:tc>
        <w:tc>
          <w:tcPr>
            <w:tcW w:w="1156" w:type="dxa"/>
            <w:tcBorders>
              <w:top w:val="nil"/>
              <w:left w:val="nil"/>
              <w:bottom w:val="nil"/>
              <w:right w:val="nil"/>
            </w:tcBorders>
            <w:shd w:val="clear" w:color="000000" w:fill="F2F2F2"/>
            <w:vAlign w:val="bottom"/>
          </w:tcPr>
          <w:p w14:paraId="28B1650D" w14:textId="77777777" w:rsidR="005364CA" w:rsidRPr="00906252" w:rsidRDefault="005364CA" w:rsidP="00AC3862">
            <w:pPr>
              <w:jc w:val="right"/>
              <w:rPr>
                <w:color w:val="000000"/>
                <w:sz w:val="18"/>
                <w:szCs w:val="18"/>
              </w:rPr>
            </w:pPr>
            <w:r>
              <w:rPr>
                <w:color w:val="000000"/>
                <w:sz w:val="18"/>
                <w:szCs w:val="18"/>
              </w:rPr>
              <w:t>5</w:t>
            </w:r>
            <w:r w:rsidRPr="00906252">
              <w:rPr>
                <w:color w:val="000000"/>
                <w:sz w:val="18"/>
                <w:szCs w:val="18"/>
              </w:rPr>
              <w:t>.</w:t>
            </w:r>
            <w:r>
              <w:rPr>
                <w:color w:val="000000"/>
                <w:sz w:val="18"/>
                <w:szCs w:val="18"/>
              </w:rPr>
              <w:t>2</w:t>
            </w:r>
          </w:p>
        </w:tc>
        <w:tc>
          <w:tcPr>
            <w:tcW w:w="1157" w:type="dxa"/>
            <w:tcBorders>
              <w:top w:val="nil"/>
              <w:left w:val="nil"/>
              <w:bottom w:val="nil"/>
              <w:right w:val="nil"/>
            </w:tcBorders>
            <w:shd w:val="clear" w:color="000000" w:fill="F2F2F2"/>
            <w:noWrap/>
            <w:vAlign w:val="bottom"/>
            <w:hideMark/>
          </w:tcPr>
          <w:p w14:paraId="387E66A2" w14:textId="77777777" w:rsidR="005364CA" w:rsidRPr="00906252" w:rsidRDefault="005364CA" w:rsidP="00AC3862">
            <w:pPr>
              <w:jc w:val="right"/>
              <w:rPr>
                <w:color w:val="000000"/>
                <w:sz w:val="18"/>
                <w:szCs w:val="18"/>
              </w:rPr>
            </w:pPr>
            <w:r>
              <w:rPr>
                <w:color w:val="000000"/>
                <w:sz w:val="18"/>
                <w:szCs w:val="18"/>
              </w:rPr>
              <w:t>4</w:t>
            </w:r>
            <w:r w:rsidRPr="00906252">
              <w:rPr>
                <w:color w:val="000000"/>
                <w:sz w:val="18"/>
                <w:szCs w:val="18"/>
              </w:rPr>
              <w:t>.</w:t>
            </w:r>
            <w:r>
              <w:rPr>
                <w:color w:val="000000"/>
                <w:sz w:val="18"/>
                <w:szCs w:val="18"/>
              </w:rPr>
              <w:t>8</w:t>
            </w:r>
          </w:p>
        </w:tc>
      </w:tr>
      <w:tr w:rsidR="005364CA" w:rsidRPr="002A437F" w14:paraId="53349C0B" w14:textId="77777777" w:rsidTr="00AC3862">
        <w:trPr>
          <w:trHeight w:val="300"/>
          <w:jc w:val="center"/>
        </w:trPr>
        <w:tc>
          <w:tcPr>
            <w:tcW w:w="3969" w:type="dxa"/>
            <w:tcBorders>
              <w:top w:val="nil"/>
              <w:left w:val="nil"/>
              <w:bottom w:val="nil"/>
              <w:right w:val="nil"/>
            </w:tcBorders>
            <w:noWrap/>
            <w:vAlign w:val="bottom"/>
            <w:hideMark/>
          </w:tcPr>
          <w:p w14:paraId="421DE065" w14:textId="77777777" w:rsidR="005364CA" w:rsidRPr="002A437F" w:rsidRDefault="005364CA" w:rsidP="00AC3862">
            <w:pPr>
              <w:rPr>
                <w:b/>
                <w:bCs/>
                <w:color w:val="000000"/>
                <w:sz w:val="18"/>
                <w:szCs w:val="18"/>
              </w:rPr>
            </w:pPr>
            <w:r w:rsidRPr="002A437F">
              <w:rPr>
                <w:b/>
                <w:bCs/>
                <w:color w:val="000000"/>
                <w:sz w:val="18"/>
                <w:szCs w:val="18"/>
              </w:rPr>
              <w:t xml:space="preserve">Inflación (%) </w:t>
            </w:r>
          </w:p>
        </w:tc>
        <w:tc>
          <w:tcPr>
            <w:tcW w:w="992" w:type="dxa"/>
            <w:tcBorders>
              <w:top w:val="nil"/>
              <w:left w:val="nil"/>
              <w:bottom w:val="nil"/>
              <w:right w:val="nil"/>
            </w:tcBorders>
            <w:noWrap/>
            <w:vAlign w:val="bottom"/>
            <w:hideMark/>
          </w:tcPr>
          <w:p w14:paraId="0F36515F" w14:textId="77777777" w:rsidR="005364CA" w:rsidRPr="002A437F" w:rsidRDefault="005364CA" w:rsidP="00AC3862">
            <w:pPr>
              <w:rPr>
                <w:b/>
                <w:bCs/>
                <w:color w:val="000000"/>
                <w:sz w:val="18"/>
                <w:szCs w:val="18"/>
              </w:rPr>
            </w:pPr>
          </w:p>
        </w:tc>
        <w:tc>
          <w:tcPr>
            <w:tcW w:w="1156" w:type="dxa"/>
            <w:tcBorders>
              <w:top w:val="nil"/>
              <w:left w:val="nil"/>
              <w:bottom w:val="nil"/>
              <w:right w:val="nil"/>
            </w:tcBorders>
            <w:vAlign w:val="bottom"/>
          </w:tcPr>
          <w:p w14:paraId="31DC5259" w14:textId="77777777" w:rsidR="005364CA" w:rsidRPr="002A437F" w:rsidRDefault="005364CA" w:rsidP="00AC3862">
            <w:pPr>
              <w:rPr>
                <w:b/>
                <w:bCs/>
                <w:sz w:val="20"/>
                <w:szCs w:val="20"/>
              </w:rPr>
            </w:pPr>
          </w:p>
        </w:tc>
        <w:tc>
          <w:tcPr>
            <w:tcW w:w="1157" w:type="dxa"/>
            <w:tcBorders>
              <w:top w:val="nil"/>
              <w:left w:val="nil"/>
              <w:bottom w:val="nil"/>
              <w:right w:val="nil"/>
            </w:tcBorders>
            <w:noWrap/>
            <w:vAlign w:val="bottom"/>
            <w:hideMark/>
          </w:tcPr>
          <w:p w14:paraId="6C4FF9F2" w14:textId="77777777" w:rsidR="005364CA" w:rsidRPr="002A437F" w:rsidRDefault="005364CA" w:rsidP="00AC3862">
            <w:pPr>
              <w:rPr>
                <w:b/>
                <w:bCs/>
                <w:sz w:val="20"/>
                <w:szCs w:val="20"/>
              </w:rPr>
            </w:pPr>
          </w:p>
        </w:tc>
      </w:tr>
      <w:tr w:rsidR="005364CA" w:rsidRPr="00906252" w14:paraId="5924CD72" w14:textId="77777777" w:rsidTr="00AC3862">
        <w:trPr>
          <w:trHeight w:val="300"/>
          <w:jc w:val="center"/>
        </w:trPr>
        <w:tc>
          <w:tcPr>
            <w:tcW w:w="3969" w:type="dxa"/>
            <w:tcBorders>
              <w:top w:val="nil"/>
              <w:left w:val="nil"/>
              <w:bottom w:val="nil"/>
              <w:right w:val="nil"/>
            </w:tcBorders>
            <w:shd w:val="clear" w:color="000000" w:fill="F2F2F2"/>
            <w:noWrap/>
            <w:vAlign w:val="bottom"/>
            <w:hideMark/>
          </w:tcPr>
          <w:p w14:paraId="245337D3" w14:textId="77777777" w:rsidR="005364CA" w:rsidRPr="00906252" w:rsidRDefault="005364CA" w:rsidP="00AC3862">
            <w:pPr>
              <w:rPr>
                <w:color w:val="000000"/>
                <w:sz w:val="18"/>
                <w:szCs w:val="18"/>
              </w:rPr>
            </w:pPr>
            <w:r w:rsidRPr="00906252">
              <w:rPr>
                <w:color w:val="000000"/>
                <w:sz w:val="18"/>
                <w:szCs w:val="18"/>
              </w:rPr>
              <w:t xml:space="preserve">     Dic</w:t>
            </w:r>
            <w:r>
              <w:rPr>
                <w:color w:val="000000"/>
                <w:sz w:val="18"/>
                <w:szCs w:val="18"/>
              </w:rPr>
              <w:t>iembre</w:t>
            </w:r>
            <w:r w:rsidRPr="00906252">
              <w:rPr>
                <w:color w:val="000000"/>
                <w:sz w:val="18"/>
                <w:szCs w:val="18"/>
              </w:rPr>
              <w:t xml:space="preserve"> / dic</w:t>
            </w:r>
            <w:r>
              <w:rPr>
                <w:color w:val="000000"/>
                <w:sz w:val="18"/>
                <w:szCs w:val="18"/>
              </w:rPr>
              <w:t>iembre</w:t>
            </w:r>
            <w:r w:rsidRPr="00906252">
              <w:rPr>
                <w:color w:val="000000"/>
                <w:sz w:val="18"/>
                <w:szCs w:val="18"/>
              </w:rPr>
              <w:t xml:space="preserve">  </w:t>
            </w:r>
          </w:p>
        </w:tc>
        <w:tc>
          <w:tcPr>
            <w:tcW w:w="992" w:type="dxa"/>
            <w:tcBorders>
              <w:top w:val="nil"/>
              <w:left w:val="nil"/>
              <w:bottom w:val="nil"/>
              <w:right w:val="nil"/>
            </w:tcBorders>
            <w:shd w:val="clear" w:color="000000" w:fill="F2F2F2"/>
            <w:noWrap/>
            <w:vAlign w:val="bottom"/>
            <w:hideMark/>
          </w:tcPr>
          <w:p w14:paraId="27916DB9" w14:textId="77777777" w:rsidR="005364CA" w:rsidRPr="00906252" w:rsidRDefault="005364CA" w:rsidP="00AC3862">
            <w:pPr>
              <w:jc w:val="right"/>
              <w:rPr>
                <w:color w:val="000000"/>
                <w:sz w:val="18"/>
                <w:szCs w:val="18"/>
              </w:rPr>
            </w:pPr>
            <w:r w:rsidRPr="00906252">
              <w:rPr>
                <w:color w:val="000000"/>
                <w:sz w:val="18"/>
                <w:szCs w:val="18"/>
              </w:rPr>
              <w:t>3.</w:t>
            </w:r>
            <w:r>
              <w:rPr>
                <w:color w:val="000000"/>
                <w:sz w:val="18"/>
                <w:szCs w:val="18"/>
              </w:rPr>
              <w:t>5</w:t>
            </w:r>
          </w:p>
        </w:tc>
        <w:tc>
          <w:tcPr>
            <w:tcW w:w="1156" w:type="dxa"/>
            <w:tcBorders>
              <w:top w:val="nil"/>
              <w:left w:val="nil"/>
              <w:bottom w:val="nil"/>
              <w:right w:val="nil"/>
            </w:tcBorders>
            <w:shd w:val="clear" w:color="000000" w:fill="F2F2F2"/>
            <w:vAlign w:val="bottom"/>
          </w:tcPr>
          <w:p w14:paraId="112B2468" w14:textId="77777777" w:rsidR="005364CA" w:rsidRPr="00906252" w:rsidRDefault="005364CA" w:rsidP="00AC3862">
            <w:pPr>
              <w:jc w:val="right"/>
              <w:rPr>
                <w:color w:val="000000"/>
                <w:sz w:val="18"/>
                <w:szCs w:val="18"/>
              </w:rPr>
            </w:pPr>
            <w:r w:rsidRPr="00906252">
              <w:rPr>
                <w:color w:val="000000"/>
                <w:sz w:val="18"/>
                <w:szCs w:val="18"/>
              </w:rPr>
              <w:t>3.</w:t>
            </w:r>
            <w:r>
              <w:rPr>
                <w:color w:val="000000"/>
                <w:sz w:val="18"/>
                <w:szCs w:val="18"/>
              </w:rPr>
              <w:t>8</w:t>
            </w:r>
          </w:p>
        </w:tc>
        <w:tc>
          <w:tcPr>
            <w:tcW w:w="1157" w:type="dxa"/>
            <w:tcBorders>
              <w:top w:val="nil"/>
              <w:left w:val="nil"/>
              <w:bottom w:val="nil"/>
              <w:right w:val="nil"/>
            </w:tcBorders>
            <w:shd w:val="clear" w:color="000000" w:fill="F2F2F2"/>
            <w:noWrap/>
            <w:vAlign w:val="bottom"/>
            <w:hideMark/>
          </w:tcPr>
          <w:p w14:paraId="3F206739" w14:textId="77777777" w:rsidR="005364CA" w:rsidRPr="00906252" w:rsidRDefault="005364CA" w:rsidP="00AC3862">
            <w:pPr>
              <w:jc w:val="right"/>
              <w:rPr>
                <w:color w:val="000000"/>
                <w:sz w:val="18"/>
                <w:szCs w:val="18"/>
              </w:rPr>
            </w:pPr>
            <w:r w:rsidRPr="00906252">
              <w:rPr>
                <w:color w:val="000000"/>
                <w:sz w:val="18"/>
                <w:szCs w:val="18"/>
              </w:rPr>
              <w:t>3.</w:t>
            </w:r>
            <w:r>
              <w:rPr>
                <w:color w:val="000000"/>
                <w:sz w:val="18"/>
                <w:szCs w:val="18"/>
              </w:rPr>
              <w:t>0</w:t>
            </w:r>
          </w:p>
        </w:tc>
      </w:tr>
      <w:tr w:rsidR="005364CA" w:rsidRPr="00906252" w14:paraId="0D1A0221" w14:textId="77777777" w:rsidTr="00AC3862">
        <w:trPr>
          <w:trHeight w:val="300"/>
          <w:jc w:val="center"/>
        </w:trPr>
        <w:tc>
          <w:tcPr>
            <w:tcW w:w="3969" w:type="dxa"/>
            <w:tcBorders>
              <w:top w:val="nil"/>
              <w:left w:val="nil"/>
              <w:bottom w:val="nil"/>
              <w:right w:val="nil"/>
            </w:tcBorders>
            <w:noWrap/>
            <w:vAlign w:val="bottom"/>
          </w:tcPr>
          <w:p w14:paraId="73EA8326" w14:textId="77777777" w:rsidR="005364CA" w:rsidRPr="00906252" w:rsidRDefault="005364CA" w:rsidP="00AC3862">
            <w:pPr>
              <w:rPr>
                <w:color w:val="000000"/>
                <w:sz w:val="18"/>
                <w:szCs w:val="18"/>
              </w:rPr>
            </w:pPr>
            <w:r>
              <w:rPr>
                <w:color w:val="000000"/>
                <w:sz w:val="18"/>
                <w:szCs w:val="18"/>
              </w:rPr>
              <w:t xml:space="preserve">     Promedio</w:t>
            </w:r>
          </w:p>
        </w:tc>
        <w:tc>
          <w:tcPr>
            <w:tcW w:w="992" w:type="dxa"/>
            <w:tcBorders>
              <w:top w:val="nil"/>
              <w:left w:val="nil"/>
              <w:bottom w:val="nil"/>
              <w:right w:val="nil"/>
            </w:tcBorders>
            <w:noWrap/>
            <w:vAlign w:val="bottom"/>
          </w:tcPr>
          <w:p w14:paraId="06B648DC" w14:textId="77777777" w:rsidR="005364CA" w:rsidRPr="00906252" w:rsidRDefault="005364CA" w:rsidP="00AC3862">
            <w:pPr>
              <w:jc w:val="right"/>
              <w:rPr>
                <w:color w:val="000000"/>
                <w:sz w:val="18"/>
                <w:szCs w:val="18"/>
              </w:rPr>
            </w:pPr>
            <w:r>
              <w:rPr>
                <w:color w:val="000000"/>
                <w:sz w:val="18"/>
                <w:szCs w:val="18"/>
              </w:rPr>
              <w:t>3.8</w:t>
            </w:r>
          </w:p>
        </w:tc>
        <w:tc>
          <w:tcPr>
            <w:tcW w:w="1156" w:type="dxa"/>
            <w:tcBorders>
              <w:top w:val="nil"/>
              <w:left w:val="nil"/>
              <w:bottom w:val="nil"/>
              <w:right w:val="nil"/>
            </w:tcBorders>
            <w:vAlign w:val="bottom"/>
          </w:tcPr>
          <w:p w14:paraId="1A15E3BC" w14:textId="77777777" w:rsidR="005364CA" w:rsidRPr="002A437F" w:rsidRDefault="005364CA" w:rsidP="00AC3862">
            <w:pPr>
              <w:jc w:val="right"/>
              <w:rPr>
                <w:color w:val="000000"/>
                <w:sz w:val="18"/>
                <w:szCs w:val="18"/>
              </w:rPr>
            </w:pPr>
            <w:r>
              <w:rPr>
                <w:color w:val="000000"/>
                <w:sz w:val="18"/>
                <w:szCs w:val="18"/>
              </w:rPr>
              <w:t>4</w:t>
            </w:r>
            <w:r w:rsidRPr="002A437F">
              <w:rPr>
                <w:color w:val="000000"/>
                <w:sz w:val="18"/>
                <w:szCs w:val="18"/>
              </w:rPr>
              <w:t>.</w:t>
            </w:r>
            <w:r>
              <w:rPr>
                <w:color w:val="000000"/>
                <w:sz w:val="18"/>
                <w:szCs w:val="18"/>
              </w:rPr>
              <w:t>2</w:t>
            </w:r>
          </w:p>
        </w:tc>
        <w:tc>
          <w:tcPr>
            <w:tcW w:w="1157" w:type="dxa"/>
            <w:tcBorders>
              <w:top w:val="nil"/>
              <w:left w:val="nil"/>
              <w:bottom w:val="nil"/>
              <w:right w:val="nil"/>
            </w:tcBorders>
            <w:noWrap/>
            <w:vAlign w:val="bottom"/>
          </w:tcPr>
          <w:p w14:paraId="54CE6588" w14:textId="77777777" w:rsidR="005364CA" w:rsidRPr="002A437F" w:rsidRDefault="005364CA" w:rsidP="00AC3862">
            <w:pPr>
              <w:jc w:val="right"/>
              <w:rPr>
                <w:color w:val="000000"/>
                <w:sz w:val="18"/>
                <w:szCs w:val="18"/>
              </w:rPr>
            </w:pPr>
            <w:r>
              <w:rPr>
                <w:color w:val="000000"/>
                <w:sz w:val="18"/>
                <w:szCs w:val="18"/>
              </w:rPr>
              <w:t>3.5</w:t>
            </w:r>
          </w:p>
        </w:tc>
      </w:tr>
      <w:tr w:rsidR="005364CA" w:rsidRPr="002A437F" w14:paraId="2E504003" w14:textId="77777777" w:rsidTr="00AC3862">
        <w:trPr>
          <w:trHeight w:val="300"/>
          <w:jc w:val="center"/>
        </w:trPr>
        <w:tc>
          <w:tcPr>
            <w:tcW w:w="3969" w:type="dxa"/>
            <w:tcBorders>
              <w:top w:val="nil"/>
              <w:left w:val="nil"/>
              <w:bottom w:val="nil"/>
              <w:right w:val="nil"/>
            </w:tcBorders>
            <w:shd w:val="clear" w:color="auto" w:fill="F2F2F2" w:themeFill="background1" w:themeFillShade="F2"/>
            <w:noWrap/>
            <w:vAlign w:val="bottom"/>
            <w:hideMark/>
          </w:tcPr>
          <w:p w14:paraId="39D058CC" w14:textId="77777777" w:rsidR="005364CA" w:rsidRPr="002A437F" w:rsidRDefault="005364CA" w:rsidP="00AC3862">
            <w:pPr>
              <w:rPr>
                <w:b/>
                <w:bCs/>
                <w:color w:val="000000"/>
                <w:sz w:val="18"/>
                <w:szCs w:val="18"/>
              </w:rPr>
            </w:pPr>
            <w:r w:rsidRPr="002A437F">
              <w:rPr>
                <w:b/>
                <w:bCs/>
                <w:color w:val="000000"/>
                <w:sz w:val="18"/>
                <w:szCs w:val="18"/>
              </w:rPr>
              <w:t xml:space="preserve">Tipo de cambio nominal (pesos por dólar) </w:t>
            </w:r>
          </w:p>
        </w:tc>
        <w:tc>
          <w:tcPr>
            <w:tcW w:w="992" w:type="dxa"/>
            <w:tcBorders>
              <w:top w:val="nil"/>
              <w:left w:val="nil"/>
              <w:bottom w:val="nil"/>
              <w:right w:val="nil"/>
            </w:tcBorders>
            <w:shd w:val="clear" w:color="auto" w:fill="F2F2F2" w:themeFill="background1" w:themeFillShade="F2"/>
            <w:noWrap/>
            <w:vAlign w:val="bottom"/>
            <w:hideMark/>
          </w:tcPr>
          <w:p w14:paraId="08EB556A" w14:textId="77777777" w:rsidR="005364CA" w:rsidRPr="002A437F" w:rsidRDefault="005364CA" w:rsidP="00AC3862">
            <w:pPr>
              <w:jc w:val="right"/>
              <w:rPr>
                <w:color w:val="000000"/>
                <w:sz w:val="18"/>
                <w:szCs w:val="18"/>
              </w:rPr>
            </w:pPr>
          </w:p>
        </w:tc>
        <w:tc>
          <w:tcPr>
            <w:tcW w:w="1156" w:type="dxa"/>
            <w:tcBorders>
              <w:top w:val="nil"/>
              <w:left w:val="nil"/>
              <w:bottom w:val="nil"/>
              <w:right w:val="nil"/>
            </w:tcBorders>
            <w:shd w:val="clear" w:color="auto" w:fill="F2F2F2" w:themeFill="background1" w:themeFillShade="F2"/>
            <w:vAlign w:val="bottom"/>
          </w:tcPr>
          <w:p w14:paraId="47388C0A" w14:textId="77777777" w:rsidR="005364CA" w:rsidRPr="002A437F" w:rsidRDefault="005364CA" w:rsidP="00AC3862">
            <w:pPr>
              <w:jc w:val="right"/>
              <w:rPr>
                <w:color w:val="000000"/>
                <w:sz w:val="18"/>
                <w:szCs w:val="18"/>
              </w:rPr>
            </w:pPr>
          </w:p>
        </w:tc>
        <w:tc>
          <w:tcPr>
            <w:tcW w:w="1157" w:type="dxa"/>
            <w:tcBorders>
              <w:top w:val="nil"/>
              <w:left w:val="nil"/>
              <w:bottom w:val="nil"/>
              <w:right w:val="nil"/>
            </w:tcBorders>
            <w:shd w:val="clear" w:color="auto" w:fill="F2F2F2" w:themeFill="background1" w:themeFillShade="F2"/>
            <w:noWrap/>
            <w:vAlign w:val="bottom"/>
            <w:hideMark/>
          </w:tcPr>
          <w:p w14:paraId="5F612EE0" w14:textId="77777777" w:rsidR="005364CA" w:rsidRPr="002A437F" w:rsidRDefault="005364CA" w:rsidP="00AC3862">
            <w:pPr>
              <w:jc w:val="right"/>
              <w:rPr>
                <w:color w:val="000000"/>
                <w:sz w:val="18"/>
                <w:szCs w:val="18"/>
              </w:rPr>
            </w:pPr>
          </w:p>
        </w:tc>
      </w:tr>
      <w:tr w:rsidR="005364CA" w:rsidRPr="00906252" w14:paraId="5C7E8378" w14:textId="77777777" w:rsidTr="00AC3862">
        <w:trPr>
          <w:trHeight w:val="300"/>
          <w:jc w:val="center"/>
        </w:trPr>
        <w:tc>
          <w:tcPr>
            <w:tcW w:w="3969" w:type="dxa"/>
            <w:tcBorders>
              <w:top w:val="nil"/>
              <w:left w:val="nil"/>
              <w:bottom w:val="nil"/>
              <w:right w:val="nil"/>
            </w:tcBorders>
            <w:shd w:val="clear" w:color="auto" w:fill="FFFFFF" w:themeFill="background1"/>
            <w:noWrap/>
            <w:vAlign w:val="bottom"/>
            <w:hideMark/>
          </w:tcPr>
          <w:p w14:paraId="57B47780" w14:textId="77777777" w:rsidR="005364CA" w:rsidRPr="00906252" w:rsidRDefault="005364CA" w:rsidP="00AC3862">
            <w:pPr>
              <w:rPr>
                <w:color w:val="000000"/>
                <w:sz w:val="18"/>
                <w:szCs w:val="18"/>
              </w:rPr>
            </w:pPr>
            <w:r w:rsidRPr="00906252">
              <w:rPr>
                <w:color w:val="000000"/>
                <w:sz w:val="18"/>
                <w:szCs w:val="18"/>
              </w:rPr>
              <w:t xml:space="preserve">     Fin de periodo </w:t>
            </w:r>
          </w:p>
        </w:tc>
        <w:tc>
          <w:tcPr>
            <w:tcW w:w="992" w:type="dxa"/>
            <w:tcBorders>
              <w:top w:val="nil"/>
              <w:left w:val="nil"/>
              <w:bottom w:val="nil"/>
              <w:right w:val="nil"/>
            </w:tcBorders>
            <w:shd w:val="clear" w:color="auto" w:fill="FFFFFF" w:themeFill="background1"/>
            <w:noWrap/>
            <w:vAlign w:val="bottom"/>
            <w:hideMark/>
          </w:tcPr>
          <w:p w14:paraId="41593D1F" w14:textId="77777777" w:rsidR="005364CA" w:rsidRPr="00906252" w:rsidRDefault="005364CA" w:rsidP="00AC3862">
            <w:pPr>
              <w:jc w:val="right"/>
              <w:rPr>
                <w:color w:val="000000"/>
                <w:sz w:val="18"/>
                <w:szCs w:val="18"/>
              </w:rPr>
            </w:pPr>
            <w:r w:rsidRPr="00906252">
              <w:rPr>
                <w:color w:val="000000"/>
                <w:sz w:val="18"/>
                <w:szCs w:val="18"/>
              </w:rPr>
              <w:t>1</w:t>
            </w:r>
            <w:r>
              <w:rPr>
                <w:color w:val="000000"/>
                <w:sz w:val="18"/>
                <w:szCs w:val="18"/>
              </w:rPr>
              <w:t>8</w:t>
            </w:r>
            <w:r w:rsidRPr="00906252">
              <w:rPr>
                <w:color w:val="000000"/>
                <w:sz w:val="18"/>
                <w:szCs w:val="18"/>
              </w:rPr>
              <w:t>.</w:t>
            </w:r>
            <w:r>
              <w:rPr>
                <w:color w:val="000000"/>
                <w:sz w:val="18"/>
                <w:szCs w:val="18"/>
              </w:rPr>
              <w:t>5</w:t>
            </w:r>
          </w:p>
        </w:tc>
        <w:tc>
          <w:tcPr>
            <w:tcW w:w="1156" w:type="dxa"/>
            <w:tcBorders>
              <w:top w:val="nil"/>
              <w:left w:val="nil"/>
              <w:bottom w:val="nil"/>
              <w:right w:val="nil"/>
            </w:tcBorders>
            <w:shd w:val="clear" w:color="auto" w:fill="FFFFFF" w:themeFill="background1"/>
            <w:vAlign w:val="bottom"/>
          </w:tcPr>
          <w:p w14:paraId="178A9D04" w14:textId="77777777" w:rsidR="005364CA" w:rsidRPr="00906252" w:rsidRDefault="005364CA" w:rsidP="00AC3862">
            <w:pPr>
              <w:jc w:val="right"/>
              <w:rPr>
                <w:color w:val="000000"/>
                <w:sz w:val="18"/>
                <w:szCs w:val="18"/>
              </w:rPr>
            </w:pPr>
            <w:r w:rsidRPr="00906252">
              <w:rPr>
                <w:color w:val="000000"/>
                <w:sz w:val="18"/>
                <w:szCs w:val="18"/>
              </w:rPr>
              <w:t>1</w:t>
            </w:r>
            <w:r>
              <w:rPr>
                <w:color w:val="000000"/>
                <w:sz w:val="18"/>
                <w:szCs w:val="18"/>
              </w:rPr>
              <w:t>9.9</w:t>
            </w:r>
          </w:p>
        </w:tc>
        <w:tc>
          <w:tcPr>
            <w:tcW w:w="1157" w:type="dxa"/>
            <w:tcBorders>
              <w:top w:val="nil"/>
              <w:left w:val="nil"/>
              <w:bottom w:val="nil"/>
              <w:right w:val="nil"/>
            </w:tcBorders>
            <w:shd w:val="clear" w:color="auto" w:fill="FFFFFF" w:themeFill="background1"/>
            <w:noWrap/>
            <w:vAlign w:val="bottom"/>
            <w:hideMark/>
          </w:tcPr>
          <w:p w14:paraId="3BB65242" w14:textId="77777777" w:rsidR="005364CA" w:rsidRPr="00906252" w:rsidRDefault="005364CA" w:rsidP="00AC3862">
            <w:pPr>
              <w:jc w:val="right"/>
              <w:rPr>
                <w:color w:val="000000"/>
                <w:sz w:val="18"/>
                <w:szCs w:val="18"/>
              </w:rPr>
            </w:pPr>
            <w:r w:rsidRPr="00906252">
              <w:rPr>
                <w:color w:val="000000"/>
                <w:sz w:val="18"/>
                <w:szCs w:val="18"/>
              </w:rPr>
              <w:t>18</w:t>
            </w:r>
            <w:r>
              <w:rPr>
                <w:color w:val="000000"/>
                <w:sz w:val="18"/>
                <w:szCs w:val="18"/>
              </w:rPr>
              <w:t>.9</w:t>
            </w:r>
          </w:p>
        </w:tc>
      </w:tr>
      <w:tr w:rsidR="005364CA" w:rsidRPr="00906252" w14:paraId="52666EF6" w14:textId="77777777" w:rsidTr="00AC3862">
        <w:trPr>
          <w:trHeight w:val="300"/>
          <w:jc w:val="center"/>
        </w:trPr>
        <w:tc>
          <w:tcPr>
            <w:tcW w:w="3969" w:type="dxa"/>
            <w:tcBorders>
              <w:top w:val="nil"/>
              <w:left w:val="nil"/>
              <w:bottom w:val="nil"/>
              <w:right w:val="nil"/>
            </w:tcBorders>
            <w:shd w:val="clear" w:color="auto" w:fill="F2F2F2" w:themeFill="background1" w:themeFillShade="F2"/>
            <w:noWrap/>
            <w:vAlign w:val="bottom"/>
            <w:hideMark/>
          </w:tcPr>
          <w:p w14:paraId="7C867618" w14:textId="77777777" w:rsidR="005364CA" w:rsidRPr="00906252" w:rsidRDefault="005364CA" w:rsidP="00AC3862">
            <w:pPr>
              <w:rPr>
                <w:color w:val="000000"/>
                <w:sz w:val="18"/>
                <w:szCs w:val="18"/>
              </w:rPr>
            </w:pPr>
            <w:r w:rsidRPr="00906252">
              <w:rPr>
                <w:color w:val="000000"/>
                <w:sz w:val="18"/>
                <w:szCs w:val="18"/>
              </w:rPr>
              <w:t xml:space="preserve">     Promedio  </w:t>
            </w:r>
          </w:p>
        </w:tc>
        <w:tc>
          <w:tcPr>
            <w:tcW w:w="992" w:type="dxa"/>
            <w:tcBorders>
              <w:top w:val="nil"/>
              <w:left w:val="nil"/>
              <w:bottom w:val="nil"/>
              <w:right w:val="nil"/>
            </w:tcBorders>
            <w:shd w:val="clear" w:color="auto" w:fill="F2F2F2" w:themeFill="background1" w:themeFillShade="F2"/>
            <w:noWrap/>
            <w:vAlign w:val="bottom"/>
            <w:hideMark/>
          </w:tcPr>
          <w:p w14:paraId="4D6D7F50" w14:textId="77777777" w:rsidR="005364CA" w:rsidRPr="00906252" w:rsidRDefault="005364CA" w:rsidP="00AC3862">
            <w:pPr>
              <w:jc w:val="right"/>
              <w:rPr>
                <w:color w:val="000000"/>
                <w:sz w:val="18"/>
                <w:szCs w:val="18"/>
              </w:rPr>
            </w:pPr>
            <w:r w:rsidRPr="00906252">
              <w:rPr>
                <w:color w:val="000000"/>
                <w:sz w:val="18"/>
                <w:szCs w:val="18"/>
              </w:rPr>
              <w:t>1</w:t>
            </w:r>
            <w:r>
              <w:rPr>
                <w:color w:val="000000"/>
                <w:sz w:val="18"/>
                <w:szCs w:val="18"/>
              </w:rPr>
              <w:t>8</w:t>
            </w:r>
            <w:r w:rsidRPr="00906252">
              <w:rPr>
                <w:color w:val="000000"/>
                <w:sz w:val="18"/>
                <w:szCs w:val="18"/>
              </w:rPr>
              <w:t>.</w:t>
            </w:r>
            <w:r>
              <w:rPr>
                <w:color w:val="000000"/>
                <w:sz w:val="18"/>
                <w:szCs w:val="18"/>
              </w:rPr>
              <w:t>7</w:t>
            </w:r>
          </w:p>
        </w:tc>
        <w:tc>
          <w:tcPr>
            <w:tcW w:w="1156" w:type="dxa"/>
            <w:tcBorders>
              <w:top w:val="nil"/>
              <w:left w:val="nil"/>
              <w:bottom w:val="nil"/>
              <w:right w:val="nil"/>
            </w:tcBorders>
            <w:shd w:val="clear" w:color="auto" w:fill="F2F2F2" w:themeFill="background1" w:themeFillShade="F2"/>
            <w:vAlign w:val="bottom"/>
          </w:tcPr>
          <w:p w14:paraId="7CB9FEFE" w14:textId="77777777" w:rsidR="005364CA" w:rsidRPr="00906252" w:rsidRDefault="005364CA" w:rsidP="00AC3862">
            <w:pPr>
              <w:jc w:val="right"/>
              <w:rPr>
                <w:color w:val="000000"/>
                <w:sz w:val="18"/>
                <w:szCs w:val="18"/>
              </w:rPr>
            </w:pPr>
            <w:r w:rsidRPr="00906252">
              <w:rPr>
                <w:color w:val="000000"/>
                <w:sz w:val="18"/>
                <w:szCs w:val="18"/>
              </w:rPr>
              <w:t>1</w:t>
            </w:r>
            <w:r>
              <w:rPr>
                <w:color w:val="000000"/>
                <w:sz w:val="18"/>
                <w:szCs w:val="18"/>
              </w:rPr>
              <w:t>9</w:t>
            </w:r>
            <w:r w:rsidRPr="00906252">
              <w:rPr>
                <w:color w:val="000000"/>
                <w:sz w:val="18"/>
                <w:szCs w:val="18"/>
              </w:rPr>
              <w:t>.</w:t>
            </w:r>
            <w:r>
              <w:rPr>
                <w:color w:val="000000"/>
                <w:sz w:val="18"/>
                <w:szCs w:val="18"/>
              </w:rPr>
              <w:t>6</w:t>
            </w:r>
          </w:p>
        </w:tc>
        <w:tc>
          <w:tcPr>
            <w:tcW w:w="1157" w:type="dxa"/>
            <w:tcBorders>
              <w:top w:val="nil"/>
              <w:left w:val="nil"/>
              <w:bottom w:val="nil"/>
              <w:right w:val="nil"/>
            </w:tcBorders>
            <w:shd w:val="clear" w:color="auto" w:fill="F2F2F2" w:themeFill="background1" w:themeFillShade="F2"/>
            <w:noWrap/>
            <w:vAlign w:val="bottom"/>
            <w:hideMark/>
          </w:tcPr>
          <w:p w14:paraId="06785BCD" w14:textId="77777777" w:rsidR="005364CA" w:rsidRPr="00906252" w:rsidRDefault="005364CA" w:rsidP="00AC3862">
            <w:pPr>
              <w:jc w:val="right"/>
              <w:rPr>
                <w:color w:val="000000"/>
                <w:sz w:val="18"/>
                <w:szCs w:val="18"/>
              </w:rPr>
            </w:pPr>
            <w:r w:rsidRPr="00906252">
              <w:rPr>
                <w:color w:val="000000"/>
                <w:sz w:val="18"/>
                <w:szCs w:val="18"/>
              </w:rPr>
              <w:t>1</w:t>
            </w:r>
            <w:r>
              <w:rPr>
                <w:color w:val="000000"/>
                <w:sz w:val="18"/>
                <w:szCs w:val="18"/>
              </w:rPr>
              <w:t>9</w:t>
            </w:r>
            <w:r w:rsidRPr="00906252">
              <w:rPr>
                <w:color w:val="000000"/>
                <w:sz w:val="18"/>
                <w:szCs w:val="18"/>
              </w:rPr>
              <w:t>.</w:t>
            </w:r>
            <w:r>
              <w:rPr>
                <w:color w:val="000000"/>
                <w:sz w:val="18"/>
                <w:szCs w:val="18"/>
              </w:rPr>
              <w:t>3</w:t>
            </w:r>
          </w:p>
        </w:tc>
      </w:tr>
      <w:tr w:rsidR="005364CA" w:rsidRPr="002A437F" w14:paraId="6CC66AF0" w14:textId="77777777" w:rsidTr="00AC3862">
        <w:trPr>
          <w:trHeight w:val="300"/>
          <w:jc w:val="center"/>
        </w:trPr>
        <w:tc>
          <w:tcPr>
            <w:tcW w:w="3969" w:type="dxa"/>
            <w:tcBorders>
              <w:top w:val="nil"/>
              <w:left w:val="nil"/>
              <w:bottom w:val="nil"/>
              <w:right w:val="nil"/>
            </w:tcBorders>
            <w:shd w:val="clear" w:color="auto" w:fill="FFFFFF" w:themeFill="background1"/>
            <w:noWrap/>
            <w:vAlign w:val="bottom"/>
            <w:hideMark/>
          </w:tcPr>
          <w:p w14:paraId="3EBBA2A4" w14:textId="77777777" w:rsidR="005364CA" w:rsidRPr="002A437F" w:rsidRDefault="005364CA" w:rsidP="00AC3862">
            <w:pPr>
              <w:rPr>
                <w:b/>
                <w:bCs/>
                <w:color w:val="000000"/>
                <w:sz w:val="18"/>
                <w:szCs w:val="18"/>
              </w:rPr>
            </w:pPr>
            <w:r w:rsidRPr="002A437F">
              <w:rPr>
                <w:b/>
                <w:bCs/>
                <w:color w:val="000000"/>
                <w:sz w:val="18"/>
                <w:szCs w:val="18"/>
              </w:rPr>
              <w:t xml:space="preserve">Tasa de interés (Cetes 28 días, %) </w:t>
            </w:r>
          </w:p>
        </w:tc>
        <w:tc>
          <w:tcPr>
            <w:tcW w:w="992" w:type="dxa"/>
            <w:tcBorders>
              <w:top w:val="nil"/>
              <w:left w:val="nil"/>
              <w:bottom w:val="nil"/>
              <w:right w:val="nil"/>
            </w:tcBorders>
            <w:shd w:val="clear" w:color="auto" w:fill="FFFFFF" w:themeFill="background1"/>
            <w:noWrap/>
            <w:vAlign w:val="bottom"/>
            <w:hideMark/>
          </w:tcPr>
          <w:p w14:paraId="3F5B4E29" w14:textId="77777777" w:rsidR="005364CA" w:rsidRPr="002A437F" w:rsidRDefault="005364CA" w:rsidP="00AC3862">
            <w:pPr>
              <w:rPr>
                <w:b/>
                <w:bCs/>
                <w:color w:val="000000"/>
                <w:sz w:val="18"/>
                <w:szCs w:val="18"/>
              </w:rPr>
            </w:pPr>
            <w:r w:rsidRPr="002A437F">
              <w:rPr>
                <w:b/>
                <w:bCs/>
                <w:color w:val="000000"/>
                <w:sz w:val="18"/>
                <w:szCs w:val="18"/>
              </w:rPr>
              <w:t> </w:t>
            </w:r>
          </w:p>
        </w:tc>
        <w:tc>
          <w:tcPr>
            <w:tcW w:w="1156" w:type="dxa"/>
            <w:tcBorders>
              <w:top w:val="nil"/>
              <w:left w:val="nil"/>
              <w:bottom w:val="nil"/>
              <w:right w:val="nil"/>
            </w:tcBorders>
            <w:shd w:val="clear" w:color="auto" w:fill="FFFFFF" w:themeFill="background1"/>
            <w:vAlign w:val="bottom"/>
          </w:tcPr>
          <w:p w14:paraId="2CD259E8" w14:textId="77777777" w:rsidR="005364CA" w:rsidRPr="002A437F" w:rsidRDefault="005364CA" w:rsidP="00AC3862">
            <w:pPr>
              <w:rPr>
                <w:b/>
                <w:bCs/>
                <w:color w:val="000000"/>
                <w:sz w:val="18"/>
                <w:szCs w:val="18"/>
              </w:rPr>
            </w:pPr>
            <w:r w:rsidRPr="002A437F">
              <w:rPr>
                <w:b/>
                <w:bCs/>
                <w:color w:val="000000"/>
                <w:sz w:val="18"/>
                <w:szCs w:val="18"/>
              </w:rPr>
              <w:t> </w:t>
            </w:r>
          </w:p>
        </w:tc>
        <w:tc>
          <w:tcPr>
            <w:tcW w:w="1157" w:type="dxa"/>
            <w:tcBorders>
              <w:top w:val="nil"/>
              <w:left w:val="nil"/>
              <w:bottom w:val="nil"/>
              <w:right w:val="nil"/>
            </w:tcBorders>
            <w:shd w:val="clear" w:color="auto" w:fill="FFFFFF" w:themeFill="background1"/>
            <w:noWrap/>
            <w:vAlign w:val="bottom"/>
            <w:hideMark/>
          </w:tcPr>
          <w:p w14:paraId="1CCFD90C" w14:textId="77777777" w:rsidR="005364CA" w:rsidRPr="002A437F" w:rsidRDefault="005364CA" w:rsidP="00AC3862">
            <w:pPr>
              <w:rPr>
                <w:b/>
                <w:bCs/>
                <w:color w:val="000000"/>
                <w:sz w:val="18"/>
                <w:szCs w:val="18"/>
              </w:rPr>
            </w:pPr>
            <w:r w:rsidRPr="002A437F">
              <w:rPr>
                <w:b/>
                <w:bCs/>
                <w:color w:val="000000"/>
                <w:sz w:val="18"/>
                <w:szCs w:val="18"/>
              </w:rPr>
              <w:t> </w:t>
            </w:r>
          </w:p>
        </w:tc>
      </w:tr>
      <w:tr w:rsidR="005364CA" w:rsidRPr="00906252" w14:paraId="27DD10BA" w14:textId="77777777" w:rsidTr="00AC3862">
        <w:trPr>
          <w:trHeight w:val="300"/>
          <w:jc w:val="center"/>
        </w:trPr>
        <w:tc>
          <w:tcPr>
            <w:tcW w:w="3969" w:type="dxa"/>
            <w:tcBorders>
              <w:top w:val="nil"/>
              <w:left w:val="nil"/>
              <w:bottom w:val="nil"/>
              <w:right w:val="nil"/>
            </w:tcBorders>
            <w:shd w:val="clear" w:color="auto" w:fill="F2F2F2" w:themeFill="background1" w:themeFillShade="F2"/>
            <w:noWrap/>
            <w:vAlign w:val="bottom"/>
            <w:hideMark/>
          </w:tcPr>
          <w:p w14:paraId="13016144" w14:textId="77777777" w:rsidR="005364CA" w:rsidRPr="00906252" w:rsidRDefault="005364CA" w:rsidP="00AC3862">
            <w:pPr>
              <w:rPr>
                <w:color w:val="000000"/>
                <w:sz w:val="18"/>
                <w:szCs w:val="18"/>
              </w:rPr>
            </w:pPr>
            <w:r w:rsidRPr="00906252">
              <w:rPr>
                <w:color w:val="000000"/>
                <w:sz w:val="18"/>
                <w:szCs w:val="18"/>
              </w:rPr>
              <w:t xml:space="preserve">     Nominal fin de periodo  </w:t>
            </w:r>
          </w:p>
        </w:tc>
        <w:tc>
          <w:tcPr>
            <w:tcW w:w="992" w:type="dxa"/>
            <w:tcBorders>
              <w:top w:val="nil"/>
              <w:left w:val="nil"/>
              <w:bottom w:val="nil"/>
              <w:right w:val="nil"/>
            </w:tcBorders>
            <w:shd w:val="clear" w:color="auto" w:fill="F2F2F2" w:themeFill="background1" w:themeFillShade="F2"/>
            <w:noWrap/>
            <w:vAlign w:val="bottom"/>
            <w:hideMark/>
          </w:tcPr>
          <w:p w14:paraId="36FD2CB8" w14:textId="77777777" w:rsidR="005364CA" w:rsidRPr="00906252" w:rsidRDefault="005364CA" w:rsidP="00AC3862">
            <w:pPr>
              <w:jc w:val="right"/>
              <w:rPr>
                <w:color w:val="000000"/>
                <w:sz w:val="18"/>
                <w:szCs w:val="18"/>
              </w:rPr>
            </w:pPr>
            <w:r>
              <w:rPr>
                <w:color w:val="000000"/>
                <w:sz w:val="18"/>
                <w:szCs w:val="18"/>
              </w:rPr>
              <w:t>8</w:t>
            </w:r>
            <w:r w:rsidRPr="00906252">
              <w:rPr>
                <w:color w:val="000000"/>
                <w:sz w:val="18"/>
                <w:szCs w:val="18"/>
              </w:rPr>
              <w:t>.</w:t>
            </w:r>
            <w:r>
              <w:rPr>
                <w:color w:val="000000"/>
                <w:sz w:val="18"/>
                <w:szCs w:val="18"/>
              </w:rPr>
              <w:t>0</w:t>
            </w:r>
          </w:p>
        </w:tc>
        <w:tc>
          <w:tcPr>
            <w:tcW w:w="1156" w:type="dxa"/>
            <w:tcBorders>
              <w:top w:val="nil"/>
              <w:left w:val="nil"/>
              <w:bottom w:val="nil"/>
              <w:right w:val="nil"/>
            </w:tcBorders>
            <w:shd w:val="clear" w:color="auto" w:fill="F2F2F2" w:themeFill="background1" w:themeFillShade="F2"/>
            <w:vAlign w:val="bottom"/>
          </w:tcPr>
          <w:p w14:paraId="29A95F78" w14:textId="77777777" w:rsidR="005364CA" w:rsidRPr="00906252" w:rsidRDefault="005364CA" w:rsidP="00AC3862">
            <w:pPr>
              <w:jc w:val="right"/>
              <w:rPr>
                <w:color w:val="000000"/>
                <w:sz w:val="18"/>
                <w:szCs w:val="18"/>
              </w:rPr>
            </w:pPr>
            <w:r w:rsidRPr="00906252">
              <w:rPr>
                <w:color w:val="000000"/>
                <w:sz w:val="18"/>
                <w:szCs w:val="18"/>
              </w:rPr>
              <w:t>7</w:t>
            </w:r>
            <w:r>
              <w:rPr>
                <w:color w:val="000000"/>
                <w:sz w:val="18"/>
                <w:szCs w:val="18"/>
              </w:rPr>
              <w:t>.3</w:t>
            </w:r>
          </w:p>
        </w:tc>
        <w:tc>
          <w:tcPr>
            <w:tcW w:w="1157" w:type="dxa"/>
            <w:tcBorders>
              <w:top w:val="nil"/>
              <w:left w:val="nil"/>
              <w:bottom w:val="nil"/>
              <w:right w:val="nil"/>
            </w:tcBorders>
            <w:shd w:val="clear" w:color="auto" w:fill="F2F2F2" w:themeFill="background1" w:themeFillShade="F2"/>
            <w:noWrap/>
            <w:vAlign w:val="bottom"/>
            <w:hideMark/>
          </w:tcPr>
          <w:p w14:paraId="61C04327" w14:textId="77777777" w:rsidR="005364CA" w:rsidRPr="00906252" w:rsidRDefault="005364CA" w:rsidP="00AC3862">
            <w:pPr>
              <w:jc w:val="right"/>
              <w:rPr>
                <w:color w:val="000000"/>
                <w:sz w:val="18"/>
                <w:szCs w:val="18"/>
              </w:rPr>
            </w:pPr>
            <w:r>
              <w:rPr>
                <w:color w:val="000000"/>
                <w:sz w:val="18"/>
                <w:szCs w:val="18"/>
              </w:rPr>
              <w:t>6.0</w:t>
            </w:r>
          </w:p>
        </w:tc>
      </w:tr>
      <w:tr w:rsidR="005364CA" w:rsidRPr="00906252" w14:paraId="5A1E8F17" w14:textId="77777777" w:rsidTr="00AC3862">
        <w:trPr>
          <w:trHeight w:val="300"/>
          <w:jc w:val="center"/>
        </w:trPr>
        <w:tc>
          <w:tcPr>
            <w:tcW w:w="3969" w:type="dxa"/>
            <w:tcBorders>
              <w:top w:val="nil"/>
              <w:left w:val="nil"/>
              <w:bottom w:val="nil"/>
              <w:right w:val="nil"/>
            </w:tcBorders>
            <w:shd w:val="clear" w:color="auto" w:fill="FFFFFF" w:themeFill="background1"/>
            <w:noWrap/>
            <w:vAlign w:val="bottom"/>
            <w:hideMark/>
          </w:tcPr>
          <w:p w14:paraId="66D77613" w14:textId="77777777" w:rsidR="005364CA" w:rsidRPr="00906252" w:rsidRDefault="005364CA" w:rsidP="00AC3862">
            <w:pPr>
              <w:rPr>
                <w:color w:val="000000"/>
                <w:sz w:val="18"/>
                <w:szCs w:val="18"/>
              </w:rPr>
            </w:pPr>
            <w:r w:rsidRPr="00906252">
              <w:rPr>
                <w:color w:val="000000"/>
                <w:sz w:val="18"/>
                <w:szCs w:val="18"/>
              </w:rPr>
              <w:t xml:space="preserve">     Nominal promedio  </w:t>
            </w:r>
          </w:p>
        </w:tc>
        <w:tc>
          <w:tcPr>
            <w:tcW w:w="992" w:type="dxa"/>
            <w:tcBorders>
              <w:top w:val="nil"/>
              <w:left w:val="nil"/>
              <w:bottom w:val="nil"/>
              <w:right w:val="nil"/>
            </w:tcBorders>
            <w:shd w:val="clear" w:color="auto" w:fill="FFFFFF" w:themeFill="background1"/>
            <w:noWrap/>
            <w:vAlign w:val="bottom"/>
            <w:hideMark/>
          </w:tcPr>
          <w:p w14:paraId="72D9B42E" w14:textId="77777777" w:rsidR="005364CA" w:rsidRPr="00906252" w:rsidRDefault="005364CA" w:rsidP="00AC3862">
            <w:pPr>
              <w:jc w:val="right"/>
              <w:rPr>
                <w:color w:val="000000"/>
                <w:sz w:val="18"/>
                <w:szCs w:val="18"/>
              </w:rPr>
            </w:pPr>
            <w:r>
              <w:rPr>
                <w:color w:val="000000"/>
                <w:sz w:val="18"/>
                <w:szCs w:val="18"/>
              </w:rPr>
              <w:t>8</w:t>
            </w:r>
            <w:r w:rsidRPr="00906252">
              <w:rPr>
                <w:color w:val="000000"/>
                <w:sz w:val="18"/>
                <w:szCs w:val="18"/>
              </w:rPr>
              <w:t>.</w:t>
            </w:r>
            <w:r>
              <w:rPr>
                <w:color w:val="000000"/>
                <w:sz w:val="18"/>
                <w:szCs w:val="18"/>
              </w:rPr>
              <w:t>9</w:t>
            </w:r>
          </w:p>
        </w:tc>
        <w:tc>
          <w:tcPr>
            <w:tcW w:w="1156" w:type="dxa"/>
            <w:tcBorders>
              <w:top w:val="nil"/>
              <w:left w:val="nil"/>
              <w:bottom w:val="nil"/>
              <w:right w:val="nil"/>
            </w:tcBorders>
            <w:shd w:val="clear" w:color="auto" w:fill="FFFFFF" w:themeFill="background1"/>
            <w:vAlign w:val="bottom"/>
          </w:tcPr>
          <w:p w14:paraId="24E23D87" w14:textId="77777777" w:rsidR="005364CA" w:rsidRPr="00906252" w:rsidRDefault="005364CA" w:rsidP="00AC3862">
            <w:pPr>
              <w:jc w:val="right"/>
              <w:rPr>
                <w:color w:val="000000"/>
                <w:sz w:val="18"/>
                <w:szCs w:val="18"/>
              </w:rPr>
            </w:pPr>
            <w:r w:rsidRPr="00906252">
              <w:rPr>
                <w:color w:val="000000"/>
                <w:sz w:val="18"/>
                <w:szCs w:val="18"/>
              </w:rPr>
              <w:t>8.</w:t>
            </w:r>
            <w:r>
              <w:rPr>
                <w:color w:val="000000"/>
                <w:sz w:val="18"/>
                <w:szCs w:val="18"/>
              </w:rPr>
              <w:t>4</w:t>
            </w:r>
          </w:p>
        </w:tc>
        <w:tc>
          <w:tcPr>
            <w:tcW w:w="1157" w:type="dxa"/>
            <w:tcBorders>
              <w:top w:val="nil"/>
              <w:left w:val="nil"/>
              <w:bottom w:val="nil"/>
              <w:right w:val="nil"/>
            </w:tcBorders>
            <w:shd w:val="clear" w:color="auto" w:fill="FFFFFF" w:themeFill="background1"/>
            <w:noWrap/>
            <w:vAlign w:val="bottom"/>
            <w:hideMark/>
          </w:tcPr>
          <w:p w14:paraId="165F1E6A" w14:textId="77777777" w:rsidR="005364CA" w:rsidRPr="00906252" w:rsidRDefault="005364CA" w:rsidP="00AC3862">
            <w:pPr>
              <w:jc w:val="right"/>
              <w:rPr>
                <w:color w:val="000000"/>
                <w:sz w:val="18"/>
                <w:szCs w:val="18"/>
              </w:rPr>
            </w:pPr>
            <w:r>
              <w:rPr>
                <w:color w:val="000000"/>
                <w:sz w:val="18"/>
                <w:szCs w:val="18"/>
              </w:rPr>
              <w:t>6</w:t>
            </w:r>
            <w:r w:rsidRPr="00906252">
              <w:rPr>
                <w:color w:val="000000"/>
                <w:sz w:val="18"/>
                <w:szCs w:val="18"/>
              </w:rPr>
              <w:t>.</w:t>
            </w:r>
            <w:r>
              <w:rPr>
                <w:color w:val="000000"/>
                <w:sz w:val="18"/>
                <w:szCs w:val="18"/>
              </w:rPr>
              <w:t>6</w:t>
            </w:r>
          </w:p>
        </w:tc>
      </w:tr>
      <w:tr w:rsidR="005364CA" w:rsidRPr="00906252" w14:paraId="0DC67273" w14:textId="77777777" w:rsidTr="00AC3862">
        <w:trPr>
          <w:trHeight w:val="300"/>
          <w:jc w:val="center"/>
        </w:trPr>
        <w:tc>
          <w:tcPr>
            <w:tcW w:w="3969" w:type="dxa"/>
            <w:tcBorders>
              <w:top w:val="nil"/>
              <w:left w:val="nil"/>
              <w:bottom w:val="nil"/>
              <w:right w:val="nil"/>
            </w:tcBorders>
            <w:shd w:val="clear" w:color="auto" w:fill="F2F2F2" w:themeFill="background1" w:themeFillShade="F2"/>
            <w:noWrap/>
            <w:vAlign w:val="bottom"/>
            <w:hideMark/>
          </w:tcPr>
          <w:p w14:paraId="6164433D" w14:textId="77777777" w:rsidR="005364CA" w:rsidRPr="00906252" w:rsidRDefault="005364CA" w:rsidP="00AC3862">
            <w:pPr>
              <w:rPr>
                <w:color w:val="000000"/>
                <w:sz w:val="18"/>
                <w:szCs w:val="18"/>
              </w:rPr>
            </w:pPr>
            <w:r w:rsidRPr="00906252">
              <w:rPr>
                <w:color w:val="000000"/>
                <w:sz w:val="18"/>
                <w:szCs w:val="18"/>
              </w:rPr>
              <w:t xml:space="preserve">     Real acumulada </w:t>
            </w:r>
          </w:p>
        </w:tc>
        <w:tc>
          <w:tcPr>
            <w:tcW w:w="992" w:type="dxa"/>
            <w:tcBorders>
              <w:top w:val="nil"/>
              <w:left w:val="nil"/>
              <w:bottom w:val="nil"/>
              <w:right w:val="nil"/>
            </w:tcBorders>
            <w:shd w:val="clear" w:color="auto" w:fill="F2F2F2" w:themeFill="background1" w:themeFillShade="F2"/>
            <w:noWrap/>
            <w:vAlign w:val="bottom"/>
            <w:hideMark/>
          </w:tcPr>
          <w:p w14:paraId="5E746BDA" w14:textId="77777777" w:rsidR="005364CA" w:rsidRPr="00906252" w:rsidRDefault="005364CA" w:rsidP="00AC3862">
            <w:pPr>
              <w:jc w:val="right"/>
              <w:rPr>
                <w:color w:val="000000"/>
                <w:sz w:val="18"/>
                <w:szCs w:val="18"/>
              </w:rPr>
            </w:pPr>
            <w:r>
              <w:rPr>
                <w:color w:val="000000"/>
                <w:sz w:val="18"/>
                <w:szCs w:val="18"/>
              </w:rPr>
              <w:t>5</w:t>
            </w:r>
            <w:r w:rsidRPr="00906252">
              <w:rPr>
                <w:color w:val="000000"/>
                <w:sz w:val="18"/>
                <w:szCs w:val="18"/>
              </w:rPr>
              <w:t>.</w:t>
            </w:r>
            <w:r>
              <w:rPr>
                <w:color w:val="000000"/>
                <w:sz w:val="18"/>
                <w:szCs w:val="18"/>
              </w:rPr>
              <w:t>6</w:t>
            </w:r>
          </w:p>
        </w:tc>
        <w:tc>
          <w:tcPr>
            <w:tcW w:w="1156" w:type="dxa"/>
            <w:tcBorders>
              <w:top w:val="nil"/>
              <w:left w:val="nil"/>
              <w:bottom w:val="nil"/>
              <w:right w:val="nil"/>
            </w:tcBorders>
            <w:shd w:val="clear" w:color="auto" w:fill="F2F2F2" w:themeFill="background1" w:themeFillShade="F2"/>
            <w:vAlign w:val="bottom"/>
          </w:tcPr>
          <w:p w14:paraId="335A6B3B" w14:textId="77777777" w:rsidR="005364CA" w:rsidRPr="00906252" w:rsidRDefault="005364CA" w:rsidP="00AC3862">
            <w:pPr>
              <w:jc w:val="right"/>
              <w:rPr>
                <w:color w:val="000000"/>
                <w:sz w:val="18"/>
                <w:szCs w:val="18"/>
              </w:rPr>
            </w:pPr>
            <w:r w:rsidRPr="00906252">
              <w:rPr>
                <w:color w:val="000000"/>
                <w:sz w:val="18"/>
                <w:szCs w:val="18"/>
              </w:rPr>
              <w:t>4.</w:t>
            </w:r>
            <w:r>
              <w:rPr>
                <w:color w:val="000000"/>
                <w:sz w:val="18"/>
                <w:szCs w:val="18"/>
              </w:rPr>
              <w:t>8</w:t>
            </w:r>
          </w:p>
        </w:tc>
        <w:tc>
          <w:tcPr>
            <w:tcW w:w="1157" w:type="dxa"/>
            <w:tcBorders>
              <w:top w:val="nil"/>
              <w:left w:val="nil"/>
              <w:bottom w:val="nil"/>
              <w:right w:val="nil"/>
            </w:tcBorders>
            <w:shd w:val="clear" w:color="auto" w:fill="F2F2F2" w:themeFill="background1" w:themeFillShade="F2"/>
            <w:noWrap/>
            <w:vAlign w:val="bottom"/>
            <w:hideMark/>
          </w:tcPr>
          <w:p w14:paraId="2ED07287" w14:textId="77777777" w:rsidR="005364CA" w:rsidRPr="00906252" w:rsidRDefault="005364CA" w:rsidP="00AC3862">
            <w:pPr>
              <w:jc w:val="right"/>
              <w:rPr>
                <w:color w:val="000000"/>
                <w:sz w:val="18"/>
                <w:szCs w:val="18"/>
              </w:rPr>
            </w:pPr>
            <w:r>
              <w:rPr>
                <w:color w:val="000000"/>
                <w:sz w:val="18"/>
                <w:szCs w:val="18"/>
              </w:rPr>
              <w:t>3</w:t>
            </w:r>
            <w:r w:rsidRPr="00906252">
              <w:rPr>
                <w:color w:val="000000"/>
                <w:sz w:val="18"/>
                <w:szCs w:val="18"/>
              </w:rPr>
              <w:t>.</w:t>
            </w:r>
            <w:r>
              <w:rPr>
                <w:color w:val="000000"/>
                <w:sz w:val="18"/>
                <w:szCs w:val="18"/>
              </w:rPr>
              <w:t>6</w:t>
            </w:r>
          </w:p>
        </w:tc>
      </w:tr>
      <w:tr w:rsidR="005364CA" w:rsidRPr="002A437F" w14:paraId="109A01C4" w14:textId="77777777" w:rsidTr="00AC3862">
        <w:trPr>
          <w:trHeight w:val="300"/>
          <w:jc w:val="center"/>
        </w:trPr>
        <w:tc>
          <w:tcPr>
            <w:tcW w:w="3969" w:type="dxa"/>
            <w:tcBorders>
              <w:top w:val="nil"/>
              <w:left w:val="nil"/>
              <w:bottom w:val="nil"/>
              <w:right w:val="nil"/>
            </w:tcBorders>
            <w:shd w:val="clear" w:color="auto" w:fill="FFFFFF" w:themeFill="background1"/>
            <w:noWrap/>
            <w:vAlign w:val="bottom"/>
            <w:hideMark/>
          </w:tcPr>
          <w:p w14:paraId="11214B3F" w14:textId="77777777" w:rsidR="005364CA" w:rsidRPr="002A437F" w:rsidRDefault="005364CA" w:rsidP="00AC3862">
            <w:pPr>
              <w:rPr>
                <w:b/>
                <w:bCs/>
                <w:color w:val="000000"/>
                <w:sz w:val="18"/>
                <w:szCs w:val="18"/>
              </w:rPr>
            </w:pPr>
            <w:r w:rsidRPr="002A437F">
              <w:rPr>
                <w:b/>
                <w:bCs/>
                <w:color w:val="000000"/>
                <w:sz w:val="18"/>
                <w:szCs w:val="18"/>
              </w:rPr>
              <w:t xml:space="preserve">Cuenta Corriente </w:t>
            </w:r>
          </w:p>
        </w:tc>
        <w:tc>
          <w:tcPr>
            <w:tcW w:w="992" w:type="dxa"/>
            <w:tcBorders>
              <w:top w:val="nil"/>
              <w:left w:val="nil"/>
              <w:bottom w:val="nil"/>
              <w:right w:val="nil"/>
            </w:tcBorders>
            <w:shd w:val="clear" w:color="auto" w:fill="FFFFFF" w:themeFill="background1"/>
            <w:noWrap/>
            <w:vAlign w:val="bottom"/>
            <w:hideMark/>
          </w:tcPr>
          <w:p w14:paraId="45505C78" w14:textId="77777777" w:rsidR="005364CA" w:rsidRPr="002A437F" w:rsidRDefault="005364CA" w:rsidP="00AC3862">
            <w:pPr>
              <w:rPr>
                <w:b/>
                <w:bCs/>
                <w:color w:val="000000"/>
                <w:sz w:val="18"/>
                <w:szCs w:val="18"/>
              </w:rPr>
            </w:pPr>
            <w:r w:rsidRPr="002A437F">
              <w:rPr>
                <w:b/>
                <w:bCs/>
                <w:color w:val="000000"/>
                <w:sz w:val="18"/>
                <w:szCs w:val="18"/>
              </w:rPr>
              <w:t> </w:t>
            </w:r>
          </w:p>
        </w:tc>
        <w:tc>
          <w:tcPr>
            <w:tcW w:w="1156" w:type="dxa"/>
            <w:tcBorders>
              <w:top w:val="nil"/>
              <w:left w:val="nil"/>
              <w:bottom w:val="nil"/>
              <w:right w:val="nil"/>
            </w:tcBorders>
            <w:shd w:val="clear" w:color="auto" w:fill="FFFFFF" w:themeFill="background1"/>
            <w:vAlign w:val="bottom"/>
          </w:tcPr>
          <w:p w14:paraId="36F8445B" w14:textId="77777777" w:rsidR="005364CA" w:rsidRPr="002A437F" w:rsidRDefault="005364CA" w:rsidP="00AC3862">
            <w:pPr>
              <w:rPr>
                <w:b/>
                <w:bCs/>
                <w:color w:val="000000"/>
                <w:sz w:val="18"/>
                <w:szCs w:val="18"/>
              </w:rPr>
            </w:pPr>
            <w:r w:rsidRPr="002A437F">
              <w:rPr>
                <w:b/>
                <w:bCs/>
                <w:color w:val="000000"/>
                <w:sz w:val="18"/>
                <w:szCs w:val="18"/>
              </w:rPr>
              <w:t> </w:t>
            </w:r>
          </w:p>
        </w:tc>
        <w:tc>
          <w:tcPr>
            <w:tcW w:w="1157" w:type="dxa"/>
            <w:tcBorders>
              <w:top w:val="nil"/>
              <w:left w:val="nil"/>
              <w:bottom w:val="nil"/>
              <w:right w:val="nil"/>
            </w:tcBorders>
            <w:shd w:val="clear" w:color="auto" w:fill="FFFFFF" w:themeFill="background1"/>
            <w:noWrap/>
            <w:vAlign w:val="bottom"/>
            <w:hideMark/>
          </w:tcPr>
          <w:p w14:paraId="6D632BF3" w14:textId="77777777" w:rsidR="005364CA" w:rsidRPr="002A437F" w:rsidRDefault="005364CA" w:rsidP="00AC3862">
            <w:pPr>
              <w:rPr>
                <w:b/>
                <w:bCs/>
                <w:color w:val="000000"/>
                <w:sz w:val="18"/>
                <w:szCs w:val="18"/>
              </w:rPr>
            </w:pPr>
            <w:r w:rsidRPr="002A437F">
              <w:rPr>
                <w:b/>
                <w:bCs/>
                <w:color w:val="000000"/>
                <w:sz w:val="18"/>
                <w:szCs w:val="18"/>
              </w:rPr>
              <w:t> </w:t>
            </w:r>
          </w:p>
        </w:tc>
      </w:tr>
      <w:tr w:rsidR="005364CA" w:rsidRPr="00906252" w14:paraId="42EEF84B" w14:textId="77777777" w:rsidTr="00AC3862">
        <w:trPr>
          <w:trHeight w:val="300"/>
          <w:jc w:val="center"/>
        </w:trPr>
        <w:tc>
          <w:tcPr>
            <w:tcW w:w="3969" w:type="dxa"/>
            <w:tcBorders>
              <w:top w:val="nil"/>
              <w:left w:val="nil"/>
              <w:right w:val="nil"/>
            </w:tcBorders>
            <w:shd w:val="clear" w:color="auto" w:fill="F2F2F2" w:themeFill="background1" w:themeFillShade="F2"/>
            <w:noWrap/>
            <w:vAlign w:val="bottom"/>
            <w:hideMark/>
          </w:tcPr>
          <w:p w14:paraId="7F4272AC" w14:textId="77777777" w:rsidR="005364CA" w:rsidRPr="00906252" w:rsidRDefault="005364CA" w:rsidP="00AC3862">
            <w:pPr>
              <w:rPr>
                <w:color w:val="000000"/>
                <w:sz w:val="18"/>
                <w:szCs w:val="18"/>
              </w:rPr>
            </w:pPr>
            <w:r w:rsidRPr="00906252">
              <w:rPr>
                <w:color w:val="000000"/>
                <w:sz w:val="18"/>
                <w:szCs w:val="18"/>
              </w:rPr>
              <w:t xml:space="preserve">     Millones de dólares </w:t>
            </w:r>
          </w:p>
        </w:tc>
        <w:tc>
          <w:tcPr>
            <w:tcW w:w="992" w:type="dxa"/>
            <w:tcBorders>
              <w:top w:val="nil"/>
              <w:left w:val="nil"/>
              <w:right w:val="nil"/>
            </w:tcBorders>
            <w:shd w:val="clear" w:color="auto" w:fill="F2F2F2" w:themeFill="background1" w:themeFillShade="F2"/>
            <w:noWrap/>
            <w:vAlign w:val="bottom"/>
            <w:hideMark/>
          </w:tcPr>
          <w:p w14:paraId="333632B6" w14:textId="77777777" w:rsidR="005364CA" w:rsidRPr="00906252" w:rsidRDefault="005364CA" w:rsidP="00AC3862">
            <w:pPr>
              <w:jc w:val="right"/>
              <w:rPr>
                <w:color w:val="000000"/>
                <w:sz w:val="18"/>
                <w:szCs w:val="18"/>
              </w:rPr>
            </w:pPr>
            <w:r w:rsidRPr="00906252">
              <w:rPr>
                <w:color w:val="000000"/>
                <w:sz w:val="18"/>
                <w:szCs w:val="18"/>
              </w:rPr>
              <w:t>-</w:t>
            </w:r>
            <w:r>
              <w:rPr>
                <w:color w:val="000000"/>
                <w:sz w:val="18"/>
                <w:szCs w:val="18"/>
              </w:rPr>
              <w:t>7</w:t>
            </w:r>
            <w:r w:rsidRPr="00906252">
              <w:rPr>
                <w:color w:val="000000"/>
                <w:sz w:val="18"/>
                <w:szCs w:val="18"/>
              </w:rPr>
              <w:t>,</w:t>
            </w:r>
            <w:r>
              <w:rPr>
                <w:color w:val="000000"/>
                <w:sz w:val="18"/>
                <w:szCs w:val="18"/>
              </w:rPr>
              <w:t>9</w:t>
            </w:r>
            <w:r w:rsidRPr="00906252">
              <w:rPr>
                <w:color w:val="000000"/>
                <w:sz w:val="18"/>
                <w:szCs w:val="18"/>
              </w:rPr>
              <w:t>4</w:t>
            </w:r>
            <w:r>
              <w:rPr>
                <w:color w:val="000000"/>
                <w:sz w:val="18"/>
                <w:szCs w:val="18"/>
              </w:rPr>
              <w:t>1</w:t>
            </w:r>
            <w:r w:rsidRPr="00906252">
              <w:rPr>
                <w:color w:val="000000"/>
                <w:sz w:val="18"/>
                <w:szCs w:val="18"/>
              </w:rPr>
              <w:t>.0</w:t>
            </w:r>
          </w:p>
        </w:tc>
        <w:tc>
          <w:tcPr>
            <w:tcW w:w="1156" w:type="dxa"/>
            <w:tcBorders>
              <w:top w:val="nil"/>
              <w:left w:val="nil"/>
              <w:right w:val="nil"/>
            </w:tcBorders>
            <w:shd w:val="clear" w:color="auto" w:fill="F2F2F2" w:themeFill="background1" w:themeFillShade="F2"/>
            <w:vAlign w:val="bottom"/>
          </w:tcPr>
          <w:p w14:paraId="41443E45" w14:textId="77777777" w:rsidR="005364CA" w:rsidRPr="00906252" w:rsidRDefault="005364CA" w:rsidP="00AC3862">
            <w:pPr>
              <w:jc w:val="right"/>
              <w:rPr>
                <w:color w:val="000000"/>
                <w:sz w:val="18"/>
                <w:szCs w:val="18"/>
              </w:rPr>
            </w:pPr>
            <w:r w:rsidRPr="00906252">
              <w:rPr>
                <w:color w:val="000000"/>
                <w:sz w:val="18"/>
                <w:szCs w:val="18"/>
              </w:rPr>
              <w:t>-5,</w:t>
            </w:r>
            <w:r>
              <w:rPr>
                <w:color w:val="000000"/>
                <w:sz w:val="18"/>
                <w:szCs w:val="18"/>
              </w:rPr>
              <w:t>530</w:t>
            </w:r>
            <w:r w:rsidRPr="00906252">
              <w:rPr>
                <w:color w:val="000000"/>
                <w:sz w:val="18"/>
                <w:szCs w:val="18"/>
              </w:rPr>
              <w:t>.</w:t>
            </w:r>
            <w:r>
              <w:rPr>
                <w:color w:val="000000"/>
                <w:sz w:val="18"/>
                <w:szCs w:val="18"/>
              </w:rPr>
              <w:t>9</w:t>
            </w:r>
          </w:p>
        </w:tc>
        <w:tc>
          <w:tcPr>
            <w:tcW w:w="1157" w:type="dxa"/>
            <w:tcBorders>
              <w:top w:val="nil"/>
              <w:left w:val="nil"/>
              <w:right w:val="nil"/>
            </w:tcBorders>
            <w:shd w:val="clear" w:color="auto" w:fill="F2F2F2" w:themeFill="background1" w:themeFillShade="F2"/>
            <w:noWrap/>
            <w:vAlign w:val="bottom"/>
            <w:hideMark/>
          </w:tcPr>
          <w:p w14:paraId="7215A1D9" w14:textId="77777777" w:rsidR="005364CA" w:rsidRPr="00906252" w:rsidRDefault="005364CA" w:rsidP="00AC3862">
            <w:pPr>
              <w:jc w:val="right"/>
              <w:rPr>
                <w:color w:val="000000"/>
                <w:sz w:val="18"/>
                <w:szCs w:val="18"/>
              </w:rPr>
            </w:pPr>
            <w:r w:rsidRPr="00906252">
              <w:rPr>
                <w:color w:val="000000"/>
                <w:sz w:val="18"/>
                <w:szCs w:val="18"/>
              </w:rPr>
              <w:t>-</w:t>
            </w:r>
            <w:r>
              <w:rPr>
                <w:color w:val="000000"/>
                <w:sz w:val="18"/>
                <w:szCs w:val="18"/>
              </w:rPr>
              <w:t>12</w:t>
            </w:r>
            <w:r w:rsidRPr="00906252">
              <w:rPr>
                <w:color w:val="000000"/>
                <w:sz w:val="18"/>
                <w:szCs w:val="18"/>
              </w:rPr>
              <w:t>,0</w:t>
            </w:r>
            <w:r>
              <w:rPr>
                <w:color w:val="000000"/>
                <w:sz w:val="18"/>
                <w:szCs w:val="18"/>
              </w:rPr>
              <w:t>18</w:t>
            </w:r>
            <w:r w:rsidRPr="00906252">
              <w:rPr>
                <w:color w:val="000000"/>
                <w:sz w:val="18"/>
                <w:szCs w:val="18"/>
              </w:rPr>
              <w:t>.</w:t>
            </w:r>
            <w:r>
              <w:rPr>
                <w:color w:val="000000"/>
                <w:sz w:val="18"/>
                <w:szCs w:val="18"/>
              </w:rPr>
              <w:t>5</w:t>
            </w:r>
          </w:p>
        </w:tc>
      </w:tr>
      <w:tr w:rsidR="005364CA" w:rsidRPr="00906252" w14:paraId="47F050DE" w14:textId="77777777" w:rsidTr="00AC3862">
        <w:trPr>
          <w:trHeight w:val="300"/>
          <w:jc w:val="center"/>
        </w:trPr>
        <w:tc>
          <w:tcPr>
            <w:tcW w:w="3969" w:type="dxa"/>
            <w:tcBorders>
              <w:top w:val="nil"/>
              <w:left w:val="nil"/>
              <w:bottom w:val="single" w:sz="4" w:space="0" w:color="auto"/>
              <w:right w:val="nil"/>
            </w:tcBorders>
            <w:shd w:val="clear" w:color="auto" w:fill="FFFFFF" w:themeFill="background1"/>
            <w:noWrap/>
            <w:vAlign w:val="bottom"/>
            <w:hideMark/>
          </w:tcPr>
          <w:p w14:paraId="64B835D4" w14:textId="77777777" w:rsidR="005364CA" w:rsidRPr="00906252" w:rsidRDefault="005364CA" w:rsidP="00AC3862">
            <w:pPr>
              <w:rPr>
                <w:color w:val="000000"/>
                <w:sz w:val="18"/>
                <w:szCs w:val="18"/>
              </w:rPr>
            </w:pPr>
            <w:r w:rsidRPr="00906252">
              <w:rPr>
                <w:color w:val="000000"/>
                <w:sz w:val="18"/>
                <w:szCs w:val="18"/>
              </w:rPr>
              <w:t xml:space="preserve">     % del PIB </w:t>
            </w:r>
          </w:p>
        </w:tc>
        <w:tc>
          <w:tcPr>
            <w:tcW w:w="992" w:type="dxa"/>
            <w:tcBorders>
              <w:top w:val="nil"/>
              <w:left w:val="nil"/>
              <w:bottom w:val="single" w:sz="4" w:space="0" w:color="auto"/>
              <w:right w:val="nil"/>
            </w:tcBorders>
            <w:shd w:val="clear" w:color="auto" w:fill="FFFFFF" w:themeFill="background1"/>
            <w:noWrap/>
            <w:vAlign w:val="bottom"/>
            <w:hideMark/>
          </w:tcPr>
          <w:p w14:paraId="09F5E507" w14:textId="77777777" w:rsidR="005364CA" w:rsidRPr="00906252" w:rsidRDefault="005364CA" w:rsidP="00AC3862">
            <w:pPr>
              <w:jc w:val="right"/>
              <w:rPr>
                <w:color w:val="000000"/>
                <w:sz w:val="18"/>
                <w:szCs w:val="18"/>
              </w:rPr>
            </w:pPr>
            <w:r w:rsidRPr="00906252">
              <w:rPr>
                <w:color w:val="000000"/>
                <w:sz w:val="18"/>
                <w:szCs w:val="18"/>
              </w:rPr>
              <w:t>-0.</w:t>
            </w:r>
            <w:r>
              <w:rPr>
                <w:color w:val="000000"/>
                <w:sz w:val="18"/>
                <w:szCs w:val="18"/>
              </w:rPr>
              <w:t>4</w:t>
            </w:r>
          </w:p>
        </w:tc>
        <w:tc>
          <w:tcPr>
            <w:tcW w:w="1156" w:type="dxa"/>
            <w:tcBorders>
              <w:top w:val="nil"/>
              <w:left w:val="nil"/>
              <w:bottom w:val="single" w:sz="4" w:space="0" w:color="auto"/>
              <w:right w:val="nil"/>
            </w:tcBorders>
            <w:shd w:val="clear" w:color="auto" w:fill="FFFFFF" w:themeFill="background1"/>
            <w:vAlign w:val="bottom"/>
          </w:tcPr>
          <w:p w14:paraId="395FFD4F" w14:textId="77777777" w:rsidR="005364CA" w:rsidRPr="00906252" w:rsidRDefault="005364CA" w:rsidP="00AC3862">
            <w:pPr>
              <w:jc w:val="right"/>
              <w:rPr>
                <w:color w:val="000000"/>
                <w:sz w:val="18"/>
                <w:szCs w:val="18"/>
              </w:rPr>
            </w:pPr>
            <w:r w:rsidRPr="00906252">
              <w:rPr>
                <w:color w:val="000000"/>
                <w:sz w:val="18"/>
                <w:szCs w:val="18"/>
              </w:rPr>
              <w:t>-0.3</w:t>
            </w:r>
          </w:p>
        </w:tc>
        <w:tc>
          <w:tcPr>
            <w:tcW w:w="1157" w:type="dxa"/>
            <w:tcBorders>
              <w:top w:val="nil"/>
              <w:left w:val="nil"/>
              <w:bottom w:val="single" w:sz="4" w:space="0" w:color="auto"/>
              <w:right w:val="nil"/>
            </w:tcBorders>
            <w:shd w:val="clear" w:color="auto" w:fill="FFFFFF" w:themeFill="background1"/>
            <w:noWrap/>
            <w:vAlign w:val="bottom"/>
            <w:hideMark/>
          </w:tcPr>
          <w:p w14:paraId="32858948" w14:textId="77777777" w:rsidR="005364CA" w:rsidRPr="00906252" w:rsidRDefault="005364CA" w:rsidP="00AC3862">
            <w:pPr>
              <w:jc w:val="right"/>
              <w:rPr>
                <w:color w:val="000000"/>
                <w:sz w:val="18"/>
                <w:szCs w:val="18"/>
              </w:rPr>
            </w:pPr>
            <w:r w:rsidRPr="00906252">
              <w:rPr>
                <w:color w:val="000000"/>
                <w:sz w:val="18"/>
                <w:szCs w:val="18"/>
              </w:rPr>
              <w:t>-0.</w:t>
            </w:r>
            <w:r>
              <w:rPr>
                <w:color w:val="000000"/>
                <w:sz w:val="18"/>
                <w:szCs w:val="18"/>
              </w:rPr>
              <w:t>6</w:t>
            </w:r>
          </w:p>
        </w:tc>
      </w:tr>
      <w:tr w:rsidR="005364CA" w:rsidRPr="00906252" w14:paraId="0FC004F3" w14:textId="77777777" w:rsidTr="00AC3862">
        <w:trPr>
          <w:trHeight w:val="300"/>
          <w:jc w:val="center"/>
        </w:trPr>
        <w:tc>
          <w:tcPr>
            <w:tcW w:w="3969" w:type="dxa"/>
            <w:tcBorders>
              <w:top w:val="single" w:sz="4" w:space="0" w:color="auto"/>
              <w:left w:val="nil"/>
              <w:right w:val="nil"/>
            </w:tcBorders>
            <w:shd w:val="clear" w:color="auto" w:fill="F2F2F2" w:themeFill="background1" w:themeFillShade="F2"/>
            <w:noWrap/>
            <w:vAlign w:val="bottom"/>
          </w:tcPr>
          <w:p w14:paraId="695B39F3" w14:textId="77777777" w:rsidR="005364CA" w:rsidRPr="00906252" w:rsidRDefault="005364CA" w:rsidP="00AC3862">
            <w:pPr>
              <w:rPr>
                <w:color w:val="000000"/>
                <w:sz w:val="18"/>
                <w:szCs w:val="18"/>
              </w:rPr>
            </w:pPr>
            <w:r>
              <w:rPr>
                <w:color w:val="000000"/>
                <w:sz w:val="18"/>
                <w:szCs w:val="18"/>
              </w:rPr>
              <w:t>Variables de apoyo:</w:t>
            </w:r>
          </w:p>
        </w:tc>
        <w:tc>
          <w:tcPr>
            <w:tcW w:w="992" w:type="dxa"/>
            <w:tcBorders>
              <w:top w:val="single" w:sz="4" w:space="0" w:color="auto"/>
              <w:left w:val="nil"/>
              <w:right w:val="nil"/>
            </w:tcBorders>
            <w:shd w:val="clear" w:color="auto" w:fill="F2F2F2" w:themeFill="background1" w:themeFillShade="F2"/>
            <w:noWrap/>
            <w:vAlign w:val="bottom"/>
          </w:tcPr>
          <w:p w14:paraId="6BCB0F4B" w14:textId="77777777" w:rsidR="005364CA" w:rsidRPr="00906252" w:rsidRDefault="005364CA" w:rsidP="00AC3862">
            <w:pPr>
              <w:jc w:val="right"/>
              <w:rPr>
                <w:color w:val="000000"/>
                <w:sz w:val="18"/>
                <w:szCs w:val="18"/>
              </w:rPr>
            </w:pPr>
          </w:p>
        </w:tc>
        <w:tc>
          <w:tcPr>
            <w:tcW w:w="1156" w:type="dxa"/>
            <w:tcBorders>
              <w:top w:val="single" w:sz="4" w:space="0" w:color="auto"/>
              <w:left w:val="nil"/>
              <w:right w:val="nil"/>
            </w:tcBorders>
            <w:shd w:val="clear" w:color="auto" w:fill="F2F2F2" w:themeFill="background1" w:themeFillShade="F2"/>
            <w:vAlign w:val="bottom"/>
          </w:tcPr>
          <w:p w14:paraId="68169F4A" w14:textId="77777777" w:rsidR="005364CA" w:rsidRPr="00AF61E8" w:rsidRDefault="005364CA" w:rsidP="00AC3862">
            <w:pPr>
              <w:jc w:val="right"/>
              <w:rPr>
                <w:color w:val="000000"/>
                <w:sz w:val="18"/>
                <w:szCs w:val="18"/>
              </w:rPr>
            </w:pPr>
          </w:p>
        </w:tc>
        <w:tc>
          <w:tcPr>
            <w:tcW w:w="1157" w:type="dxa"/>
            <w:tcBorders>
              <w:top w:val="single" w:sz="4" w:space="0" w:color="auto"/>
              <w:left w:val="nil"/>
              <w:right w:val="nil"/>
            </w:tcBorders>
            <w:shd w:val="clear" w:color="auto" w:fill="F2F2F2" w:themeFill="background1" w:themeFillShade="F2"/>
            <w:noWrap/>
            <w:vAlign w:val="bottom"/>
          </w:tcPr>
          <w:p w14:paraId="46E9BB37" w14:textId="77777777" w:rsidR="005364CA" w:rsidRPr="00AF61E8" w:rsidRDefault="005364CA" w:rsidP="00AC3862">
            <w:pPr>
              <w:jc w:val="right"/>
              <w:rPr>
                <w:color w:val="000000"/>
                <w:sz w:val="18"/>
                <w:szCs w:val="18"/>
              </w:rPr>
            </w:pPr>
          </w:p>
        </w:tc>
      </w:tr>
      <w:tr w:rsidR="005364CA" w:rsidRPr="002A437F" w14:paraId="59E3F4C2" w14:textId="77777777" w:rsidTr="00AC3862">
        <w:trPr>
          <w:trHeight w:val="300"/>
          <w:jc w:val="center"/>
        </w:trPr>
        <w:tc>
          <w:tcPr>
            <w:tcW w:w="3969" w:type="dxa"/>
            <w:tcBorders>
              <w:left w:val="nil"/>
              <w:bottom w:val="nil"/>
              <w:right w:val="nil"/>
            </w:tcBorders>
            <w:noWrap/>
            <w:vAlign w:val="bottom"/>
          </w:tcPr>
          <w:p w14:paraId="548A9B31" w14:textId="77777777" w:rsidR="005364CA" w:rsidRPr="002A437F" w:rsidRDefault="005364CA" w:rsidP="00AC3862">
            <w:pPr>
              <w:rPr>
                <w:b/>
                <w:bCs/>
                <w:color w:val="000000"/>
                <w:sz w:val="18"/>
                <w:szCs w:val="18"/>
              </w:rPr>
            </w:pPr>
            <w:r w:rsidRPr="002A437F">
              <w:rPr>
                <w:b/>
                <w:bCs/>
                <w:color w:val="000000"/>
                <w:sz w:val="18"/>
                <w:szCs w:val="18"/>
              </w:rPr>
              <w:t>PIB EE.UU.</w:t>
            </w:r>
          </w:p>
        </w:tc>
        <w:tc>
          <w:tcPr>
            <w:tcW w:w="992" w:type="dxa"/>
            <w:tcBorders>
              <w:left w:val="nil"/>
              <w:bottom w:val="nil"/>
              <w:right w:val="nil"/>
            </w:tcBorders>
            <w:noWrap/>
            <w:vAlign w:val="bottom"/>
            <w:hideMark/>
          </w:tcPr>
          <w:p w14:paraId="64709A7D" w14:textId="77777777" w:rsidR="005364CA" w:rsidRPr="00AF61E8" w:rsidRDefault="005364CA" w:rsidP="00AC3862">
            <w:pPr>
              <w:jc w:val="right"/>
              <w:rPr>
                <w:color w:val="000000"/>
                <w:sz w:val="18"/>
                <w:szCs w:val="18"/>
              </w:rPr>
            </w:pPr>
          </w:p>
        </w:tc>
        <w:tc>
          <w:tcPr>
            <w:tcW w:w="1156" w:type="dxa"/>
            <w:tcBorders>
              <w:left w:val="nil"/>
              <w:bottom w:val="nil"/>
              <w:right w:val="nil"/>
            </w:tcBorders>
            <w:vAlign w:val="bottom"/>
          </w:tcPr>
          <w:p w14:paraId="4EE398A2" w14:textId="77777777" w:rsidR="005364CA" w:rsidRPr="00AF61E8" w:rsidRDefault="005364CA" w:rsidP="00AC3862">
            <w:pPr>
              <w:jc w:val="right"/>
              <w:rPr>
                <w:color w:val="000000"/>
                <w:sz w:val="18"/>
                <w:szCs w:val="18"/>
              </w:rPr>
            </w:pPr>
          </w:p>
        </w:tc>
        <w:tc>
          <w:tcPr>
            <w:tcW w:w="1157" w:type="dxa"/>
            <w:tcBorders>
              <w:left w:val="nil"/>
              <w:bottom w:val="nil"/>
              <w:right w:val="nil"/>
            </w:tcBorders>
            <w:noWrap/>
            <w:vAlign w:val="bottom"/>
            <w:hideMark/>
          </w:tcPr>
          <w:p w14:paraId="0C6355EC" w14:textId="77777777" w:rsidR="005364CA" w:rsidRPr="00AF61E8" w:rsidRDefault="005364CA" w:rsidP="00AC3862">
            <w:pPr>
              <w:jc w:val="right"/>
              <w:rPr>
                <w:color w:val="000000"/>
                <w:sz w:val="18"/>
                <w:szCs w:val="18"/>
              </w:rPr>
            </w:pPr>
          </w:p>
        </w:tc>
      </w:tr>
      <w:tr w:rsidR="005364CA" w:rsidRPr="00906252" w14:paraId="6F8BBBD0" w14:textId="77777777" w:rsidTr="00AC3862">
        <w:trPr>
          <w:trHeight w:val="300"/>
          <w:jc w:val="center"/>
        </w:trPr>
        <w:tc>
          <w:tcPr>
            <w:tcW w:w="3969" w:type="dxa"/>
            <w:tcBorders>
              <w:left w:val="nil"/>
              <w:bottom w:val="nil"/>
              <w:right w:val="nil"/>
            </w:tcBorders>
            <w:shd w:val="clear" w:color="auto" w:fill="F2F2F2" w:themeFill="background1" w:themeFillShade="F2"/>
            <w:noWrap/>
            <w:vAlign w:val="bottom"/>
          </w:tcPr>
          <w:p w14:paraId="19318EE5" w14:textId="77777777" w:rsidR="005364CA" w:rsidRPr="00906252" w:rsidRDefault="005364CA" w:rsidP="00AC3862">
            <w:pPr>
              <w:rPr>
                <w:color w:val="000000"/>
                <w:sz w:val="18"/>
                <w:szCs w:val="18"/>
              </w:rPr>
            </w:pPr>
            <w:r>
              <w:rPr>
                <w:color w:val="000000"/>
                <w:sz w:val="18"/>
                <w:szCs w:val="18"/>
              </w:rPr>
              <w:t xml:space="preserve">     Crecimiento % real</w:t>
            </w:r>
          </w:p>
        </w:tc>
        <w:tc>
          <w:tcPr>
            <w:tcW w:w="992" w:type="dxa"/>
            <w:tcBorders>
              <w:left w:val="nil"/>
              <w:bottom w:val="nil"/>
              <w:right w:val="nil"/>
            </w:tcBorders>
            <w:shd w:val="clear" w:color="auto" w:fill="F2F2F2" w:themeFill="background1" w:themeFillShade="F2"/>
            <w:noWrap/>
            <w:vAlign w:val="bottom"/>
          </w:tcPr>
          <w:p w14:paraId="1D43A78F" w14:textId="77777777" w:rsidR="005364CA" w:rsidRPr="00906252" w:rsidRDefault="005364CA" w:rsidP="00AC3862">
            <w:pPr>
              <w:jc w:val="right"/>
              <w:rPr>
                <w:color w:val="000000"/>
                <w:sz w:val="18"/>
                <w:szCs w:val="18"/>
              </w:rPr>
            </w:pPr>
            <w:r>
              <w:rPr>
                <w:color w:val="000000"/>
                <w:sz w:val="18"/>
                <w:szCs w:val="18"/>
              </w:rPr>
              <w:t>2.2</w:t>
            </w:r>
          </w:p>
        </w:tc>
        <w:tc>
          <w:tcPr>
            <w:tcW w:w="1156" w:type="dxa"/>
            <w:tcBorders>
              <w:left w:val="nil"/>
              <w:bottom w:val="nil"/>
              <w:right w:val="nil"/>
            </w:tcBorders>
            <w:shd w:val="clear" w:color="auto" w:fill="F2F2F2" w:themeFill="background1" w:themeFillShade="F2"/>
            <w:vAlign w:val="bottom"/>
          </w:tcPr>
          <w:p w14:paraId="477FCD8C" w14:textId="77777777" w:rsidR="005364CA" w:rsidRPr="00AF61E8" w:rsidRDefault="005364CA" w:rsidP="00AC3862">
            <w:pPr>
              <w:jc w:val="right"/>
              <w:rPr>
                <w:color w:val="000000"/>
                <w:sz w:val="18"/>
                <w:szCs w:val="18"/>
              </w:rPr>
            </w:pPr>
            <w:r>
              <w:rPr>
                <w:color w:val="000000"/>
                <w:sz w:val="18"/>
                <w:szCs w:val="18"/>
              </w:rPr>
              <w:t>1.6</w:t>
            </w:r>
          </w:p>
        </w:tc>
        <w:tc>
          <w:tcPr>
            <w:tcW w:w="1157" w:type="dxa"/>
            <w:tcBorders>
              <w:left w:val="nil"/>
              <w:bottom w:val="nil"/>
              <w:right w:val="nil"/>
            </w:tcBorders>
            <w:shd w:val="clear" w:color="auto" w:fill="F2F2F2" w:themeFill="background1" w:themeFillShade="F2"/>
            <w:noWrap/>
            <w:vAlign w:val="bottom"/>
          </w:tcPr>
          <w:p w14:paraId="0CFD6155" w14:textId="77777777" w:rsidR="005364CA" w:rsidRPr="00AF61E8" w:rsidRDefault="005364CA" w:rsidP="00AC3862">
            <w:pPr>
              <w:jc w:val="right"/>
              <w:rPr>
                <w:color w:val="000000"/>
                <w:sz w:val="18"/>
                <w:szCs w:val="18"/>
              </w:rPr>
            </w:pPr>
            <w:r>
              <w:rPr>
                <w:color w:val="000000"/>
                <w:sz w:val="18"/>
                <w:szCs w:val="18"/>
              </w:rPr>
              <w:t>1.9</w:t>
            </w:r>
          </w:p>
        </w:tc>
      </w:tr>
      <w:tr w:rsidR="005364CA" w:rsidRPr="002A437F" w14:paraId="3C390766" w14:textId="77777777" w:rsidTr="00AC3862">
        <w:trPr>
          <w:trHeight w:val="300"/>
          <w:jc w:val="center"/>
        </w:trPr>
        <w:tc>
          <w:tcPr>
            <w:tcW w:w="3969" w:type="dxa"/>
            <w:tcBorders>
              <w:left w:val="nil"/>
              <w:bottom w:val="nil"/>
              <w:right w:val="nil"/>
            </w:tcBorders>
            <w:shd w:val="clear" w:color="auto" w:fill="FFFFFF" w:themeFill="background1"/>
            <w:noWrap/>
            <w:vAlign w:val="bottom"/>
          </w:tcPr>
          <w:p w14:paraId="5EB114C5" w14:textId="77777777" w:rsidR="005364CA" w:rsidRPr="002A437F" w:rsidRDefault="005364CA" w:rsidP="00AC3862">
            <w:pPr>
              <w:rPr>
                <w:b/>
                <w:bCs/>
                <w:color w:val="000000"/>
                <w:sz w:val="18"/>
                <w:szCs w:val="18"/>
              </w:rPr>
            </w:pPr>
            <w:r w:rsidRPr="002A437F">
              <w:rPr>
                <w:b/>
                <w:bCs/>
                <w:color w:val="000000"/>
                <w:sz w:val="18"/>
                <w:szCs w:val="18"/>
              </w:rPr>
              <w:t>Producción Industrial EE.UU.</w:t>
            </w:r>
          </w:p>
        </w:tc>
        <w:tc>
          <w:tcPr>
            <w:tcW w:w="992" w:type="dxa"/>
            <w:tcBorders>
              <w:left w:val="nil"/>
              <w:bottom w:val="nil"/>
              <w:right w:val="nil"/>
            </w:tcBorders>
            <w:shd w:val="clear" w:color="auto" w:fill="FFFFFF" w:themeFill="background1"/>
            <w:noWrap/>
            <w:vAlign w:val="bottom"/>
          </w:tcPr>
          <w:p w14:paraId="4A76AD4C" w14:textId="77777777" w:rsidR="005364CA" w:rsidRPr="00AF61E8" w:rsidRDefault="005364CA" w:rsidP="00AC3862">
            <w:pPr>
              <w:jc w:val="right"/>
              <w:rPr>
                <w:color w:val="000000"/>
                <w:sz w:val="18"/>
                <w:szCs w:val="18"/>
              </w:rPr>
            </w:pPr>
          </w:p>
        </w:tc>
        <w:tc>
          <w:tcPr>
            <w:tcW w:w="1156" w:type="dxa"/>
            <w:tcBorders>
              <w:left w:val="nil"/>
              <w:bottom w:val="nil"/>
              <w:right w:val="nil"/>
            </w:tcBorders>
            <w:shd w:val="clear" w:color="auto" w:fill="FFFFFF" w:themeFill="background1"/>
            <w:vAlign w:val="bottom"/>
          </w:tcPr>
          <w:p w14:paraId="45E30D62" w14:textId="77777777" w:rsidR="005364CA" w:rsidRPr="00AF61E8" w:rsidRDefault="005364CA" w:rsidP="00AC3862">
            <w:pPr>
              <w:jc w:val="right"/>
              <w:rPr>
                <w:color w:val="000000"/>
                <w:sz w:val="18"/>
                <w:szCs w:val="18"/>
              </w:rPr>
            </w:pPr>
          </w:p>
        </w:tc>
        <w:tc>
          <w:tcPr>
            <w:tcW w:w="1157" w:type="dxa"/>
            <w:tcBorders>
              <w:left w:val="nil"/>
              <w:bottom w:val="nil"/>
              <w:right w:val="nil"/>
            </w:tcBorders>
            <w:shd w:val="clear" w:color="auto" w:fill="FFFFFF" w:themeFill="background1"/>
            <w:noWrap/>
            <w:vAlign w:val="bottom"/>
          </w:tcPr>
          <w:p w14:paraId="32853B19" w14:textId="77777777" w:rsidR="005364CA" w:rsidRPr="00AF61E8" w:rsidRDefault="005364CA" w:rsidP="00AC3862">
            <w:pPr>
              <w:jc w:val="right"/>
              <w:rPr>
                <w:color w:val="000000"/>
                <w:sz w:val="18"/>
                <w:szCs w:val="18"/>
              </w:rPr>
            </w:pPr>
          </w:p>
        </w:tc>
      </w:tr>
      <w:tr w:rsidR="005364CA" w:rsidRPr="00906252" w14:paraId="302299ED" w14:textId="77777777" w:rsidTr="00AC3862">
        <w:trPr>
          <w:trHeight w:val="300"/>
          <w:jc w:val="center"/>
        </w:trPr>
        <w:tc>
          <w:tcPr>
            <w:tcW w:w="3969" w:type="dxa"/>
            <w:tcBorders>
              <w:left w:val="nil"/>
              <w:bottom w:val="nil"/>
              <w:right w:val="nil"/>
            </w:tcBorders>
            <w:shd w:val="clear" w:color="auto" w:fill="F2F2F2" w:themeFill="background1" w:themeFillShade="F2"/>
            <w:noWrap/>
            <w:vAlign w:val="bottom"/>
          </w:tcPr>
          <w:p w14:paraId="72DD9B4F" w14:textId="77777777" w:rsidR="005364CA" w:rsidRPr="00906252" w:rsidRDefault="005364CA" w:rsidP="00AC3862">
            <w:pPr>
              <w:rPr>
                <w:color w:val="000000"/>
                <w:sz w:val="18"/>
                <w:szCs w:val="18"/>
              </w:rPr>
            </w:pPr>
            <w:r>
              <w:rPr>
                <w:color w:val="000000"/>
                <w:sz w:val="18"/>
                <w:szCs w:val="18"/>
              </w:rPr>
              <w:lastRenderedPageBreak/>
              <w:t xml:space="preserve">     Crecimiento % real</w:t>
            </w:r>
          </w:p>
        </w:tc>
        <w:tc>
          <w:tcPr>
            <w:tcW w:w="992" w:type="dxa"/>
            <w:tcBorders>
              <w:left w:val="nil"/>
              <w:bottom w:val="nil"/>
              <w:right w:val="nil"/>
            </w:tcBorders>
            <w:shd w:val="clear" w:color="auto" w:fill="F2F2F2" w:themeFill="background1" w:themeFillShade="F2"/>
            <w:noWrap/>
            <w:vAlign w:val="bottom"/>
          </w:tcPr>
          <w:p w14:paraId="3A9C1BF0" w14:textId="77777777" w:rsidR="005364CA" w:rsidRPr="00906252" w:rsidRDefault="005364CA" w:rsidP="00AC3862">
            <w:pPr>
              <w:jc w:val="right"/>
              <w:rPr>
                <w:color w:val="000000"/>
                <w:sz w:val="18"/>
                <w:szCs w:val="18"/>
              </w:rPr>
            </w:pPr>
            <w:r>
              <w:rPr>
                <w:color w:val="000000"/>
                <w:sz w:val="18"/>
                <w:szCs w:val="18"/>
              </w:rPr>
              <w:t>2.0</w:t>
            </w:r>
          </w:p>
        </w:tc>
        <w:tc>
          <w:tcPr>
            <w:tcW w:w="1156" w:type="dxa"/>
            <w:tcBorders>
              <w:left w:val="nil"/>
              <w:bottom w:val="nil"/>
              <w:right w:val="nil"/>
            </w:tcBorders>
            <w:shd w:val="clear" w:color="auto" w:fill="F2F2F2" w:themeFill="background1" w:themeFillShade="F2"/>
            <w:vAlign w:val="bottom"/>
          </w:tcPr>
          <w:p w14:paraId="11E891F1" w14:textId="77777777" w:rsidR="005364CA" w:rsidRPr="00AF61E8" w:rsidRDefault="005364CA" w:rsidP="00AC3862">
            <w:pPr>
              <w:jc w:val="right"/>
              <w:rPr>
                <w:color w:val="000000"/>
                <w:sz w:val="18"/>
                <w:szCs w:val="18"/>
              </w:rPr>
            </w:pPr>
            <w:r>
              <w:rPr>
                <w:color w:val="000000"/>
                <w:sz w:val="18"/>
                <w:szCs w:val="18"/>
              </w:rPr>
              <w:t>1.0</w:t>
            </w:r>
          </w:p>
        </w:tc>
        <w:tc>
          <w:tcPr>
            <w:tcW w:w="1157" w:type="dxa"/>
            <w:tcBorders>
              <w:left w:val="nil"/>
              <w:bottom w:val="nil"/>
              <w:right w:val="nil"/>
            </w:tcBorders>
            <w:shd w:val="clear" w:color="auto" w:fill="F2F2F2" w:themeFill="background1" w:themeFillShade="F2"/>
            <w:noWrap/>
            <w:vAlign w:val="bottom"/>
          </w:tcPr>
          <w:p w14:paraId="22339688" w14:textId="77777777" w:rsidR="005364CA" w:rsidRPr="00AF61E8" w:rsidRDefault="005364CA" w:rsidP="00AC3862">
            <w:pPr>
              <w:jc w:val="right"/>
              <w:rPr>
                <w:color w:val="000000"/>
                <w:sz w:val="18"/>
                <w:szCs w:val="18"/>
              </w:rPr>
            </w:pPr>
            <w:r>
              <w:rPr>
                <w:color w:val="000000"/>
                <w:sz w:val="18"/>
                <w:szCs w:val="18"/>
              </w:rPr>
              <w:t>1.1</w:t>
            </w:r>
          </w:p>
        </w:tc>
      </w:tr>
      <w:tr w:rsidR="005364CA" w:rsidRPr="002A437F" w14:paraId="1E647970" w14:textId="77777777" w:rsidTr="00AC3862">
        <w:trPr>
          <w:trHeight w:val="300"/>
          <w:jc w:val="center"/>
        </w:trPr>
        <w:tc>
          <w:tcPr>
            <w:tcW w:w="3969" w:type="dxa"/>
            <w:tcBorders>
              <w:left w:val="nil"/>
              <w:bottom w:val="nil"/>
              <w:right w:val="nil"/>
            </w:tcBorders>
            <w:shd w:val="clear" w:color="auto" w:fill="FFFFFF" w:themeFill="background1"/>
            <w:noWrap/>
            <w:vAlign w:val="bottom"/>
          </w:tcPr>
          <w:p w14:paraId="3A77ED9E" w14:textId="77777777" w:rsidR="005364CA" w:rsidRPr="002A437F" w:rsidRDefault="005364CA" w:rsidP="00AC3862">
            <w:pPr>
              <w:rPr>
                <w:b/>
                <w:bCs/>
                <w:color w:val="000000"/>
                <w:sz w:val="18"/>
                <w:szCs w:val="18"/>
              </w:rPr>
            </w:pPr>
            <w:r w:rsidRPr="002A437F">
              <w:rPr>
                <w:b/>
                <w:bCs/>
                <w:color w:val="000000"/>
                <w:sz w:val="18"/>
                <w:szCs w:val="18"/>
              </w:rPr>
              <w:t>Inflación EE.UU.</w:t>
            </w:r>
          </w:p>
        </w:tc>
        <w:tc>
          <w:tcPr>
            <w:tcW w:w="992" w:type="dxa"/>
            <w:tcBorders>
              <w:left w:val="nil"/>
              <w:bottom w:val="nil"/>
              <w:right w:val="nil"/>
            </w:tcBorders>
            <w:shd w:val="clear" w:color="auto" w:fill="FFFFFF" w:themeFill="background1"/>
            <w:noWrap/>
            <w:vAlign w:val="bottom"/>
          </w:tcPr>
          <w:p w14:paraId="25E39C0B" w14:textId="77777777" w:rsidR="005364CA" w:rsidRPr="00AF61E8" w:rsidRDefault="005364CA" w:rsidP="00AC3862">
            <w:pPr>
              <w:jc w:val="right"/>
              <w:rPr>
                <w:color w:val="000000"/>
                <w:sz w:val="18"/>
                <w:szCs w:val="18"/>
              </w:rPr>
            </w:pPr>
          </w:p>
        </w:tc>
        <w:tc>
          <w:tcPr>
            <w:tcW w:w="1156" w:type="dxa"/>
            <w:tcBorders>
              <w:left w:val="nil"/>
              <w:bottom w:val="nil"/>
              <w:right w:val="nil"/>
            </w:tcBorders>
            <w:shd w:val="clear" w:color="auto" w:fill="FFFFFF" w:themeFill="background1"/>
            <w:vAlign w:val="bottom"/>
          </w:tcPr>
          <w:p w14:paraId="27E61D13" w14:textId="77777777" w:rsidR="005364CA" w:rsidRPr="00AF61E8" w:rsidRDefault="005364CA" w:rsidP="00AC3862">
            <w:pPr>
              <w:jc w:val="right"/>
              <w:rPr>
                <w:color w:val="000000"/>
                <w:sz w:val="18"/>
                <w:szCs w:val="18"/>
              </w:rPr>
            </w:pPr>
          </w:p>
        </w:tc>
        <w:tc>
          <w:tcPr>
            <w:tcW w:w="1157" w:type="dxa"/>
            <w:tcBorders>
              <w:left w:val="nil"/>
              <w:bottom w:val="nil"/>
              <w:right w:val="nil"/>
            </w:tcBorders>
            <w:shd w:val="clear" w:color="auto" w:fill="FFFFFF" w:themeFill="background1"/>
            <w:noWrap/>
            <w:vAlign w:val="bottom"/>
          </w:tcPr>
          <w:p w14:paraId="41F63BE4" w14:textId="77777777" w:rsidR="005364CA" w:rsidRPr="00AF61E8" w:rsidRDefault="005364CA" w:rsidP="00AC3862">
            <w:pPr>
              <w:jc w:val="right"/>
              <w:rPr>
                <w:color w:val="000000"/>
                <w:sz w:val="18"/>
                <w:szCs w:val="18"/>
              </w:rPr>
            </w:pPr>
          </w:p>
        </w:tc>
      </w:tr>
      <w:tr w:rsidR="005364CA" w:rsidRPr="00906252" w14:paraId="1548BE1D" w14:textId="77777777" w:rsidTr="00AC3862">
        <w:trPr>
          <w:trHeight w:val="300"/>
          <w:jc w:val="center"/>
        </w:trPr>
        <w:tc>
          <w:tcPr>
            <w:tcW w:w="3969" w:type="dxa"/>
            <w:tcBorders>
              <w:left w:val="nil"/>
              <w:bottom w:val="nil"/>
              <w:right w:val="nil"/>
            </w:tcBorders>
            <w:shd w:val="clear" w:color="auto" w:fill="F2F2F2" w:themeFill="background1" w:themeFillShade="F2"/>
            <w:noWrap/>
            <w:vAlign w:val="bottom"/>
          </w:tcPr>
          <w:p w14:paraId="0F938ED7" w14:textId="77777777" w:rsidR="005364CA" w:rsidRPr="00906252" w:rsidRDefault="005364CA" w:rsidP="00AC3862">
            <w:pPr>
              <w:rPr>
                <w:color w:val="000000"/>
                <w:sz w:val="18"/>
                <w:szCs w:val="18"/>
              </w:rPr>
            </w:pPr>
            <w:r>
              <w:rPr>
                <w:color w:val="000000"/>
                <w:sz w:val="18"/>
                <w:szCs w:val="18"/>
              </w:rPr>
              <w:t xml:space="preserve">     Promedio</w:t>
            </w:r>
          </w:p>
        </w:tc>
        <w:tc>
          <w:tcPr>
            <w:tcW w:w="992" w:type="dxa"/>
            <w:tcBorders>
              <w:left w:val="nil"/>
              <w:bottom w:val="nil"/>
              <w:right w:val="nil"/>
            </w:tcBorders>
            <w:shd w:val="clear" w:color="auto" w:fill="F2F2F2" w:themeFill="background1" w:themeFillShade="F2"/>
            <w:noWrap/>
            <w:vAlign w:val="bottom"/>
          </w:tcPr>
          <w:p w14:paraId="2ADB76B8" w14:textId="77777777" w:rsidR="005364CA" w:rsidRPr="00906252" w:rsidRDefault="005364CA" w:rsidP="00AC3862">
            <w:pPr>
              <w:jc w:val="right"/>
              <w:rPr>
                <w:color w:val="000000"/>
                <w:sz w:val="18"/>
                <w:szCs w:val="18"/>
              </w:rPr>
            </w:pPr>
            <w:r>
              <w:rPr>
                <w:color w:val="000000"/>
                <w:sz w:val="18"/>
                <w:szCs w:val="18"/>
              </w:rPr>
              <w:t>2.2</w:t>
            </w:r>
          </w:p>
        </w:tc>
        <w:tc>
          <w:tcPr>
            <w:tcW w:w="1156" w:type="dxa"/>
            <w:tcBorders>
              <w:left w:val="nil"/>
              <w:bottom w:val="nil"/>
              <w:right w:val="nil"/>
            </w:tcBorders>
            <w:shd w:val="clear" w:color="auto" w:fill="F2F2F2" w:themeFill="background1" w:themeFillShade="F2"/>
            <w:vAlign w:val="bottom"/>
          </w:tcPr>
          <w:p w14:paraId="4066358E" w14:textId="77777777" w:rsidR="005364CA" w:rsidRPr="00AF61E8" w:rsidRDefault="005364CA" w:rsidP="00AC3862">
            <w:pPr>
              <w:jc w:val="right"/>
              <w:rPr>
                <w:color w:val="000000"/>
                <w:sz w:val="18"/>
                <w:szCs w:val="18"/>
              </w:rPr>
            </w:pPr>
            <w:r>
              <w:rPr>
                <w:color w:val="000000"/>
                <w:sz w:val="18"/>
                <w:szCs w:val="18"/>
              </w:rPr>
              <w:t>3.0</w:t>
            </w:r>
          </w:p>
        </w:tc>
        <w:tc>
          <w:tcPr>
            <w:tcW w:w="1157" w:type="dxa"/>
            <w:tcBorders>
              <w:left w:val="nil"/>
              <w:bottom w:val="nil"/>
              <w:right w:val="nil"/>
            </w:tcBorders>
            <w:shd w:val="clear" w:color="auto" w:fill="F2F2F2" w:themeFill="background1" w:themeFillShade="F2"/>
            <w:noWrap/>
            <w:vAlign w:val="bottom"/>
          </w:tcPr>
          <w:p w14:paraId="2C2151B8" w14:textId="77777777" w:rsidR="005364CA" w:rsidRPr="00AF61E8" w:rsidRDefault="005364CA" w:rsidP="00AC3862">
            <w:pPr>
              <w:jc w:val="right"/>
              <w:rPr>
                <w:color w:val="000000"/>
                <w:sz w:val="18"/>
                <w:szCs w:val="18"/>
              </w:rPr>
            </w:pPr>
            <w:r>
              <w:rPr>
                <w:color w:val="000000"/>
                <w:sz w:val="18"/>
                <w:szCs w:val="18"/>
              </w:rPr>
              <w:t>2.7</w:t>
            </w:r>
          </w:p>
        </w:tc>
      </w:tr>
      <w:tr w:rsidR="005364CA" w:rsidRPr="002A437F" w14:paraId="629BD272" w14:textId="77777777" w:rsidTr="00AC3862">
        <w:trPr>
          <w:trHeight w:val="300"/>
          <w:jc w:val="center"/>
        </w:trPr>
        <w:tc>
          <w:tcPr>
            <w:tcW w:w="3969" w:type="dxa"/>
            <w:tcBorders>
              <w:left w:val="nil"/>
              <w:bottom w:val="nil"/>
              <w:right w:val="nil"/>
            </w:tcBorders>
            <w:shd w:val="clear" w:color="auto" w:fill="FFFFFF" w:themeFill="background1"/>
            <w:noWrap/>
            <w:vAlign w:val="bottom"/>
          </w:tcPr>
          <w:p w14:paraId="22B20FD7" w14:textId="77777777" w:rsidR="005364CA" w:rsidRPr="002A437F" w:rsidRDefault="005364CA" w:rsidP="00AC3862">
            <w:pPr>
              <w:rPr>
                <w:b/>
                <w:bCs/>
                <w:color w:val="000000"/>
                <w:sz w:val="18"/>
                <w:szCs w:val="18"/>
              </w:rPr>
            </w:pPr>
            <w:r w:rsidRPr="002A437F">
              <w:rPr>
                <w:b/>
                <w:bCs/>
                <w:color w:val="000000"/>
                <w:sz w:val="18"/>
                <w:szCs w:val="18"/>
              </w:rPr>
              <w:t>Tasa de interés internacional</w:t>
            </w:r>
          </w:p>
        </w:tc>
        <w:tc>
          <w:tcPr>
            <w:tcW w:w="992" w:type="dxa"/>
            <w:tcBorders>
              <w:left w:val="nil"/>
              <w:bottom w:val="nil"/>
              <w:right w:val="nil"/>
            </w:tcBorders>
            <w:shd w:val="clear" w:color="auto" w:fill="FFFFFF" w:themeFill="background1"/>
            <w:noWrap/>
            <w:vAlign w:val="bottom"/>
          </w:tcPr>
          <w:p w14:paraId="24167284" w14:textId="77777777" w:rsidR="005364CA" w:rsidRPr="00AF61E8" w:rsidRDefault="005364CA" w:rsidP="00AC3862">
            <w:pPr>
              <w:jc w:val="right"/>
              <w:rPr>
                <w:color w:val="000000"/>
                <w:sz w:val="18"/>
                <w:szCs w:val="18"/>
              </w:rPr>
            </w:pPr>
          </w:p>
        </w:tc>
        <w:tc>
          <w:tcPr>
            <w:tcW w:w="1156" w:type="dxa"/>
            <w:tcBorders>
              <w:left w:val="nil"/>
              <w:bottom w:val="nil"/>
              <w:right w:val="nil"/>
            </w:tcBorders>
            <w:shd w:val="clear" w:color="auto" w:fill="FFFFFF" w:themeFill="background1"/>
            <w:vAlign w:val="bottom"/>
          </w:tcPr>
          <w:p w14:paraId="0C33E967" w14:textId="77777777" w:rsidR="005364CA" w:rsidRPr="00AF61E8" w:rsidRDefault="005364CA" w:rsidP="00AC3862">
            <w:pPr>
              <w:jc w:val="right"/>
              <w:rPr>
                <w:color w:val="000000"/>
                <w:sz w:val="18"/>
                <w:szCs w:val="18"/>
              </w:rPr>
            </w:pPr>
          </w:p>
        </w:tc>
        <w:tc>
          <w:tcPr>
            <w:tcW w:w="1157" w:type="dxa"/>
            <w:tcBorders>
              <w:left w:val="nil"/>
              <w:bottom w:val="nil"/>
              <w:right w:val="nil"/>
            </w:tcBorders>
            <w:shd w:val="clear" w:color="auto" w:fill="FFFFFF" w:themeFill="background1"/>
            <w:noWrap/>
            <w:vAlign w:val="bottom"/>
          </w:tcPr>
          <w:p w14:paraId="3E8DD7C7" w14:textId="77777777" w:rsidR="005364CA" w:rsidRPr="00AF61E8" w:rsidRDefault="005364CA" w:rsidP="00AC3862">
            <w:pPr>
              <w:jc w:val="right"/>
              <w:rPr>
                <w:color w:val="000000"/>
                <w:sz w:val="18"/>
                <w:szCs w:val="18"/>
              </w:rPr>
            </w:pPr>
          </w:p>
        </w:tc>
      </w:tr>
      <w:tr w:rsidR="005364CA" w:rsidRPr="00906252" w14:paraId="3D3DBE5B" w14:textId="77777777" w:rsidTr="00AC3862">
        <w:trPr>
          <w:trHeight w:val="300"/>
          <w:jc w:val="center"/>
        </w:trPr>
        <w:tc>
          <w:tcPr>
            <w:tcW w:w="3969" w:type="dxa"/>
            <w:tcBorders>
              <w:left w:val="nil"/>
              <w:bottom w:val="nil"/>
              <w:right w:val="nil"/>
            </w:tcBorders>
            <w:shd w:val="clear" w:color="auto" w:fill="F2F2F2" w:themeFill="background1" w:themeFillShade="F2"/>
            <w:noWrap/>
            <w:vAlign w:val="bottom"/>
          </w:tcPr>
          <w:p w14:paraId="0EE54180" w14:textId="77777777" w:rsidR="005364CA" w:rsidRDefault="005364CA" w:rsidP="00AC3862">
            <w:pPr>
              <w:rPr>
                <w:color w:val="000000"/>
                <w:sz w:val="18"/>
                <w:szCs w:val="18"/>
              </w:rPr>
            </w:pPr>
            <w:r>
              <w:rPr>
                <w:color w:val="000000"/>
                <w:sz w:val="18"/>
                <w:szCs w:val="18"/>
              </w:rPr>
              <w:t xml:space="preserve">     SOFR 3 meses (promedio)</w:t>
            </w:r>
          </w:p>
        </w:tc>
        <w:tc>
          <w:tcPr>
            <w:tcW w:w="992" w:type="dxa"/>
            <w:tcBorders>
              <w:left w:val="nil"/>
              <w:bottom w:val="nil"/>
              <w:right w:val="nil"/>
            </w:tcBorders>
            <w:shd w:val="clear" w:color="auto" w:fill="F2F2F2" w:themeFill="background1" w:themeFillShade="F2"/>
            <w:noWrap/>
            <w:vAlign w:val="bottom"/>
          </w:tcPr>
          <w:p w14:paraId="0C0E7610" w14:textId="77777777" w:rsidR="005364CA" w:rsidRPr="00906252" w:rsidRDefault="005364CA" w:rsidP="00AC3862">
            <w:pPr>
              <w:jc w:val="right"/>
              <w:rPr>
                <w:color w:val="000000"/>
                <w:sz w:val="18"/>
                <w:szCs w:val="18"/>
              </w:rPr>
            </w:pPr>
            <w:r>
              <w:rPr>
                <w:color w:val="000000"/>
                <w:sz w:val="18"/>
                <w:szCs w:val="18"/>
              </w:rPr>
              <w:t>3.3</w:t>
            </w:r>
          </w:p>
        </w:tc>
        <w:tc>
          <w:tcPr>
            <w:tcW w:w="1156" w:type="dxa"/>
            <w:tcBorders>
              <w:left w:val="nil"/>
              <w:bottom w:val="nil"/>
              <w:right w:val="nil"/>
            </w:tcBorders>
            <w:shd w:val="clear" w:color="auto" w:fill="F2F2F2" w:themeFill="background1" w:themeFillShade="F2"/>
            <w:vAlign w:val="bottom"/>
          </w:tcPr>
          <w:p w14:paraId="21D3FDE2" w14:textId="77777777" w:rsidR="005364CA" w:rsidRPr="00AF61E8" w:rsidRDefault="005364CA" w:rsidP="00AC3862">
            <w:pPr>
              <w:jc w:val="right"/>
              <w:rPr>
                <w:color w:val="000000"/>
                <w:sz w:val="18"/>
                <w:szCs w:val="18"/>
              </w:rPr>
            </w:pPr>
            <w:r>
              <w:rPr>
                <w:color w:val="000000"/>
                <w:sz w:val="18"/>
                <w:szCs w:val="18"/>
              </w:rPr>
              <w:t>4.2</w:t>
            </w:r>
          </w:p>
        </w:tc>
        <w:tc>
          <w:tcPr>
            <w:tcW w:w="1157" w:type="dxa"/>
            <w:tcBorders>
              <w:left w:val="nil"/>
              <w:bottom w:val="nil"/>
              <w:right w:val="nil"/>
            </w:tcBorders>
            <w:shd w:val="clear" w:color="auto" w:fill="F2F2F2" w:themeFill="background1" w:themeFillShade="F2"/>
            <w:noWrap/>
            <w:vAlign w:val="bottom"/>
          </w:tcPr>
          <w:p w14:paraId="5CBF982C" w14:textId="77777777" w:rsidR="005364CA" w:rsidRPr="00AF61E8" w:rsidRDefault="005364CA" w:rsidP="00AC3862">
            <w:pPr>
              <w:jc w:val="right"/>
              <w:rPr>
                <w:color w:val="000000"/>
                <w:sz w:val="18"/>
                <w:szCs w:val="18"/>
              </w:rPr>
            </w:pPr>
            <w:r>
              <w:rPr>
                <w:color w:val="000000"/>
                <w:sz w:val="18"/>
                <w:szCs w:val="18"/>
              </w:rPr>
              <w:t>3.5</w:t>
            </w:r>
          </w:p>
        </w:tc>
      </w:tr>
      <w:tr w:rsidR="005364CA" w:rsidRPr="00906252" w14:paraId="5606BDB5" w14:textId="77777777" w:rsidTr="00AC3862">
        <w:trPr>
          <w:trHeight w:val="300"/>
          <w:jc w:val="center"/>
        </w:trPr>
        <w:tc>
          <w:tcPr>
            <w:tcW w:w="3969" w:type="dxa"/>
            <w:tcBorders>
              <w:left w:val="nil"/>
              <w:bottom w:val="nil"/>
              <w:right w:val="nil"/>
            </w:tcBorders>
            <w:shd w:val="clear" w:color="auto" w:fill="FFFFFF" w:themeFill="background1"/>
            <w:noWrap/>
            <w:vAlign w:val="bottom"/>
          </w:tcPr>
          <w:p w14:paraId="04BC71E5" w14:textId="77777777" w:rsidR="005364CA" w:rsidRDefault="005364CA" w:rsidP="00AC3862">
            <w:pPr>
              <w:rPr>
                <w:color w:val="000000"/>
                <w:sz w:val="18"/>
                <w:szCs w:val="18"/>
              </w:rPr>
            </w:pPr>
            <w:r>
              <w:rPr>
                <w:color w:val="000000"/>
                <w:sz w:val="18"/>
                <w:szCs w:val="18"/>
              </w:rPr>
              <w:t xml:space="preserve">     FED </w:t>
            </w:r>
            <w:proofErr w:type="spellStart"/>
            <w:r>
              <w:rPr>
                <w:color w:val="000000"/>
                <w:sz w:val="18"/>
                <w:szCs w:val="18"/>
              </w:rPr>
              <w:t>Funds</w:t>
            </w:r>
            <w:proofErr w:type="spellEnd"/>
            <w:r>
              <w:rPr>
                <w:color w:val="000000"/>
                <w:sz w:val="18"/>
                <w:szCs w:val="18"/>
              </w:rPr>
              <w:t xml:space="preserve"> </w:t>
            </w:r>
            <w:proofErr w:type="spellStart"/>
            <w:r>
              <w:rPr>
                <w:color w:val="000000"/>
                <w:sz w:val="18"/>
                <w:szCs w:val="18"/>
              </w:rPr>
              <w:t>Rate</w:t>
            </w:r>
            <w:proofErr w:type="spellEnd"/>
            <w:r>
              <w:rPr>
                <w:color w:val="000000"/>
                <w:sz w:val="18"/>
                <w:szCs w:val="18"/>
              </w:rPr>
              <w:t xml:space="preserve"> (promedio)</w:t>
            </w:r>
          </w:p>
        </w:tc>
        <w:tc>
          <w:tcPr>
            <w:tcW w:w="992" w:type="dxa"/>
            <w:tcBorders>
              <w:left w:val="nil"/>
              <w:bottom w:val="nil"/>
              <w:right w:val="nil"/>
            </w:tcBorders>
            <w:shd w:val="clear" w:color="auto" w:fill="FFFFFF" w:themeFill="background1"/>
            <w:noWrap/>
            <w:vAlign w:val="bottom"/>
          </w:tcPr>
          <w:p w14:paraId="4C6A0095" w14:textId="77777777" w:rsidR="005364CA" w:rsidRPr="00906252" w:rsidRDefault="005364CA" w:rsidP="00AC3862">
            <w:pPr>
              <w:jc w:val="right"/>
              <w:rPr>
                <w:color w:val="000000"/>
                <w:sz w:val="18"/>
                <w:szCs w:val="18"/>
              </w:rPr>
            </w:pPr>
            <w:r>
              <w:rPr>
                <w:color w:val="000000"/>
                <w:sz w:val="18"/>
                <w:szCs w:val="18"/>
              </w:rPr>
              <w:t>3.8</w:t>
            </w:r>
          </w:p>
        </w:tc>
        <w:tc>
          <w:tcPr>
            <w:tcW w:w="1156" w:type="dxa"/>
            <w:tcBorders>
              <w:left w:val="nil"/>
              <w:bottom w:val="nil"/>
              <w:right w:val="nil"/>
            </w:tcBorders>
            <w:shd w:val="clear" w:color="auto" w:fill="FFFFFF" w:themeFill="background1"/>
            <w:vAlign w:val="bottom"/>
          </w:tcPr>
          <w:p w14:paraId="19A53C48" w14:textId="77777777" w:rsidR="005364CA" w:rsidRPr="00AF61E8" w:rsidRDefault="005364CA" w:rsidP="00AC3862">
            <w:pPr>
              <w:jc w:val="right"/>
              <w:rPr>
                <w:color w:val="000000"/>
                <w:sz w:val="18"/>
                <w:szCs w:val="18"/>
              </w:rPr>
            </w:pPr>
            <w:r>
              <w:rPr>
                <w:color w:val="000000"/>
                <w:sz w:val="18"/>
                <w:szCs w:val="18"/>
              </w:rPr>
              <w:t>4.3</w:t>
            </w:r>
          </w:p>
        </w:tc>
        <w:tc>
          <w:tcPr>
            <w:tcW w:w="1157" w:type="dxa"/>
            <w:tcBorders>
              <w:left w:val="nil"/>
              <w:bottom w:val="nil"/>
              <w:right w:val="nil"/>
            </w:tcBorders>
            <w:shd w:val="clear" w:color="auto" w:fill="FFFFFF" w:themeFill="background1"/>
            <w:noWrap/>
            <w:vAlign w:val="bottom"/>
          </w:tcPr>
          <w:p w14:paraId="73065C10" w14:textId="77777777" w:rsidR="005364CA" w:rsidRPr="00AF61E8" w:rsidRDefault="005364CA" w:rsidP="00AC3862">
            <w:pPr>
              <w:jc w:val="right"/>
              <w:rPr>
                <w:color w:val="000000"/>
                <w:sz w:val="18"/>
                <w:szCs w:val="18"/>
              </w:rPr>
            </w:pPr>
            <w:r>
              <w:rPr>
                <w:color w:val="000000"/>
                <w:sz w:val="18"/>
                <w:szCs w:val="18"/>
              </w:rPr>
              <w:t>3.5</w:t>
            </w:r>
          </w:p>
        </w:tc>
      </w:tr>
      <w:tr w:rsidR="005364CA" w:rsidRPr="002A437F" w14:paraId="22615EEF" w14:textId="77777777" w:rsidTr="00AC3862">
        <w:trPr>
          <w:trHeight w:val="300"/>
          <w:jc w:val="center"/>
        </w:trPr>
        <w:tc>
          <w:tcPr>
            <w:tcW w:w="3969" w:type="dxa"/>
            <w:tcBorders>
              <w:left w:val="nil"/>
              <w:bottom w:val="nil"/>
              <w:right w:val="nil"/>
            </w:tcBorders>
            <w:shd w:val="clear" w:color="auto" w:fill="F2F2F2" w:themeFill="background1" w:themeFillShade="F2"/>
            <w:noWrap/>
            <w:vAlign w:val="bottom"/>
          </w:tcPr>
          <w:p w14:paraId="5BA8B82C" w14:textId="77777777" w:rsidR="005364CA" w:rsidRPr="002A437F" w:rsidRDefault="005364CA" w:rsidP="00AC3862">
            <w:pPr>
              <w:rPr>
                <w:b/>
                <w:bCs/>
                <w:color w:val="000000"/>
                <w:sz w:val="18"/>
                <w:szCs w:val="18"/>
              </w:rPr>
            </w:pPr>
            <w:r w:rsidRPr="002A437F">
              <w:rPr>
                <w:b/>
                <w:bCs/>
                <w:color w:val="000000"/>
                <w:sz w:val="18"/>
                <w:szCs w:val="18"/>
              </w:rPr>
              <w:t>Petróleo (canasta mexicana)</w:t>
            </w:r>
          </w:p>
        </w:tc>
        <w:tc>
          <w:tcPr>
            <w:tcW w:w="992" w:type="dxa"/>
            <w:tcBorders>
              <w:left w:val="nil"/>
              <w:bottom w:val="nil"/>
              <w:right w:val="nil"/>
            </w:tcBorders>
            <w:shd w:val="clear" w:color="auto" w:fill="F2F2F2" w:themeFill="background1" w:themeFillShade="F2"/>
            <w:noWrap/>
            <w:vAlign w:val="bottom"/>
          </w:tcPr>
          <w:p w14:paraId="72AE4DA4" w14:textId="77777777" w:rsidR="005364CA" w:rsidRPr="00AF61E8" w:rsidRDefault="005364CA" w:rsidP="00AC3862">
            <w:pPr>
              <w:jc w:val="right"/>
              <w:rPr>
                <w:color w:val="000000"/>
                <w:sz w:val="18"/>
                <w:szCs w:val="18"/>
              </w:rPr>
            </w:pPr>
          </w:p>
        </w:tc>
        <w:tc>
          <w:tcPr>
            <w:tcW w:w="1156" w:type="dxa"/>
            <w:tcBorders>
              <w:left w:val="nil"/>
              <w:bottom w:val="nil"/>
              <w:right w:val="nil"/>
            </w:tcBorders>
            <w:shd w:val="clear" w:color="auto" w:fill="F2F2F2" w:themeFill="background1" w:themeFillShade="F2"/>
            <w:vAlign w:val="bottom"/>
          </w:tcPr>
          <w:p w14:paraId="23E58EBB" w14:textId="77777777" w:rsidR="005364CA" w:rsidRPr="00AF61E8" w:rsidRDefault="005364CA" w:rsidP="00AC3862">
            <w:pPr>
              <w:jc w:val="right"/>
              <w:rPr>
                <w:color w:val="000000"/>
                <w:sz w:val="18"/>
                <w:szCs w:val="18"/>
              </w:rPr>
            </w:pPr>
          </w:p>
        </w:tc>
        <w:tc>
          <w:tcPr>
            <w:tcW w:w="1157" w:type="dxa"/>
            <w:tcBorders>
              <w:left w:val="nil"/>
              <w:bottom w:val="nil"/>
              <w:right w:val="nil"/>
            </w:tcBorders>
            <w:shd w:val="clear" w:color="auto" w:fill="F2F2F2" w:themeFill="background1" w:themeFillShade="F2"/>
            <w:noWrap/>
            <w:vAlign w:val="bottom"/>
          </w:tcPr>
          <w:p w14:paraId="38A1630B" w14:textId="77777777" w:rsidR="005364CA" w:rsidRPr="00AF61E8" w:rsidRDefault="005364CA" w:rsidP="00AC3862">
            <w:pPr>
              <w:jc w:val="right"/>
              <w:rPr>
                <w:color w:val="000000"/>
                <w:sz w:val="18"/>
                <w:szCs w:val="18"/>
              </w:rPr>
            </w:pPr>
          </w:p>
        </w:tc>
      </w:tr>
      <w:tr w:rsidR="005364CA" w:rsidRPr="00906252" w14:paraId="28E2C1F8" w14:textId="77777777" w:rsidTr="00AC3862">
        <w:trPr>
          <w:trHeight w:val="300"/>
          <w:jc w:val="center"/>
        </w:trPr>
        <w:tc>
          <w:tcPr>
            <w:tcW w:w="3969" w:type="dxa"/>
            <w:tcBorders>
              <w:top w:val="nil"/>
              <w:left w:val="nil"/>
              <w:bottom w:val="nil"/>
              <w:right w:val="nil"/>
            </w:tcBorders>
            <w:shd w:val="clear" w:color="auto" w:fill="FFFFFF" w:themeFill="background1"/>
            <w:noWrap/>
            <w:vAlign w:val="bottom"/>
            <w:hideMark/>
          </w:tcPr>
          <w:p w14:paraId="0C83CAAC" w14:textId="77777777" w:rsidR="005364CA" w:rsidRPr="00906252" w:rsidRDefault="005364CA" w:rsidP="00AC3862">
            <w:pPr>
              <w:rPr>
                <w:color w:val="000000"/>
                <w:sz w:val="18"/>
                <w:szCs w:val="18"/>
              </w:rPr>
            </w:pPr>
            <w:r w:rsidRPr="00906252">
              <w:rPr>
                <w:color w:val="000000"/>
                <w:sz w:val="18"/>
                <w:szCs w:val="18"/>
              </w:rPr>
              <w:t xml:space="preserve">     Precio promedio (dólares / barril) </w:t>
            </w:r>
          </w:p>
        </w:tc>
        <w:tc>
          <w:tcPr>
            <w:tcW w:w="992" w:type="dxa"/>
            <w:tcBorders>
              <w:top w:val="nil"/>
              <w:left w:val="nil"/>
              <w:bottom w:val="nil"/>
              <w:right w:val="nil"/>
            </w:tcBorders>
            <w:shd w:val="clear" w:color="auto" w:fill="FFFFFF" w:themeFill="background1"/>
            <w:noWrap/>
            <w:vAlign w:val="bottom"/>
            <w:hideMark/>
          </w:tcPr>
          <w:p w14:paraId="3702E5C7" w14:textId="77777777" w:rsidR="005364CA" w:rsidRPr="00906252" w:rsidRDefault="005364CA" w:rsidP="00AC3862">
            <w:pPr>
              <w:jc w:val="right"/>
              <w:rPr>
                <w:color w:val="000000"/>
                <w:sz w:val="18"/>
                <w:szCs w:val="18"/>
              </w:rPr>
            </w:pPr>
            <w:r>
              <w:rPr>
                <w:color w:val="000000"/>
                <w:sz w:val="18"/>
                <w:szCs w:val="18"/>
              </w:rPr>
              <w:t>57</w:t>
            </w:r>
            <w:r w:rsidRPr="00906252">
              <w:rPr>
                <w:color w:val="000000"/>
                <w:sz w:val="18"/>
                <w:szCs w:val="18"/>
              </w:rPr>
              <w:t>.</w:t>
            </w:r>
            <w:r>
              <w:rPr>
                <w:color w:val="000000"/>
                <w:sz w:val="18"/>
                <w:szCs w:val="18"/>
              </w:rPr>
              <w:t>8</w:t>
            </w:r>
          </w:p>
        </w:tc>
        <w:tc>
          <w:tcPr>
            <w:tcW w:w="1156" w:type="dxa"/>
            <w:tcBorders>
              <w:top w:val="nil"/>
              <w:left w:val="nil"/>
              <w:bottom w:val="nil"/>
              <w:right w:val="nil"/>
            </w:tcBorders>
            <w:shd w:val="clear" w:color="auto" w:fill="FFFFFF" w:themeFill="background1"/>
            <w:vAlign w:val="bottom"/>
          </w:tcPr>
          <w:p w14:paraId="0535CD1A" w14:textId="77777777" w:rsidR="005364CA" w:rsidRPr="00906252" w:rsidRDefault="005364CA" w:rsidP="00AC3862">
            <w:pPr>
              <w:jc w:val="right"/>
              <w:rPr>
                <w:color w:val="000000"/>
                <w:sz w:val="18"/>
                <w:szCs w:val="18"/>
              </w:rPr>
            </w:pPr>
            <w:r>
              <w:rPr>
                <w:color w:val="000000"/>
                <w:sz w:val="18"/>
                <w:szCs w:val="18"/>
              </w:rPr>
              <w:t>62.0</w:t>
            </w:r>
          </w:p>
        </w:tc>
        <w:tc>
          <w:tcPr>
            <w:tcW w:w="1157" w:type="dxa"/>
            <w:tcBorders>
              <w:top w:val="nil"/>
              <w:left w:val="nil"/>
              <w:bottom w:val="nil"/>
              <w:right w:val="nil"/>
            </w:tcBorders>
            <w:shd w:val="clear" w:color="auto" w:fill="FFFFFF" w:themeFill="background1"/>
            <w:noWrap/>
            <w:vAlign w:val="bottom"/>
            <w:hideMark/>
          </w:tcPr>
          <w:p w14:paraId="7C0A0EB2" w14:textId="77777777" w:rsidR="005364CA" w:rsidRPr="00906252" w:rsidRDefault="005364CA" w:rsidP="00AC3862">
            <w:pPr>
              <w:jc w:val="right"/>
              <w:rPr>
                <w:color w:val="000000"/>
                <w:sz w:val="18"/>
                <w:szCs w:val="18"/>
              </w:rPr>
            </w:pPr>
            <w:r w:rsidRPr="00906252">
              <w:rPr>
                <w:color w:val="000000"/>
                <w:sz w:val="18"/>
                <w:szCs w:val="18"/>
              </w:rPr>
              <w:t>5</w:t>
            </w:r>
            <w:r>
              <w:rPr>
                <w:color w:val="000000"/>
                <w:sz w:val="18"/>
                <w:szCs w:val="18"/>
              </w:rPr>
              <w:t>4</w:t>
            </w:r>
            <w:r w:rsidRPr="00906252">
              <w:rPr>
                <w:color w:val="000000"/>
                <w:sz w:val="18"/>
                <w:szCs w:val="18"/>
              </w:rPr>
              <w:t>.</w:t>
            </w:r>
            <w:r>
              <w:rPr>
                <w:color w:val="000000"/>
                <w:sz w:val="18"/>
                <w:szCs w:val="18"/>
              </w:rPr>
              <w:t>9</w:t>
            </w:r>
          </w:p>
        </w:tc>
      </w:tr>
      <w:tr w:rsidR="005364CA" w:rsidRPr="00906252" w14:paraId="311F1905" w14:textId="77777777" w:rsidTr="00AC3862">
        <w:trPr>
          <w:trHeight w:val="300"/>
          <w:jc w:val="center"/>
        </w:trPr>
        <w:tc>
          <w:tcPr>
            <w:tcW w:w="3969" w:type="dxa"/>
            <w:tcBorders>
              <w:top w:val="nil"/>
              <w:left w:val="nil"/>
              <w:bottom w:val="nil"/>
              <w:right w:val="nil"/>
            </w:tcBorders>
            <w:shd w:val="clear" w:color="auto" w:fill="F2F2F2" w:themeFill="background1" w:themeFillShade="F2"/>
            <w:noWrap/>
            <w:vAlign w:val="bottom"/>
            <w:hideMark/>
          </w:tcPr>
          <w:p w14:paraId="1E3811F3" w14:textId="77777777" w:rsidR="005364CA" w:rsidRPr="00906252" w:rsidRDefault="005364CA" w:rsidP="00AC3862">
            <w:pPr>
              <w:rPr>
                <w:color w:val="000000"/>
                <w:sz w:val="18"/>
                <w:szCs w:val="18"/>
              </w:rPr>
            </w:pPr>
            <w:r w:rsidRPr="00906252">
              <w:rPr>
                <w:color w:val="000000"/>
                <w:sz w:val="18"/>
                <w:szCs w:val="18"/>
              </w:rPr>
              <w:t xml:space="preserve">     Plataforma de producción </w:t>
            </w:r>
            <w:r>
              <w:rPr>
                <w:color w:val="000000"/>
                <w:sz w:val="18"/>
                <w:szCs w:val="18"/>
              </w:rPr>
              <w:t>promedio (</w:t>
            </w:r>
            <w:proofErr w:type="spellStart"/>
            <w:r>
              <w:rPr>
                <w:color w:val="000000"/>
                <w:sz w:val="18"/>
                <w:szCs w:val="18"/>
              </w:rPr>
              <w:t>mbd</w:t>
            </w:r>
            <w:proofErr w:type="spellEnd"/>
            <w:r>
              <w:rPr>
                <w:color w:val="000000"/>
                <w:sz w:val="18"/>
                <w:szCs w:val="18"/>
              </w:rPr>
              <w:t>) */</w:t>
            </w:r>
          </w:p>
        </w:tc>
        <w:tc>
          <w:tcPr>
            <w:tcW w:w="992" w:type="dxa"/>
            <w:tcBorders>
              <w:top w:val="nil"/>
              <w:left w:val="nil"/>
              <w:bottom w:val="nil"/>
              <w:right w:val="nil"/>
            </w:tcBorders>
            <w:shd w:val="clear" w:color="auto" w:fill="F2F2F2" w:themeFill="background1" w:themeFillShade="F2"/>
            <w:noWrap/>
            <w:vAlign w:val="bottom"/>
            <w:hideMark/>
          </w:tcPr>
          <w:p w14:paraId="68155C5C" w14:textId="77777777" w:rsidR="005364CA" w:rsidRPr="00906252" w:rsidRDefault="005364CA" w:rsidP="00AC3862">
            <w:pPr>
              <w:jc w:val="right"/>
              <w:rPr>
                <w:color w:val="000000"/>
                <w:sz w:val="18"/>
                <w:szCs w:val="18"/>
              </w:rPr>
            </w:pPr>
            <w:r w:rsidRPr="00906252">
              <w:rPr>
                <w:color w:val="000000"/>
                <w:sz w:val="18"/>
                <w:szCs w:val="18"/>
              </w:rPr>
              <w:t>1,8</w:t>
            </w:r>
            <w:r>
              <w:rPr>
                <w:color w:val="000000"/>
                <w:sz w:val="18"/>
                <w:szCs w:val="18"/>
              </w:rPr>
              <w:t>91</w:t>
            </w:r>
            <w:r w:rsidRPr="00906252">
              <w:rPr>
                <w:color w:val="000000"/>
                <w:sz w:val="18"/>
                <w:szCs w:val="18"/>
              </w:rPr>
              <w:t>.</w:t>
            </w:r>
            <w:r>
              <w:rPr>
                <w:color w:val="000000"/>
                <w:sz w:val="18"/>
                <w:szCs w:val="18"/>
              </w:rPr>
              <w:t>2</w:t>
            </w:r>
          </w:p>
        </w:tc>
        <w:tc>
          <w:tcPr>
            <w:tcW w:w="1156" w:type="dxa"/>
            <w:tcBorders>
              <w:top w:val="nil"/>
              <w:left w:val="nil"/>
              <w:bottom w:val="nil"/>
              <w:right w:val="nil"/>
            </w:tcBorders>
            <w:shd w:val="clear" w:color="auto" w:fill="F2F2F2" w:themeFill="background1" w:themeFillShade="F2"/>
            <w:vAlign w:val="bottom"/>
          </w:tcPr>
          <w:p w14:paraId="16852165" w14:textId="77777777" w:rsidR="005364CA" w:rsidRPr="00906252" w:rsidRDefault="005364CA" w:rsidP="00AC3862">
            <w:pPr>
              <w:jc w:val="right"/>
              <w:rPr>
                <w:color w:val="000000"/>
                <w:sz w:val="18"/>
                <w:szCs w:val="18"/>
              </w:rPr>
            </w:pPr>
            <w:r w:rsidRPr="00906252">
              <w:rPr>
                <w:color w:val="000000"/>
                <w:sz w:val="18"/>
                <w:szCs w:val="18"/>
              </w:rPr>
              <w:t>1,</w:t>
            </w:r>
            <w:r>
              <w:rPr>
                <w:color w:val="000000"/>
                <w:sz w:val="18"/>
                <w:szCs w:val="18"/>
              </w:rPr>
              <w:t>71</w:t>
            </w:r>
            <w:r w:rsidRPr="00906252">
              <w:rPr>
                <w:color w:val="000000"/>
                <w:sz w:val="18"/>
                <w:szCs w:val="18"/>
              </w:rPr>
              <w:t>3.</w:t>
            </w:r>
            <w:r>
              <w:rPr>
                <w:color w:val="000000"/>
                <w:sz w:val="18"/>
                <w:szCs w:val="18"/>
              </w:rPr>
              <w:t>9</w:t>
            </w:r>
          </w:p>
        </w:tc>
        <w:tc>
          <w:tcPr>
            <w:tcW w:w="1157" w:type="dxa"/>
            <w:tcBorders>
              <w:top w:val="nil"/>
              <w:left w:val="nil"/>
              <w:bottom w:val="nil"/>
              <w:right w:val="nil"/>
            </w:tcBorders>
            <w:shd w:val="clear" w:color="auto" w:fill="F2F2F2" w:themeFill="background1" w:themeFillShade="F2"/>
            <w:noWrap/>
            <w:vAlign w:val="bottom"/>
            <w:hideMark/>
          </w:tcPr>
          <w:p w14:paraId="0C5EEFB8" w14:textId="77777777" w:rsidR="005364CA" w:rsidRPr="00906252" w:rsidRDefault="005364CA" w:rsidP="00AC3862">
            <w:pPr>
              <w:jc w:val="right"/>
              <w:rPr>
                <w:color w:val="000000"/>
                <w:sz w:val="18"/>
                <w:szCs w:val="18"/>
              </w:rPr>
            </w:pPr>
            <w:r w:rsidRPr="00906252">
              <w:rPr>
                <w:color w:val="000000"/>
                <w:sz w:val="18"/>
                <w:szCs w:val="18"/>
              </w:rPr>
              <w:t>1,</w:t>
            </w:r>
            <w:r>
              <w:rPr>
                <w:color w:val="000000"/>
                <w:sz w:val="18"/>
                <w:szCs w:val="18"/>
              </w:rPr>
              <w:t>794</w:t>
            </w:r>
            <w:r w:rsidRPr="00906252">
              <w:rPr>
                <w:color w:val="000000"/>
                <w:sz w:val="18"/>
                <w:szCs w:val="18"/>
              </w:rPr>
              <w:t>.0</w:t>
            </w:r>
          </w:p>
        </w:tc>
      </w:tr>
      <w:tr w:rsidR="005364CA" w:rsidRPr="00906252" w14:paraId="13E1924C" w14:textId="77777777" w:rsidTr="00AC3862">
        <w:trPr>
          <w:trHeight w:val="300"/>
          <w:jc w:val="center"/>
        </w:trPr>
        <w:tc>
          <w:tcPr>
            <w:tcW w:w="3969" w:type="dxa"/>
            <w:tcBorders>
              <w:top w:val="nil"/>
              <w:left w:val="nil"/>
              <w:right w:val="nil"/>
            </w:tcBorders>
            <w:shd w:val="clear" w:color="auto" w:fill="FFFFFF" w:themeFill="background1"/>
            <w:noWrap/>
            <w:vAlign w:val="bottom"/>
            <w:hideMark/>
          </w:tcPr>
          <w:p w14:paraId="110FB0FB" w14:textId="77777777" w:rsidR="005364CA" w:rsidRPr="00906252" w:rsidRDefault="005364CA" w:rsidP="00AC3862">
            <w:pPr>
              <w:rPr>
                <w:color w:val="000000"/>
                <w:sz w:val="18"/>
                <w:szCs w:val="18"/>
              </w:rPr>
            </w:pPr>
            <w:r w:rsidRPr="00906252">
              <w:rPr>
                <w:color w:val="000000"/>
                <w:sz w:val="18"/>
                <w:szCs w:val="18"/>
              </w:rPr>
              <w:t xml:space="preserve">     Plataforma de exportación </w:t>
            </w:r>
            <w:r>
              <w:rPr>
                <w:color w:val="000000"/>
                <w:sz w:val="18"/>
                <w:szCs w:val="18"/>
              </w:rPr>
              <w:t>promedio (</w:t>
            </w:r>
            <w:proofErr w:type="spellStart"/>
            <w:r>
              <w:rPr>
                <w:color w:val="000000"/>
                <w:sz w:val="18"/>
                <w:szCs w:val="18"/>
              </w:rPr>
              <w:t>mbd</w:t>
            </w:r>
            <w:proofErr w:type="spellEnd"/>
            <w:r>
              <w:rPr>
                <w:color w:val="000000"/>
                <w:sz w:val="18"/>
                <w:szCs w:val="18"/>
              </w:rPr>
              <w:t>)</w:t>
            </w:r>
          </w:p>
        </w:tc>
        <w:tc>
          <w:tcPr>
            <w:tcW w:w="992" w:type="dxa"/>
            <w:tcBorders>
              <w:top w:val="nil"/>
              <w:left w:val="nil"/>
              <w:right w:val="nil"/>
            </w:tcBorders>
            <w:shd w:val="clear" w:color="auto" w:fill="FFFFFF" w:themeFill="background1"/>
            <w:noWrap/>
            <w:vAlign w:val="bottom"/>
            <w:hideMark/>
          </w:tcPr>
          <w:p w14:paraId="220550B2" w14:textId="77777777" w:rsidR="005364CA" w:rsidRPr="00906252" w:rsidRDefault="005364CA" w:rsidP="00AC3862">
            <w:pPr>
              <w:jc w:val="right"/>
              <w:rPr>
                <w:color w:val="000000"/>
                <w:sz w:val="18"/>
                <w:szCs w:val="18"/>
              </w:rPr>
            </w:pPr>
            <w:r>
              <w:rPr>
                <w:color w:val="000000"/>
                <w:sz w:val="18"/>
                <w:szCs w:val="18"/>
              </w:rPr>
              <w:t>891.5</w:t>
            </w:r>
          </w:p>
        </w:tc>
        <w:tc>
          <w:tcPr>
            <w:tcW w:w="1156" w:type="dxa"/>
            <w:tcBorders>
              <w:top w:val="nil"/>
              <w:left w:val="nil"/>
              <w:right w:val="nil"/>
            </w:tcBorders>
            <w:shd w:val="clear" w:color="auto" w:fill="FFFFFF" w:themeFill="background1"/>
            <w:vAlign w:val="bottom"/>
          </w:tcPr>
          <w:p w14:paraId="40F58964" w14:textId="77777777" w:rsidR="005364CA" w:rsidRPr="00906252" w:rsidRDefault="005364CA" w:rsidP="00AC3862">
            <w:pPr>
              <w:jc w:val="right"/>
              <w:rPr>
                <w:color w:val="000000"/>
                <w:sz w:val="18"/>
                <w:szCs w:val="18"/>
              </w:rPr>
            </w:pPr>
            <w:r>
              <w:rPr>
                <w:color w:val="000000"/>
                <w:sz w:val="18"/>
                <w:szCs w:val="18"/>
              </w:rPr>
              <w:t>616</w:t>
            </w:r>
            <w:r w:rsidRPr="00906252">
              <w:rPr>
                <w:color w:val="000000"/>
                <w:sz w:val="18"/>
                <w:szCs w:val="18"/>
              </w:rPr>
              <w:t>.4</w:t>
            </w:r>
          </w:p>
        </w:tc>
        <w:tc>
          <w:tcPr>
            <w:tcW w:w="1157" w:type="dxa"/>
            <w:tcBorders>
              <w:top w:val="nil"/>
              <w:left w:val="nil"/>
              <w:right w:val="nil"/>
            </w:tcBorders>
            <w:shd w:val="clear" w:color="auto" w:fill="FFFFFF" w:themeFill="background1"/>
            <w:noWrap/>
            <w:vAlign w:val="bottom"/>
            <w:hideMark/>
          </w:tcPr>
          <w:p w14:paraId="26A49B2B" w14:textId="77777777" w:rsidR="005364CA" w:rsidRPr="00906252" w:rsidRDefault="005364CA" w:rsidP="00AC3862">
            <w:pPr>
              <w:jc w:val="right"/>
              <w:rPr>
                <w:color w:val="000000"/>
                <w:sz w:val="18"/>
                <w:szCs w:val="18"/>
              </w:rPr>
            </w:pPr>
            <w:r>
              <w:rPr>
                <w:color w:val="000000"/>
                <w:sz w:val="18"/>
                <w:szCs w:val="18"/>
              </w:rPr>
              <w:t>521</w:t>
            </w:r>
            <w:r w:rsidRPr="00906252">
              <w:rPr>
                <w:color w:val="000000"/>
                <w:sz w:val="18"/>
                <w:szCs w:val="18"/>
              </w:rPr>
              <w:t>.</w:t>
            </w:r>
            <w:r>
              <w:rPr>
                <w:color w:val="000000"/>
                <w:sz w:val="18"/>
                <w:szCs w:val="18"/>
              </w:rPr>
              <w:t>0</w:t>
            </w:r>
          </w:p>
        </w:tc>
      </w:tr>
      <w:tr w:rsidR="005364CA" w:rsidRPr="00906252" w14:paraId="11501F73" w14:textId="77777777" w:rsidTr="00AC3862">
        <w:trPr>
          <w:trHeight w:val="300"/>
          <w:jc w:val="center"/>
        </w:trPr>
        <w:tc>
          <w:tcPr>
            <w:tcW w:w="3969" w:type="dxa"/>
            <w:tcBorders>
              <w:top w:val="nil"/>
              <w:left w:val="nil"/>
              <w:right w:val="nil"/>
            </w:tcBorders>
            <w:shd w:val="clear" w:color="auto" w:fill="F2F2F2" w:themeFill="background1" w:themeFillShade="F2"/>
            <w:noWrap/>
            <w:vAlign w:val="bottom"/>
          </w:tcPr>
          <w:p w14:paraId="4FB620A3" w14:textId="77777777" w:rsidR="005364CA" w:rsidRPr="00906252" w:rsidRDefault="005364CA" w:rsidP="00AC3862">
            <w:pPr>
              <w:rPr>
                <w:color w:val="000000"/>
                <w:sz w:val="18"/>
                <w:szCs w:val="18"/>
              </w:rPr>
            </w:pPr>
            <w:r w:rsidRPr="00906252">
              <w:rPr>
                <w:color w:val="000000"/>
                <w:sz w:val="18"/>
                <w:szCs w:val="18"/>
              </w:rPr>
              <w:t xml:space="preserve">     Plataforma de </w:t>
            </w:r>
            <w:r>
              <w:rPr>
                <w:color w:val="000000"/>
                <w:sz w:val="18"/>
                <w:szCs w:val="18"/>
              </w:rPr>
              <w:t>privados</w:t>
            </w:r>
            <w:r w:rsidRPr="00906252">
              <w:rPr>
                <w:color w:val="000000"/>
                <w:sz w:val="18"/>
                <w:szCs w:val="18"/>
              </w:rPr>
              <w:t xml:space="preserve"> </w:t>
            </w:r>
            <w:r>
              <w:rPr>
                <w:color w:val="000000"/>
                <w:sz w:val="18"/>
                <w:szCs w:val="18"/>
              </w:rPr>
              <w:t>promedio (</w:t>
            </w:r>
            <w:proofErr w:type="spellStart"/>
            <w:r>
              <w:rPr>
                <w:color w:val="000000"/>
                <w:sz w:val="18"/>
                <w:szCs w:val="18"/>
              </w:rPr>
              <w:t>mbd</w:t>
            </w:r>
            <w:proofErr w:type="spellEnd"/>
            <w:r>
              <w:rPr>
                <w:color w:val="000000"/>
                <w:sz w:val="18"/>
                <w:szCs w:val="18"/>
              </w:rPr>
              <w:t>)</w:t>
            </w:r>
          </w:p>
        </w:tc>
        <w:tc>
          <w:tcPr>
            <w:tcW w:w="992" w:type="dxa"/>
            <w:tcBorders>
              <w:top w:val="nil"/>
              <w:left w:val="nil"/>
              <w:right w:val="nil"/>
            </w:tcBorders>
            <w:shd w:val="clear" w:color="auto" w:fill="F2F2F2" w:themeFill="background1" w:themeFillShade="F2"/>
            <w:noWrap/>
            <w:vAlign w:val="bottom"/>
          </w:tcPr>
          <w:p w14:paraId="190EDB71" w14:textId="77777777" w:rsidR="005364CA" w:rsidRPr="00906252" w:rsidRDefault="005364CA" w:rsidP="00AC3862">
            <w:pPr>
              <w:jc w:val="right"/>
              <w:rPr>
                <w:color w:val="000000"/>
                <w:sz w:val="18"/>
                <w:szCs w:val="18"/>
              </w:rPr>
            </w:pPr>
            <w:r>
              <w:rPr>
                <w:color w:val="000000"/>
                <w:sz w:val="18"/>
                <w:szCs w:val="18"/>
              </w:rPr>
              <w:t>74.0</w:t>
            </w:r>
          </w:p>
        </w:tc>
        <w:tc>
          <w:tcPr>
            <w:tcW w:w="1156" w:type="dxa"/>
            <w:tcBorders>
              <w:top w:val="nil"/>
              <w:left w:val="nil"/>
              <w:right w:val="nil"/>
            </w:tcBorders>
            <w:shd w:val="clear" w:color="auto" w:fill="F2F2F2" w:themeFill="background1" w:themeFillShade="F2"/>
            <w:vAlign w:val="bottom"/>
          </w:tcPr>
          <w:p w14:paraId="6A0549CD" w14:textId="77777777" w:rsidR="005364CA" w:rsidRPr="00906252" w:rsidRDefault="005364CA" w:rsidP="00AC3862">
            <w:pPr>
              <w:jc w:val="right"/>
              <w:rPr>
                <w:color w:val="000000"/>
                <w:sz w:val="18"/>
                <w:szCs w:val="18"/>
              </w:rPr>
            </w:pPr>
            <w:r>
              <w:rPr>
                <w:color w:val="000000"/>
                <w:sz w:val="18"/>
                <w:szCs w:val="18"/>
              </w:rPr>
              <w:t>51.0</w:t>
            </w:r>
          </w:p>
        </w:tc>
        <w:tc>
          <w:tcPr>
            <w:tcW w:w="1157" w:type="dxa"/>
            <w:tcBorders>
              <w:top w:val="nil"/>
              <w:left w:val="nil"/>
              <w:right w:val="nil"/>
            </w:tcBorders>
            <w:shd w:val="clear" w:color="auto" w:fill="F2F2F2" w:themeFill="background1" w:themeFillShade="F2"/>
            <w:noWrap/>
            <w:vAlign w:val="bottom"/>
          </w:tcPr>
          <w:p w14:paraId="67ED2FD0" w14:textId="77777777" w:rsidR="005364CA" w:rsidRPr="00906252" w:rsidRDefault="005364CA" w:rsidP="00AC3862">
            <w:pPr>
              <w:jc w:val="right"/>
              <w:rPr>
                <w:color w:val="000000"/>
                <w:sz w:val="18"/>
                <w:szCs w:val="18"/>
              </w:rPr>
            </w:pPr>
            <w:r>
              <w:rPr>
                <w:color w:val="000000"/>
                <w:sz w:val="18"/>
                <w:szCs w:val="18"/>
              </w:rPr>
              <w:t>119.0</w:t>
            </w:r>
          </w:p>
        </w:tc>
      </w:tr>
      <w:tr w:rsidR="005364CA" w:rsidRPr="002A437F" w14:paraId="08FCC192" w14:textId="77777777" w:rsidTr="00AC3862">
        <w:trPr>
          <w:trHeight w:val="300"/>
          <w:jc w:val="center"/>
        </w:trPr>
        <w:tc>
          <w:tcPr>
            <w:tcW w:w="3969" w:type="dxa"/>
            <w:tcBorders>
              <w:top w:val="nil"/>
              <w:left w:val="nil"/>
              <w:right w:val="nil"/>
            </w:tcBorders>
            <w:shd w:val="clear" w:color="auto" w:fill="FFFFFF" w:themeFill="background1"/>
            <w:noWrap/>
            <w:vAlign w:val="bottom"/>
          </w:tcPr>
          <w:p w14:paraId="49D32CEF" w14:textId="77777777" w:rsidR="005364CA" w:rsidRPr="002A437F" w:rsidRDefault="005364CA" w:rsidP="00AC3862">
            <w:pPr>
              <w:rPr>
                <w:b/>
                <w:bCs/>
                <w:color w:val="000000"/>
                <w:sz w:val="18"/>
                <w:szCs w:val="18"/>
              </w:rPr>
            </w:pPr>
            <w:r w:rsidRPr="002A437F">
              <w:rPr>
                <w:b/>
                <w:bCs/>
                <w:color w:val="000000"/>
                <w:sz w:val="18"/>
                <w:szCs w:val="18"/>
              </w:rPr>
              <w:t>Gas</w:t>
            </w:r>
          </w:p>
        </w:tc>
        <w:tc>
          <w:tcPr>
            <w:tcW w:w="992" w:type="dxa"/>
            <w:tcBorders>
              <w:top w:val="nil"/>
              <w:left w:val="nil"/>
              <w:right w:val="nil"/>
            </w:tcBorders>
            <w:shd w:val="clear" w:color="auto" w:fill="FFFFFF" w:themeFill="background1"/>
            <w:noWrap/>
            <w:vAlign w:val="bottom"/>
          </w:tcPr>
          <w:p w14:paraId="456FA278" w14:textId="77777777" w:rsidR="005364CA" w:rsidRPr="00AF61E8" w:rsidRDefault="005364CA" w:rsidP="00AC3862">
            <w:pPr>
              <w:jc w:val="right"/>
              <w:rPr>
                <w:color w:val="000000"/>
                <w:sz w:val="18"/>
                <w:szCs w:val="18"/>
              </w:rPr>
            </w:pPr>
          </w:p>
        </w:tc>
        <w:tc>
          <w:tcPr>
            <w:tcW w:w="1156" w:type="dxa"/>
            <w:tcBorders>
              <w:top w:val="nil"/>
              <w:left w:val="nil"/>
              <w:right w:val="nil"/>
            </w:tcBorders>
            <w:shd w:val="clear" w:color="auto" w:fill="FFFFFF" w:themeFill="background1"/>
            <w:vAlign w:val="bottom"/>
          </w:tcPr>
          <w:p w14:paraId="66B8A0AB" w14:textId="77777777" w:rsidR="005364CA" w:rsidRPr="00AF61E8" w:rsidRDefault="005364CA" w:rsidP="00AC3862">
            <w:pPr>
              <w:jc w:val="right"/>
              <w:rPr>
                <w:color w:val="000000"/>
                <w:sz w:val="18"/>
                <w:szCs w:val="18"/>
              </w:rPr>
            </w:pPr>
          </w:p>
        </w:tc>
        <w:tc>
          <w:tcPr>
            <w:tcW w:w="1157" w:type="dxa"/>
            <w:tcBorders>
              <w:top w:val="nil"/>
              <w:left w:val="nil"/>
              <w:right w:val="nil"/>
            </w:tcBorders>
            <w:shd w:val="clear" w:color="auto" w:fill="FFFFFF" w:themeFill="background1"/>
            <w:noWrap/>
            <w:vAlign w:val="bottom"/>
          </w:tcPr>
          <w:p w14:paraId="53F8C079" w14:textId="77777777" w:rsidR="005364CA" w:rsidRPr="00AF61E8" w:rsidRDefault="005364CA" w:rsidP="00AC3862">
            <w:pPr>
              <w:jc w:val="right"/>
              <w:rPr>
                <w:color w:val="000000"/>
                <w:sz w:val="18"/>
                <w:szCs w:val="18"/>
              </w:rPr>
            </w:pPr>
          </w:p>
        </w:tc>
      </w:tr>
      <w:tr w:rsidR="005364CA" w:rsidRPr="00906252" w14:paraId="00A9C0AA" w14:textId="77777777" w:rsidTr="00AC3862">
        <w:trPr>
          <w:trHeight w:val="300"/>
          <w:jc w:val="center"/>
        </w:trPr>
        <w:tc>
          <w:tcPr>
            <w:tcW w:w="3969" w:type="dxa"/>
            <w:tcBorders>
              <w:top w:val="nil"/>
              <w:left w:val="nil"/>
              <w:bottom w:val="single" w:sz="4" w:space="0" w:color="auto"/>
              <w:right w:val="nil"/>
            </w:tcBorders>
            <w:shd w:val="clear" w:color="auto" w:fill="F2F2F2" w:themeFill="background1" w:themeFillShade="F2"/>
            <w:noWrap/>
            <w:vAlign w:val="bottom"/>
          </w:tcPr>
          <w:p w14:paraId="639AA8D2" w14:textId="77777777" w:rsidR="005364CA" w:rsidRPr="00906252" w:rsidRDefault="005364CA" w:rsidP="00AC3862">
            <w:pPr>
              <w:rPr>
                <w:color w:val="000000"/>
                <w:sz w:val="18"/>
                <w:szCs w:val="18"/>
              </w:rPr>
            </w:pPr>
            <w:r>
              <w:rPr>
                <w:color w:val="000000"/>
                <w:sz w:val="18"/>
                <w:szCs w:val="18"/>
              </w:rPr>
              <w:t xml:space="preserve">     Precio promedio (dólares/</w:t>
            </w:r>
            <w:proofErr w:type="spellStart"/>
            <w:r>
              <w:rPr>
                <w:color w:val="000000"/>
                <w:sz w:val="18"/>
                <w:szCs w:val="18"/>
              </w:rPr>
              <w:t>MMBtu</w:t>
            </w:r>
            <w:proofErr w:type="spellEnd"/>
            <w:r>
              <w:rPr>
                <w:color w:val="000000"/>
                <w:sz w:val="18"/>
                <w:szCs w:val="18"/>
              </w:rPr>
              <w:t>)</w:t>
            </w:r>
          </w:p>
        </w:tc>
        <w:tc>
          <w:tcPr>
            <w:tcW w:w="992" w:type="dxa"/>
            <w:tcBorders>
              <w:top w:val="nil"/>
              <w:left w:val="nil"/>
              <w:bottom w:val="single" w:sz="4" w:space="0" w:color="auto"/>
              <w:right w:val="nil"/>
            </w:tcBorders>
            <w:shd w:val="clear" w:color="auto" w:fill="F2F2F2" w:themeFill="background1" w:themeFillShade="F2"/>
            <w:noWrap/>
            <w:vAlign w:val="bottom"/>
          </w:tcPr>
          <w:p w14:paraId="3F4B75A1" w14:textId="77777777" w:rsidR="005364CA" w:rsidRPr="00906252" w:rsidRDefault="005364CA" w:rsidP="00AC3862">
            <w:pPr>
              <w:jc w:val="right"/>
              <w:rPr>
                <w:color w:val="000000"/>
                <w:sz w:val="18"/>
                <w:szCs w:val="18"/>
              </w:rPr>
            </w:pPr>
            <w:r>
              <w:rPr>
                <w:color w:val="000000"/>
                <w:sz w:val="18"/>
                <w:szCs w:val="18"/>
              </w:rPr>
              <w:t>3.1</w:t>
            </w:r>
          </w:p>
        </w:tc>
        <w:tc>
          <w:tcPr>
            <w:tcW w:w="1156" w:type="dxa"/>
            <w:tcBorders>
              <w:top w:val="nil"/>
              <w:left w:val="nil"/>
              <w:bottom w:val="single" w:sz="4" w:space="0" w:color="auto"/>
              <w:right w:val="nil"/>
            </w:tcBorders>
            <w:shd w:val="clear" w:color="auto" w:fill="F2F2F2" w:themeFill="background1" w:themeFillShade="F2"/>
            <w:vAlign w:val="bottom"/>
          </w:tcPr>
          <w:p w14:paraId="4CEC6632" w14:textId="77777777" w:rsidR="005364CA" w:rsidRPr="00906252" w:rsidRDefault="005364CA" w:rsidP="00AC3862">
            <w:pPr>
              <w:jc w:val="right"/>
              <w:rPr>
                <w:color w:val="000000"/>
                <w:sz w:val="18"/>
                <w:szCs w:val="18"/>
              </w:rPr>
            </w:pPr>
            <w:r>
              <w:rPr>
                <w:color w:val="000000"/>
                <w:sz w:val="18"/>
                <w:szCs w:val="18"/>
              </w:rPr>
              <w:t>3.5</w:t>
            </w:r>
          </w:p>
        </w:tc>
        <w:tc>
          <w:tcPr>
            <w:tcW w:w="1157" w:type="dxa"/>
            <w:tcBorders>
              <w:top w:val="nil"/>
              <w:left w:val="nil"/>
              <w:bottom w:val="single" w:sz="4" w:space="0" w:color="auto"/>
              <w:right w:val="nil"/>
            </w:tcBorders>
            <w:shd w:val="clear" w:color="auto" w:fill="F2F2F2" w:themeFill="background1" w:themeFillShade="F2"/>
            <w:noWrap/>
            <w:vAlign w:val="bottom"/>
          </w:tcPr>
          <w:p w14:paraId="24197BA9" w14:textId="77777777" w:rsidR="005364CA" w:rsidRPr="00906252" w:rsidRDefault="005364CA" w:rsidP="00AC3862">
            <w:pPr>
              <w:jc w:val="right"/>
              <w:rPr>
                <w:color w:val="000000"/>
                <w:sz w:val="18"/>
                <w:szCs w:val="18"/>
              </w:rPr>
            </w:pPr>
            <w:r>
              <w:rPr>
                <w:color w:val="000000"/>
                <w:sz w:val="18"/>
                <w:szCs w:val="18"/>
              </w:rPr>
              <w:t>4.0</w:t>
            </w:r>
          </w:p>
        </w:tc>
      </w:tr>
      <w:tr w:rsidR="005364CA" w:rsidRPr="00906252" w14:paraId="3157C944" w14:textId="77777777" w:rsidTr="00AC3862">
        <w:trPr>
          <w:trHeight w:val="300"/>
          <w:jc w:val="center"/>
        </w:trPr>
        <w:tc>
          <w:tcPr>
            <w:tcW w:w="3969" w:type="dxa"/>
            <w:tcBorders>
              <w:top w:val="single" w:sz="4" w:space="0" w:color="auto"/>
              <w:left w:val="nil"/>
              <w:bottom w:val="nil"/>
              <w:right w:val="nil"/>
            </w:tcBorders>
            <w:noWrap/>
            <w:vAlign w:val="bottom"/>
            <w:hideMark/>
          </w:tcPr>
          <w:p w14:paraId="0B50EB10" w14:textId="77777777" w:rsidR="005364CA" w:rsidRPr="00906252" w:rsidRDefault="005364CA" w:rsidP="00AC3862">
            <w:pPr>
              <w:rPr>
                <w:color w:val="000000"/>
                <w:sz w:val="16"/>
                <w:szCs w:val="16"/>
              </w:rPr>
            </w:pPr>
            <w:r w:rsidRPr="00906252">
              <w:rPr>
                <w:color w:val="000000"/>
                <w:sz w:val="16"/>
                <w:szCs w:val="16"/>
              </w:rPr>
              <w:t xml:space="preserve"> </w:t>
            </w:r>
            <w:r>
              <w:rPr>
                <w:color w:val="000000"/>
                <w:sz w:val="16"/>
                <w:szCs w:val="16"/>
              </w:rPr>
              <w:t>*/</w:t>
            </w:r>
            <w:r w:rsidRPr="00906252">
              <w:rPr>
                <w:color w:val="000000"/>
                <w:sz w:val="16"/>
                <w:szCs w:val="16"/>
              </w:rPr>
              <w:t xml:space="preserve"> </w:t>
            </w:r>
            <w:r>
              <w:rPr>
                <w:color w:val="000000"/>
                <w:sz w:val="16"/>
                <w:szCs w:val="16"/>
              </w:rPr>
              <w:t>Incluye Pemex, condesados, socios y privados.</w:t>
            </w:r>
          </w:p>
        </w:tc>
        <w:tc>
          <w:tcPr>
            <w:tcW w:w="992" w:type="dxa"/>
            <w:tcBorders>
              <w:top w:val="single" w:sz="4" w:space="0" w:color="auto"/>
              <w:left w:val="nil"/>
              <w:bottom w:val="nil"/>
              <w:right w:val="nil"/>
            </w:tcBorders>
            <w:noWrap/>
            <w:vAlign w:val="bottom"/>
            <w:hideMark/>
          </w:tcPr>
          <w:p w14:paraId="3A568C39" w14:textId="77777777" w:rsidR="005364CA" w:rsidRPr="00906252" w:rsidRDefault="005364CA" w:rsidP="00AC3862">
            <w:pPr>
              <w:rPr>
                <w:color w:val="000000"/>
                <w:sz w:val="16"/>
                <w:szCs w:val="16"/>
              </w:rPr>
            </w:pPr>
          </w:p>
        </w:tc>
        <w:tc>
          <w:tcPr>
            <w:tcW w:w="1156" w:type="dxa"/>
            <w:tcBorders>
              <w:top w:val="single" w:sz="4" w:space="0" w:color="auto"/>
              <w:left w:val="nil"/>
              <w:bottom w:val="nil"/>
              <w:right w:val="nil"/>
            </w:tcBorders>
          </w:tcPr>
          <w:p w14:paraId="254E29A8" w14:textId="77777777" w:rsidR="005364CA" w:rsidRPr="00906252" w:rsidRDefault="005364CA" w:rsidP="00AC3862">
            <w:pPr>
              <w:rPr>
                <w:sz w:val="20"/>
                <w:szCs w:val="20"/>
              </w:rPr>
            </w:pPr>
          </w:p>
        </w:tc>
        <w:tc>
          <w:tcPr>
            <w:tcW w:w="1157" w:type="dxa"/>
            <w:tcBorders>
              <w:top w:val="single" w:sz="4" w:space="0" w:color="auto"/>
              <w:left w:val="nil"/>
              <w:bottom w:val="nil"/>
              <w:right w:val="nil"/>
            </w:tcBorders>
            <w:noWrap/>
            <w:vAlign w:val="bottom"/>
            <w:hideMark/>
          </w:tcPr>
          <w:p w14:paraId="42A0E401" w14:textId="77777777" w:rsidR="005364CA" w:rsidRPr="00906252" w:rsidRDefault="005364CA" w:rsidP="00AC3862">
            <w:pPr>
              <w:rPr>
                <w:sz w:val="20"/>
                <w:szCs w:val="20"/>
              </w:rPr>
            </w:pPr>
          </w:p>
        </w:tc>
      </w:tr>
      <w:tr w:rsidR="005364CA" w:rsidRPr="00906252" w14:paraId="308770CE" w14:textId="77777777" w:rsidTr="00AC3862">
        <w:trPr>
          <w:trHeight w:val="300"/>
          <w:jc w:val="center"/>
        </w:trPr>
        <w:tc>
          <w:tcPr>
            <w:tcW w:w="3969" w:type="dxa"/>
            <w:tcBorders>
              <w:top w:val="nil"/>
              <w:left w:val="nil"/>
              <w:bottom w:val="nil"/>
              <w:right w:val="nil"/>
            </w:tcBorders>
            <w:noWrap/>
            <w:vAlign w:val="bottom"/>
            <w:hideMark/>
          </w:tcPr>
          <w:p w14:paraId="0FD0F373" w14:textId="77777777" w:rsidR="005364CA" w:rsidRPr="00906252" w:rsidRDefault="005364CA" w:rsidP="00AC3862">
            <w:pPr>
              <w:rPr>
                <w:color w:val="000000"/>
                <w:sz w:val="16"/>
                <w:szCs w:val="16"/>
              </w:rPr>
            </w:pPr>
            <w:r w:rsidRPr="00906252">
              <w:rPr>
                <w:color w:val="000000"/>
                <w:sz w:val="16"/>
                <w:szCs w:val="16"/>
              </w:rPr>
              <w:t xml:space="preserve">Fuente: SHCP. </w:t>
            </w:r>
          </w:p>
        </w:tc>
        <w:tc>
          <w:tcPr>
            <w:tcW w:w="992" w:type="dxa"/>
            <w:tcBorders>
              <w:top w:val="nil"/>
              <w:left w:val="nil"/>
              <w:bottom w:val="nil"/>
              <w:right w:val="nil"/>
            </w:tcBorders>
            <w:noWrap/>
            <w:vAlign w:val="bottom"/>
            <w:hideMark/>
          </w:tcPr>
          <w:p w14:paraId="5E1829AA" w14:textId="77777777" w:rsidR="005364CA" w:rsidRPr="00906252" w:rsidRDefault="005364CA" w:rsidP="00AC3862">
            <w:pPr>
              <w:rPr>
                <w:color w:val="000000"/>
                <w:sz w:val="16"/>
                <w:szCs w:val="16"/>
              </w:rPr>
            </w:pPr>
          </w:p>
        </w:tc>
        <w:tc>
          <w:tcPr>
            <w:tcW w:w="1156" w:type="dxa"/>
            <w:tcBorders>
              <w:top w:val="nil"/>
              <w:left w:val="nil"/>
              <w:bottom w:val="nil"/>
              <w:right w:val="nil"/>
            </w:tcBorders>
          </w:tcPr>
          <w:p w14:paraId="60034303" w14:textId="77777777" w:rsidR="005364CA" w:rsidRPr="00906252" w:rsidRDefault="005364CA" w:rsidP="00AC3862">
            <w:pPr>
              <w:rPr>
                <w:sz w:val="20"/>
                <w:szCs w:val="20"/>
              </w:rPr>
            </w:pPr>
          </w:p>
        </w:tc>
        <w:tc>
          <w:tcPr>
            <w:tcW w:w="1157" w:type="dxa"/>
            <w:tcBorders>
              <w:top w:val="nil"/>
              <w:left w:val="nil"/>
              <w:bottom w:val="nil"/>
              <w:right w:val="nil"/>
            </w:tcBorders>
            <w:noWrap/>
            <w:vAlign w:val="bottom"/>
            <w:hideMark/>
          </w:tcPr>
          <w:p w14:paraId="782EA546" w14:textId="77777777" w:rsidR="005364CA" w:rsidRPr="00906252" w:rsidRDefault="005364CA" w:rsidP="00AC3862">
            <w:pPr>
              <w:rPr>
                <w:sz w:val="20"/>
                <w:szCs w:val="20"/>
              </w:rPr>
            </w:pPr>
          </w:p>
        </w:tc>
      </w:tr>
    </w:tbl>
    <w:p w14:paraId="5241BE37" w14:textId="77777777" w:rsidR="00E030C7" w:rsidRPr="009B0775" w:rsidRDefault="00E030C7" w:rsidP="00E030C7">
      <w:pPr>
        <w:pStyle w:val="PRIMERAPLANA"/>
        <w:spacing w:line="360" w:lineRule="auto"/>
        <w:rPr>
          <w:rFonts w:ascii="Times New Roman" w:hAnsi="Times New Roman"/>
          <w:bCs/>
          <w:sz w:val="24"/>
          <w:szCs w:val="24"/>
          <w:lang w:val="es-MX"/>
        </w:rPr>
      </w:pPr>
    </w:p>
    <w:p w14:paraId="1F34AFF7" w14:textId="77777777" w:rsidR="005364CA" w:rsidRDefault="005364CA" w:rsidP="005364CA">
      <w:pPr>
        <w:pStyle w:val="PRIMERAPLANA"/>
        <w:spacing w:line="360" w:lineRule="auto"/>
        <w:rPr>
          <w:rFonts w:ascii="Times New Roman" w:hAnsi="Times New Roman"/>
          <w:bCs/>
        </w:rPr>
      </w:pPr>
      <w:r w:rsidRPr="00CA5DED">
        <w:rPr>
          <w:rFonts w:ascii="Times New Roman" w:hAnsi="Times New Roman"/>
          <w:bCs/>
        </w:rPr>
        <w:t>El entorno macroeconómico para el 2026 se encuentra sujeto a riesgos que podrían modificar las</w:t>
      </w:r>
      <w:r>
        <w:rPr>
          <w:rFonts w:ascii="Times New Roman" w:hAnsi="Times New Roman"/>
          <w:bCs/>
        </w:rPr>
        <w:t xml:space="preserve"> </w:t>
      </w:r>
      <w:r w:rsidRPr="00CA5DED">
        <w:rPr>
          <w:rFonts w:ascii="Times New Roman" w:hAnsi="Times New Roman"/>
          <w:bCs/>
        </w:rPr>
        <w:t>estimaciones anteriores.</w:t>
      </w:r>
    </w:p>
    <w:p w14:paraId="434F6B1A" w14:textId="77777777" w:rsidR="005364CA" w:rsidRPr="007D1162" w:rsidRDefault="005364CA" w:rsidP="005364CA">
      <w:pPr>
        <w:pStyle w:val="PRIMERAPLANA"/>
        <w:spacing w:line="360" w:lineRule="auto"/>
        <w:rPr>
          <w:rFonts w:ascii="Times New Roman" w:hAnsi="Times New Roman"/>
          <w:bCs/>
        </w:rPr>
      </w:pPr>
    </w:p>
    <w:p w14:paraId="58CC8C27" w14:textId="77777777" w:rsidR="005364CA" w:rsidRPr="00270689" w:rsidRDefault="005364CA" w:rsidP="005364CA">
      <w:pPr>
        <w:pStyle w:val="PRIMERAPLANA"/>
        <w:spacing w:line="360" w:lineRule="auto"/>
        <w:rPr>
          <w:rFonts w:ascii="Times New Roman" w:hAnsi="Times New Roman"/>
          <w:b/>
        </w:rPr>
      </w:pPr>
      <w:r w:rsidRPr="00270689">
        <w:rPr>
          <w:rFonts w:ascii="Times New Roman" w:hAnsi="Times New Roman"/>
          <w:b/>
        </w:rPr>
        <w:t>Riesgos a la Baja.</w:t>
      </w:r>
    </w:p>
    <w:p w14:paraId="3A29877D" w14:textId="77777777" w:rsidR="005364CA" w:rsidRPr="00FD37DE" w:rsidRDefault="005364CA" w:rsidP="005364CA">
      <w:pPr>
        <w:pStyle w:val="PRIMERAPLANA"/>
        <w:spacing w:line="360" w:lineRule="auto"/>
        <w:rPr>
          <w:rFonts w:ascii="Times New Roman" w:hAnsi="Times New Roman"/>
          <w:bCs/>
        </w:rPr>
      </w:pPr>
    </w:p>
    <w:p w14:paraId="663F9FA6" w14:textId="77777777" w:rsidR="005364CA" w:rsidRDefault="005364CA" w:rsidP="005364CA">
      <w:pPr>
        <w:pStyle w:val="PRIMERAPLANA"/>
        <w:numPr>
          <w:ilvl w:val="0"/>
          <w:numId w:val="17"/>
        </w:numPr>
        <w:spacing w:line="360" w:lineRule="auto"/>
        <w:ind w:left="426" w:hanging="426"/>
        <w:rPr>
          <w:rFonts w:ascii="Times New Roman" w:hAnsi="Times New Roman"/>
          <w:bCs/>
          <w:lang w:val="es-MX"/>
        </w:rPr>
      </w:pPr>
      <w:r w:rsidRPr="00A536A4">
        <w:rPr>
          <w:rFonts w:ascii="Times New Roman" w:hAnsi="Times New Roman"/>
          <w:bCs/>
          <w:lang w:val="es-MX"/>
        </w:rPr>
        <w:t>Persistencia o intensificación de la incertidumbre en torno a la política comercial global, con posibles disrupciones en las cadenas de valor y efectos adversos sobre la actividad</w:t>
      </w:r>
      <w:r>
        <w:rPr>
          <w:rFonts w:ascii="Times New Roman" w:hAnsi="Times New Roman"/>
          <w:bCs/>
          <w:lang w:val="es-MX"/>
        </w:rPr>
        <w:t xml:space="preserve"> </w:t>
      </w:r>
      <w:r w:rsidRPr="00A536A4">
        <w:rPr>
          <w:rFonts w:ascii="Times New Roman" w:hAnsi="Times New Roman"/>
          <w:bCs/>
          <w:lang w:val="es-MX"/>
        </w:rPr>
        <w:t xml:space="preserve">económica nacional. </w:t>
      </w:r>
    </w:p>
    <w:p w14:paraId="65CF4697" w14:textId="77777777" w:rsidR="00B67400" w:rsidRDefault="00B67400" w:rsidP="00B67400">
      <w:pPr>
        <w:pStyle w:val="PRIMERAPLANA"/>
        <w:spacing w:line="360" w:lineRule="auto"/>
        <w:ind w:left="426"/>
        <w:rPr>
          <w:rFonts w:ascii="Times New Roman" w:hAnsi="Times New Roman"/>
          <w:bCs/>
          <w:lang w:val="es-MX"/>
        </w:rPr>
      </w:pPr>
    </w:p>
    <w:p w14:paraId="74A54FFF" w14:textId="77777777" w:rsidR="005364CA" w:rsidRDefault="005364CA" w:rsidP="005364CA">
      <w:pPr>
        <w:pStyle w:val="PRIMERAPLANA"/>
        <w:numPr>
          <w:ilvl w:val="0"/>
          <w:numId w:val="17"/>
        </w:numPr>
        <w:spacing w:line="360" w:lineRule="auto"/>
        <w:ind w:left="426" w:hanging="426"/>
        <w:rPr>
          <w:rFonts w:ascii="Times New Roman" w:hAnsi="Times New Roman"/>
          <w:bCs/>
          <w:lang w:val="es-MX"/>
        </w:rPr>
      </w:pPr>
      <w:r w:rsidRPr="00A536A4">
        <w:rPr>
          <w:rFonts w:ascii="Times New Roman" w:hAnsi="Times New Roman"/>
          <w:bCs/>
          <w:lang w:val="es-MX"/>
        </w:rPr>
        <w:t>Deterioro en el proceso de revisión del T-MEC, que incremente la incertidumbre jurídica y comercial, y dé</w:t>
      </w:r>
      <w:r>
        <w:rPr>
          <w:rFonts w:ascii="Times New Roman" w:hAnsi="Times New Roman"/>
          <w:bCs/>
          <w:lang w:val="es-MX"/>
        </w:rPr>
        <w:t xml:space="preserve"> </w:t>
      </w:r>
      <w:r w:rsidRPr="00A536A4">
        <w:rPr>
          <w:rFonts w:ascii="Times New Roman" w:hAnsi="Times New Roman"/>
          <w:bCs/>
          <w:lang w:val="es-MX"/>
        </w:rPr>
        <w:t>lugar a medidas desfavorables para el sector exportador.</w:t>
      </w:r>
    </w:p>
    <w:p w14:paraId="6F167DDB" w14:textId="77777777" w:rsidR="00B67400" w:rsidRDefault="00B67400" w:rsidP="00B67400">
      <w:pPr>
        <w:pStyle w:val="PRIMERAPLANA"/>
        <w:spacing w:line="360" w:lineRule="auto"/>
        <w:rPr>
          <w:rFonts w:ascii="Times New Roman" w:hAnsi="Times New Roman"/>
          <w:bCs/>
          <w:lang w:val="es-MX"/>
        </w:rPr>
      </w:pPr>
    </w:p>
    <w:p w14:paraId="26B927FF" w14:textId="77777777" w:rsidR="005364CA" w:rsidRDefault="005364CA" w:rsidP="005364CA">
      <w:pPr>
        <w:pStyle w:val="PRIMERAPLANA"/>
        <w:numPr>
          <w:ilvl w:val="0"/>
          <w:numId w:val="17"/>
        </w:numPr>
        <w:spacing w:line="360" w:lineRule="auto"/>
        <w:ind w:left="426" w:hanging="426"/>
        <w:rPr>
          <w:rFonts w:ascii="Times New Roman" w:hAnsi="Times New Roman"/>
          <w:bCs/>
          <w:lang w:val="es-MX"/>
        </w:rPr>
      </w:pPr>
      <w:r w:rsidRPr="00A536A4">
        <w:rPr>
          <w:rFonts w:ascii="Times New Roman" w:hAnsi="Times New Roman"/>
          <w:bCs/>
          <w:lang w:val="es-MX"/>
        </w:rPr>
        <w:t>Endurecimiento de las condiciones financieras derivado de nuevas presiones inflacionarias asociadas a cambios en la política comercial internacional, lo que podría elevar las tasas de interés y aumentar la volatilidad en los</w:t>
      </w:r>
      <w:r>
        <w:rPr>
          <w:rFonts w:ascii="Times New Roman" w:hAnsi="Times New Roman"/>
          <w:bCs/>
          <w:lang w:val="es-MX"/>
        </w:rPr>
        <w:t xml:space="preserve"> </w:t>
      </w:r>
      <w:r w:rsidRPr="00A536A4">
        <w:rPr>
          <w:rFonts w:ascii="Times New Roman" w:hAnsi="Times New Roman"/>
          <w:bCs/>
          <w:lang w:val="es-MX"/>
        </w:rPr>
        <w:t>mercados.</w:t>
      </w:r>
    </w:p>
    <w:p w14:paraId="14E1F842" w14:textId="77777777" w:rsidR="00B67400" w:rsidRDefault="00B67400" w:rsidP="00B67400">
      <w:pPr>
        <w:pStyle w:val="PRIMERAPLANA"/>
        <w:spacing w:line="360" w:lineRule="auto"/>
        <w:rPr>
          <w:rFonts w:ascii="Times New Roman" w:hAnsi="Times New Roman"/>
          <w:bCs/>
          <w:lang w:val="es-MX"/>
        </w:rPr>
      </w:pPr>
    </w:p>
    <w:p w14:paraId="42D7AD43" w14:textId="77777777" w:rsidR="005364CA" w:rsidRDefault="005364CA" w:rsidP="005364CA">
      <w:pPr>
        <w:pStyle w:val="PRIMERAPLANA"/>
        <w:numPr>
          <w:ilvl w:val="0"/>
          <w:numId w:val="17"/>
        </w:numPr>
        <w:spacing w:line="360" w:lineRule="auto"/>
        <w:ind w:left="426" w:hanging="426"/>
        <w:rPr>
          <w:rFonts w:ascii="Times New Roman" w:hAnsi="Times New Roman"/>
          <w:bCs/>
          <w:lang w:val="es-MX"/>
        </w:rPr>
      </w:pPr>
      <w:r w:rsidRPr="00A536A4">
        <w:rPr>
          <w:rFonts w:ascii="Times New Roman" w:hAnsi="Times New Roman"/>
          <w:bCs/>
          <w:lang w:val="es-MX"/>
        </w:rPr>
        <w:lastRenderedPageBreak/>
        <w:t>Escalamiento de tensiones geopolíticas con impactos sobre los precios internacionales de materias primas y</w:t>
      </w:r>
      <w:r>
        <w:rPr>
          <w:rFonts w:ascii="Times New Roman" w:hAnsi="Times New Roman"/>
          <w:bCs/>
          <w:lang w:val="es-MX"/>
        </w:rPr>
        <w:t xml:space="preserve"> </w:t>
      </w:r>
      <w:r w:rsidRPr="00A536A4">
        <w:rPr>
          <w:rFonts w:ascii="Times New Roman" w:hAnsi="Times New Roman"/>
          <w:bCs/>
          <w:lang w:val="es-MX"/>
        </w:rPr>
        <w:t>mayor inestabilidad financiera global.</w:t>
      </w:r>
    </w:p>
    <w:p w14:paraId="758D4DAC" w14:textId="77777777" w:rsidR="00B67400" w:rsidRDefault="00B67400" w:rsidP="00B67400">
      <w:pPr>
        <w:pStyle w:val="PRIMERAPLANA"/>
        <w:spacing w:line="360" w:lineRule="auto"/>
        <w:rPr>
          <w:rFonts w:ascii="Times New Roman" w:hAnsi="Times New Roman"/>
          <w:bCs/>
          <w:lang w:val="es-MX"/>
        </w:rPr>
      </w:pPr>
    </w:p>
    <w:p w14:paraId="1E9D5E4B" w14:textId="77777777" w:rsidR="005364CA" w:rsidRDefault="005364CA" w:rsidP="005364CA">
      <w:pPr>
        <w:pStyle w:val="PRIMERAPLANA"/>
        <w:numPr>
          <w:ilvl w:val="0"/>
          <w:numId w:val="17"/>
        </w:numPr>
        <w:spacing w:line="360" w:lineRule="auto"/>
        <w:ind w:left="426" w:hanging="426"/>
        <w:rPr>
          <w:rFonts w:ascii="Times New Roman" w:hAnsi="Times New Roman"/>
          <w:bCs/>
          <w:lang w:val="es-MX"/>
        </w:rPr>
      </w:pPr>
      <w:r w:rsidRPr="00A536A4">
        <w:rPr>
          <w:rFonts w:ascii="Times New Roman" w:hAnsi="Times New Roman"/>
          <w:bCs/>
          <w:lang w:val="es-MX"/>
        </w:rPr>
        <w:t>Mayor frecuencia o intensidad de fenómenos climáticos extremos, con efectos negativos en las actividades primarias, manufactureras e infraestructura, además de presiones inflacionarias que podrían requerir una postura</w:t>
      </w:r>
      <w:r>
        <w:rPr>
          <w:rFonts w:ascii="Times New Roman" w:hAnsi="Times New Roman"/>
          <w:bCs/>
          <w:lang w:val="es-MX"/>
        </w:rPr>
        <w:t xml:space="preserve"> </w:t>
      </w:r>
      <w:r w:rsidRPr="00A536A4">
        <w:rPr>
          <w:rFonts w:ascii="Times New Roman" w:hAnsi="Times New Roman"/>
          <w:bCs/>
          <w:lang w:val="es-MX"/>
        </w:rPr>
        <w:t>monetaria más restrictiva.</w:t>
      </w:r>
    </w:p>
    <w:p w14:paraId="180B9E5B" w14:textId="77777777" w:rsidR="00B67400" w:rsidRDefault="00B67400" w:rsidP="00B67400">
      <w:pPr>
        <w:pStyle w:val="PRIMERAPLANA"/>
        <w:spacing w:line="360" w:lineRule="auto"/>
        <w:rPr>
          <w:rFonts w:ascii="Times New Roman" w:hAnsi="Times New Roman"/>
          <w:bCs/>
          <w:lang w:val="es-MX"/>
        </w:rPr>
      </w:pPr>
    </w:p>
    <w:p w14:paraId="5E3DFD09" w14:textId="77777777" w:rsidR="005364CA" w:rsidRDefault="005364CA" w:rsidP="005364CA">
      <w:pPr>
        <w:pStyle w:val="PRIMERAPLANA"/>
        <w:numPr>
          <w:ilvl w:val="0"/>
          <w:numId w:val="17"/>
        </w:numPr>
        <w:spacing w:line="360" w:lineRule="auto"/>
        <w:ind w:left="426" w:hanging="426"/>
        <w:rPr>
          <w:rFonts w:ascii="Times New Roman" w:hAnsi="Times New Roman"/>
          <w:bCs/>
          <w:lang w:val="es-MX"/>
        </w:rPr>
      </w:pPr>
      <w:r w:rsidRPr="00A536A4">
        <w:rPr>
          <w:rFonts w:ascii="Times New Roman" w:hAnsi="Times New Roman"/>
          <w:bCs/>
          <w:lang w:val="es-MX"/>
        </w:rPr>
        <w:t>Desempeño económico de EE.UU. por debajo de lo previsto, afectado por disrupciones comerciales o menor dinamismo interno, con efectos negativos sobre las exportaciones mexicanas, el turismo y el flujo de remesas.</w:t>
      </w:r>
    </w:p>
    <w:p w14:paraId="568B7F2C" w14:textId="77777777" w:rsidR="00B67400" w:rsidRDefault="00B67400" w:rsidP="00B67400">
      <w:pPr>
        <w:pStyle w:val="PRIMERAPLANA"/>
        <w:spacing w:line="360" w:lineRule="auto"/>
        <w:rPr>
          <w:rFonts w:ascii="Times New Roman" w:hAnsi="Times New Roman"/>
          <w:bCs/>
          <w:lang w:val="es-MX"/>
        </w:rPr>
      </w:pPr>
    </w:p>
    <w:p w14:paraId="138A69F4" w14:textId="77777777" w:rsidR="005364CA" w:rsidRPr="00A536A4" w:rsidRDefault="005364CA" w:rsidP="005364CA">
      <w:pPr>
        <w:pStyle w:val="PRIMERAPLANA"/>
        <w:numPr>
          <w:ilvl w:val="0"/>
          <w:numId w:val="17"/>
        </w:numPr>
        <w:spacing w:line="360" w:lineRule="auto"/>
        <w:ind w:left="426" w:hanging="426"/>
        <w:rPr>
          <w:rFonts w:ascii="Times New Roman" w:hAnsi="Times New Roman"/>
          <w:bCs/>
          <w:lang w:val="es-MX"/>
        </w:rPr>
      </w:pPr>
      <w:r w:rsidRPr="00A536A4">
        <w:rPr>
          <w:rFonts w:ascii="Times New Roman" w:hAnsi="Times New Roman"/>
          <w:bCs/>
          <w:lang w:val="es-MX"/>
        </w:rPr>
        <w:t>Nuevas disrupciones en las cadenas globales de suministro, ya sea por choques logísticos, bloqueos marítimos o restricciones a insumos críticos, con impactos en la producción manufacturera.</w:t>
      </w:r>
    </w:p>
    <w:p w14:paraId="7E8AA1AE" w14:textId="77777777" w:rsidR="005364CA" w:rsidRDefault="005364CA" w:rsidP="005364CA">
      <w:pPr>
        <w:pStyle w:val="PRIMERAPLANA"/>
        <w:spacing w:line="360" w:lineRule="auto"/>
        <w:rPr>
          <w:rFonts w:ascii="Times New Roman" w:hAnsi="Times New Roman"/>
          <w:b/>
          <w:lang w:val="es-MX"/>
        </w:rPr>
      </w:pPr>
    </w:p>
    <w:p w14:paraId="2D34738F" w14:textId="6A3140AA" w:rsidR="005364CA" w:rsidRPr="00270689" w:rsidRDefault="005364CA" w:rsidP="005364CA">
      <w:pPr>
        <w:pStyle w:val="PRIMERAPLANA"/>
        <w:spacing w:line="360" w:lineRule="auto"/>
        <w:rPr>
          <w:rFonts w:ascii="Times New Roman" w:hAnsi="Times New Roman"/>
          <w:b/>
          <w:lang w:val="es-MX"/>
        </w:rPr>
      </w:pPr>
      <w:r w:rsidRPr="00270689">
        <w:rPr>
          <w:rFonts w:ascii="Times New Roman" w:hAnsi="Times New Roman"/>
          <w:b/>
          <w:lang w:val="es-MX"/>
        </w:rPr>
        <w:t>Riesgos al Alza.</w:t>
      </w:r>
    </w:p>
    <w:p w14:paraId="504204AC" w14:textId="77777777" w:rsidR="005364CA" w:rsidRPr="007D1162" w:rsidRDefault="005364CA" w:rsidP="005364CA">
      <w:pPr>
        <w:pStyle w:val="PRIMERAPLANA"/>
        <w:spacing w:line="360" w:lineRule="auto"/>
        <w:rPr>
          <w:rFonts w:ascii="Times New Roman" w:hAnsi="Times New Roman"/>
          <w:bCs/>
          <w:lang w:val="es-MX"/>
        </w:rPr>
      </w:pPr>
    </w:p>
    <w:p w14:paraId="7231743C" w14:textId="3E5F6697" w:rsidR="005364CA" w:rsidRDefault="005364CA" w:rsidP="002424BA">
      <w:pPr>
        <w:pStyle w:val="PRIMERAPLANA"/>
        <w:numPr>
          <w:ilvl w:val="0"/>
          <w:numId w:val="17"/>
        </w:numPr>
        <w:spacing w:line="360" w:lineRule="auto"/>
        <w:ind w:left="426" w:hanging="426"/>
        <w:rPr>
          <w:rFonts w:ascii="Times New Roman" w:hAnsi="Times New Roman"/>
          <w:bCs/>
          <w:lang w:val="es-MX"/>
        </w:rPr>
      </w:pPr>
      <w:r w:rsidRPr="005364CA">
        <w:rPr>
          <w:rFonts w:ascii="Times New Roman" w:hAnsi="Times New Roman"/>
          <w:bCs/>
          <w:lang w:val="es-MX"/>
        </w:rPr>
        <w:t>Disipación de la incertidumbre en torno a la política comercial internacional, que permita reactivar proyectos de inversión y mejore el desempeño de sectores expuestos a cambios regulatorios.</w:t>
      </w:r>
    </w:p>
    <w:p w14:paraId="41BA9517" w14:textId="77777777" w:rsidR="00B67400" w:rsidRPr="005364CA" w:rsidRDefault="00B67400" w:rsidP="00B67400">
      <w:pPr>
        <w:pStyle w:val="PRIMERAPLANA"/>
        <w:spacing w:line="360" w:lineRule="auto"/>
        <w:rPr>
          <w:rFonts w:ascii="Times New Roman" w:hAnsi="Times New Roman"/>
          <w:bCs/>
          <w:lang w:val="es-MX"/>
        </w:rPr>
      </w:pPr>
    </w:p>
    <w:p w14:paraId="69A414DF" w14:textId="228DBFF2" w:rsidR="005364CA" w:rsidRDefault="005364CA" w:rsidP="00EA20F4">
      <w:pPr>
        <w:pStyle w:val="PRIMERAPLANA"/>
        <w:numPr>
          <w:ilvl w:val="0"/>
          <w:numId w:val="17"/>
        </w:numPr>
        <w:spacing w:line="360" w:lineRule="auto"/>
        <w:ind w:left="426" w:hanging="426"/>
        <w:rPr>
          <w:rFonts w:ascii="Times New Roman" w:hAnsi="Times New Roman"/>
          <w:bCs/>
          <w:lang w:val="es-MX"/>
        </w:rPr>
      </w:pPr>
      <w:r w:rsidRPr="005364CA">
        <w:rPr>
          <w:rFonts w:ascii="Times New Roman" w:hAnsi="Times New Roman"/>
          <w:bCs/>
          <w:lang w:val="es-MX"/>
        </w:rPr>
        <w:t xml:space="preserve">Avance favorable en la revisión del T-MEC, que refuerce la certeza jurídica y regulatoria, preserve el acceso preferencial de México al mercado de EE.UU. </w:t>
      </w:r>
      <w:proofErr w:type="spellStart"/>
      <w:r w:rsidRPr="005364CA">
        <w:rPr>
          <w:rFonts w:ascii="Times New Roman" w:hAnsi="Times New Roman"/>
          <w:bCs/>
          <w:lang w:val="es-MX"/>
        </w:rPr>
        <w:t>e</w:t>
      </w:r>
      <w:proofErr w:type="spellEnd"/>
      <w:r w:rsidRPr="005364CA">
        <w:rPr>
          <w:rFonts w:ascii="Times New Roman" w:hAnsi="Times New Roman"/>
          <w:bCs/>
          <w:lang w:val="es-MX"/>
        </w:rPr>
        <w:t xml:space="preserve"> incentive la inversión en sectores estratégicos.</w:t>
      </w:r>
    </w:p>
    <w:p w14:paraId="635A56BA" w14:textId="77777777" w:rsidR="00B67400" w:rsidRPr="005364CA" w:rsidRDefault="00B67400" w:rsidP="00B67400">
      <w:pPr>
        <w:pStyle w:val="PRIMERAPLANA"/>
        <w:spacing w:line="360" w:lineRule="auto"/>
        <w:rPr>
          <w:rFonts w:ascii="Times New Roman" w:hAnsi="Times New Roman"/>
          <w:bCs/>
          <w:lang w:val="es-MX"/>
        </w:rPr>
      </w:pPr>
    </w:p>
    <w:p w14:paraId="5B948EE1" w14:textId="0F99F5EF" w:rsidR="005364CA" w:rsidRDefault="005364CA" w:rsidP="0079150B">
      <w:pPr>
        <w:pStyle w:val="PRIMERAPLANA"/>
        <w:numPr>
          <w:ilvl w:val="0"/>
          <w:numId w:val="17"/>
        </w:numPr>
        <w:spacing w:line="360" w:lineRule="auto"/>
        <w:ind w:left="426" w:hanging="426"/>
        <w:rPr>
          <w:rFonts w:ascii="Times New Roman" w:hAnsi="Times New Roman"/>
          <w:bCs/>
          <w:lang w:val="es-MX"/>
        </w:rPr>
      </w:pPr>
      <w:r w:rsidRPr="005364CA">
        <w:rPr>
          <w:rFonts w:ascii="Times New Roman" w:hAnsi="Times New Roman"/>
          <w:bCs/>
          <w:lang w:val="es-MX"/>
        </w:rPr>
        <w:t>Consolidación de proyectos de infraestructura productiva, con potencial para detonar mayor dinamismo económico regional y las cadenas productivas locales.</w:t>
      </w:r>
    </w:p>
    <w:p w14:paraId="5BA85A2D" w14:textId="77777777" w:rsidR="00B67400" w:rsidRPr="005364CA" w:rsidRDefault="00B67400" w:rsidP="00B67400">
      <w:pPr>
        <w:pStyle w:val="PRIMERAPLANA"/>
        <w:spacing w:line="360" w:lineRule="auto"/>
        <w:rPr>
          <w:rFonts w:ascii="Times New Roman" w:hAnsi="Times New Roman"/>
          <w:bCs/>
          <w:lang w:val="es-MX"/>
        </w:rPr>
      </w:pPr>
    </w:p>
    <w:p w14:paraId="6F3A7A53" w14:textId="526C21BE" w:rsidR="005364CA" w:rsidRDefault="005364CA" w:rsidP="00E37D35">
      <w:pPr>
        <w:pStyle w:val="PRIMERAPLANA"/>
        <w:numPr>
          <w:ilvl w:val="0"/>
          <w:numId w:val="17"/>
        </w:numPr>
        <w:spacing w:line="360" w:lineRule="auto"/>
        <w:ind w:left="426" w:hanging="426"/>
        <w:rPr>
          <w:rFonts w:ascii="Times New Roman" w:hAnsi="Times New Roman"/>
          <w:bCs/>
          <w:lang w:val="es-MX"/>
        </w:rPr>
      </w:pPr>
      <w:r w:rsidRPr="005364CA">
        <w:rPr>
          <w:rFonts w:ascii="Times New Roman" w:hAnsi="Times New Roman"/>
          <w:bCs/>
          <w:lang w:val="es-MX"/>
        </w:rPr>
        <w:t>Impacto positivo de las nuevas políticas comerciales de EE.UU. en sectores de alta integración, que aumente la demanda de exportaciones mexicanas, apoyadas en nuestra posición estratégica en la región de Norteamérica</w:t>
      </w:r>
      <w:r w:rsidR="00B67400">
        <w:rPr>
          <w:rFonts w:ascii="Times New Roman" w:hAnsi="Times New Roman"/>
          <w:bCs/>
          <w:lang w:val="es-MX"/>
        </w:rPr>
        <w:t>.</w:t>
      </w:r>
    </w:p>
    <w:p w14:paraId="452128A6" w14:textId="77777777" w:rsidR="00B67400" w:rsidRPr="005364CA" w:rsidRDefault="00B67400" w:rsidP="00B67400">
      <w:pPr>
        <w:pStyle w:val="PRIMERAPLANA"/>
        <w:spacing w:line="360" w:lineRule="auto"/>
        <w:rPr>
          <w:rFonts w:ascii="Times New Roman" w:hAnsi="Times New Roman"/>
          <w:bCs/>
          <w:lang w:val="es-MX"/>
        </w:rPr>
      </w:pPr>
    </w:p>
    <w:p w14:paraId="4121ECBD" w14:textId="185A3CCF" w:rsidR="005364CA" w:rsidRPr="005364CA" w:rsidRDefault="005364CA" w:rsidP="006D0974">
      <w:pPr>
        <w:pStyle w:val="PRIMERAPLANA"/>
        <w:numPr>
          <w:ilvl w:val="0"/>
          <w:numId w:val="17"/>
        </w:numPr>
        <w:spacing w:line="360" w:lineRule="auto"/>
        <w:ind w:left="426" w:hanging="426"/>
        <w:rPr>
          <w:rFonts w:ascii="Times New Roman" w:hAnsi="Times New Roman"/>
          <w:bCs/>
          <w:lang w:val="es-MX"/>
        </w:rPr>
      </w:pPr>
      <w:r w:rsidRPr="005364CA">
        <w:rPr>
          <w:rFonts w:ascii="Times New Roman" w:hAnsi="Times New Roman"/>
          <w:bCs/>
          <w:lang w:val="es-MX"/>
        </w:rPr>
        <w:t>Mayor diversificación de los mercados de exportación, con una inserción de productos de alto valor.</w:t>
      </w:r>
    </w:p>
    <w:p w14:paraId="703968E3" w14:textId="5F6A8125" w:rsidR="00B67400" w:rsidRDefault="005364CA" w:rsidP="00B67400">
      <w:pPr>
        <w:pStyle w:val="PRIMERAPLANA"/>
        <w:numPr>
          <w:ilvl w:val="0"/>
          <w:numId w:val="17"/>
        </w:numPr>
        <w:spacing w:line="360" w:lineRule="auto"/>
        <w:ind w:left="426" w:hanging="426"/>
        <w:rPr>
          <w:rFonts w:ascii="Times New Roman" w:hAnsi="Times New Roman"/>
          <w:bCs/>
          <w:lang w:val="es-MX"/>
        </w:rPr>
      </w:pPr>
      <w:r w:rsidRPr="005364CA">
        <w:rPr>
          <w:rFonts w:ascii="Times New Roman" w:hAnsi="Times New Roman"/>
          <w:bCs/>
          <w:lang w:val="es-MX"/>
        </w:rPr>
        <w:lastRenderedPageBreak/>
        <w:t>Condiciones financieras más favorables por una relajación monetaria mayor a la anticipada, que reduzca el costo del crédito y detone mayor inversión y consumo privado.</w:t>
      </w:r>
    </w:p>
    <w:p w14:paraId="778C4B38" w14:textId="77777777" w:rsidR="00B67400" w:rsidRPr="00B67400" w:rsidRDefault="00B67400" w:rsidP="00B67400">
      <w:pPr>
        <w:pStyle w:val="PRIMERAPLANA"/>
        <w:spacing w:line="360" w:lineRule="auto"/>
        <w:rPr>
          <w:rFonts w:ascii="Times New Roman" w:hAnsi="Times New Roman"/>
          <w:bCs/>
          <w:lang w:val="es-MX"/>
        </w:rPr>
      </w:pPr>
    </w:p>
    <w:p w14:paraId="01425E1A" w14:textId="77777777" w:rsidR="005364CA" w:rsidRPr="00A536A4" w:rsidRDefault="005364CA" w:rsidP="005364CA">
      <w:pPr>
        <w:pStyle w:val="PRIMERAPLANA"/>
        <w:numPr>
          <w:ilvl w:val="0"/>
          <w:numId w:val="17"/>
        </w:numPr>
        <w:spacing w:line="360" w:lineRule="auto"/>
        <w:ind w:left="426" w:hanging="426"/>
        <w:rPr>
          <w:rFonts w:ascii="Times New Roman" w:hAnsi="Times New Roman"/>
          <w:bCs/>
          <w:lang w:val="es-MX"/>
        </w:rPr>
      </w:pPr>
      <w:r w:rsidRPr="00A536A4">
        <w:rPr>
          <w:rFonts w:ascii="Times New Roman" w:hAnsi="Times New Roman"/>
          <w:bCs/>
          <w:lang w:val="es-MX"/>
        </w:rPr>
        <w:t>Consolidación del Plan México como motor de crecimiento, con efectos mayores a los esperados a partir de los incentivos fiscales y financieros implementados desde 2025.</w:t>
      </w:r>
    </w:p>
    <w:p w14:paraId="6A20BD1F" w14:textId="77777777" w:rsidR="005364CA" w:rsidRDefault="005364CA" w:rsidP="005364CA">
      <w:pPr>
        <w:pStyle w:val="PRIMERAPLANA"/>
        <w:spacing w:line="360" w:lineRule="auto"/>
        <w:rPr>
          <w:rFonts w:ascii="Times New Roman" w:hAnsi="Times New Roman"/>
          <w:bCs/>
        </w:rPr>
      </w:pPr>
    </w:p>
    <w:p w14:paraId="05043884" w14:textId="77777777" w:rsidR="005364CA" w:rsidRDefault="005364CA" w:rsidP="005364CA">
      <w:pPr>
        <w:pStyle w:val="PRIMERAPLANA"/>
        <w:spacing w:line="360" w:lineRule="auto"/>
        <w:rPr>
          <w:rFonts w:ascii="Times New Roman" w:hAnsi="Times New Roman"/>
          <w:bCs/>
        </w:rPr>
      </w:pPr>
      <w:r w:rsidRPr="00A15C5A">
        <w:rPr>
          <w:rFonts w:ascii="Times New Roman" w:hAnsi="Times New Roman"/>
          <w:bCs/>
        </w:rPr>
        <w:t>El Paquete Económico para el ejercicio fiscal 2026 se formula bajo un escenario de normalización gradual</w:t>
      </w:r>
      <w:r>
        <w:rPr>
          <w:rFonts w:ascii="Times New Roman" w:hAnsi="Times New Roman"/>
          <w:bCs/>
        </w:rPr>
        <w:t xml:space="preserve"> </w:t>
      </w:r>
      <w:r w:rsidRPr="00A15C5A">
        <w:rPr>
          <w:rFonts w:ascii="Times New Roman" w:hAnsi="Times New Roman"/>
          <w:bCs/>
        </w:rPr>
        <w:t>del déficit fiscal, en apego a los principios de equilibrio y responsabilidad establecidos en la LFPRH, y en</w:t>
      </w:r>
      <w:r>
        <w:rPr>
          <w:rFonts w:ascii="Times New Roman" w:hAnsi="Times New Roman"/>
          <w:bCs/>
        </w:rPr>
        <w:t xml:space="preserve"> </w:t>
      </w:r>
      <w:r w:rsidRPr="00A15C5A">
        <w:rPr>
          <w:rFonts w:ascii="Times New Roman" w:hAnsi="Times New Roman"/>
          <w:bCs/>
        </w:rPr>
        <w:t>concordancia con el compromiso del Gobierno de México con la sostenibilidad de la deuda pública. Este marco descansa en la evolución reciente de la economía nacional, en las proyecciones del entorno</w:t>
      </w:r>
      <w:r>
        <w:rPr>
          <w:rFonts w:ascii="Times New Roman" w:hAnsi="Times New Roman"/>
          <w:bCs/>
        </w:rPr>
        <w:t xml:space="preserve"> </w:t>
      </w:r>
      <w:r w:rsidRPr="00A15C5A">
        <w:rPr>
          <w:rFonts w:ascii="Times New Roman" w:hAnsi="Times New Roman"/>
          <w:bCs/>
        </w:rPr>
        <w:t>internacional y en los supuestos de ingresos y gasto público que sustentan el Paquete Económico. Con</w:t>
      </w:r>
      <w:r>
        <w:rPr>
          <w:rFonts w:ascii="Times New Roman" w:hAnsi="Times New Roman"/>
          <w:bCs/>
        </w:rPr>
        <w:t xml:space="preserve"> </w:t>
      </w:r>
      <w:r w:rsidRPr="00A15C5A">
        <w:rPr>
          <w:rFonts w:ascii="Times New Roman" w:hAnsi="Times New Roman"/>
          <w:bCs/>
        </w:rPr>
        <w:t>base en la previsión de las principales variables macroeconómicas presentadas, se estima</w:t>
      </w:r>
      <w:r>
        <w:rPr>
          <w:rFonts w:ascii="Times New Roman" w:hAnsi="Times New Roman"/>
          <w:bCs/>
        </w:rPr>
        <w:t xml:space="preserve"> </w:t>
      </w:r>
      <w:r w:rsidRPr="00A15C5A">
        <w:rPr>
          <w:rFonts w:ascii="Times New Roman" w:hAnsi="Times New Roman"/>
          <w:bCs/>
        </w:rPr>
        <w:t>para efectos de las finanzas públicas un crecimiento real anual del PIB de 2.3% en 2026, que servirá como</w:t>
      </w:r>
      <w:r>
        <w:rPr>
          <w:rFonts w:ascii="Times New Roman" w:hAnsi="Times New Roman"/>
          <w:bCs/>
        </w:rPr>
        <w:t xml:space="preserve"> </w:t>
      </w:r>
      <w:r w:rsidRPr="00A15C5A">
        <w:rPr>
          <w:rFonts w:ascii="Times New Roman" w:hAnsi="Times New Roman"/>
          <w:bCs/>
        </w:rPr>
        <w:t>ancla para la estimación de los ingresos presupuestarios y las necesidades de gasto público.</w:t>
      </w:r>
    </w:p>
    <w:p w14:paraId="0DF8CE43" w14:textId="77777777" w:rsidR="005364CA" w:rsidRDefault="005364CA" w:rsidP="005364CA">
      <w:pPr>
        <w:pStyle w:val="PRIMERAPLANA"/>
        <w:spacing w:line="360" w:lineRule="auto"/>
        <w:rPr>
          <w:rFonts w:ascii="Times New Roman" w:hAnsi="Times New Roman"/>
          <w:bCs/>
        </w:rPr>
      </w:pPr>
    </w:p>
    <w:p w14:paraId="1D0D9D8F" w14:textId="77777777" w:rsidR="005364CA" w:rsidRDefault="005364CA" w:rsidP="005364CA">
      <w:pPr>
        <w:pStyle w:val="PRIMERAPLANA"/>
        <w:spacing w:line="360" w:lineRule="auto"/>
        <w:rPr>
          <w:rFonts w:ascii="Times New Roman" w:hAnsi="Times New Roman"/>
          <w:bCs/>
        </w:rPr>
      </w:pPr>
      <w:r w:rsidRPr="00A15C5A">
        <w:rPr>
          <w:rFonts w:ascii="Times New Roman" w:hAnsi="Times New Roman"/>
          <w:bCs/>
        </w:rPr>
        <w:t>En 2026, el Gobierno de México impulsará medidas para ampliar la recaudación tributaria, al tiempo que</w:t>
      </w:r>
      <w:r>
        <w:rPr>
          <w:rFonts w:ascii="Times New Roman" w:hAnsi="Times New Roman"/>
          <w:bCs/>
        </w:rPr>
        <w:t xml:space="preserve"> </w:t>
      </w:r>
      <w:r w:rsidRPr="00A15C5A">
        <w:rPr>
          <w:rFonts w:ascii="Times New Roman" w:hAnsi="Times New Roman"/>
          <w:bCs/>
        </w:rPr>
        <w:t>se ejercerá el gasto público bajo criterios de austeridad, combate a la corrupción, eficiencia y</w:t>
      </w:r>
      <w:r>
        <w:rPr>
          <w:rFonts w:ascii="Times New Roman" w:hAnsi="Times New Roman"/>
          <w:bCs/>
        </w:rPr>
        <w:t xml:space="preserve"> </w:t>
      </w:r>
      <w:r w:rsidRPr="00A15C5A">
        <w:rPr>
          <w:rFonts w:ascii="Times New Roman" w:hAnsi="Times New Roman"/>
          <w:bCs/>
        </w:rPr>
        <w:t>transparencia. Se propone un déficit presupuestario de 3.6% del PIB, el cual considera un déficit del</w:t>
      </w:r>
      <w:r>
        <w:rPr>
          <w:rFonts w:ascii="Times New Roman" w:hAnsi="Times New Roman"/>
          <w:bCs/>
        </w:rPr>
        <w:t xml:space="preserve"> </w:t>
      </w:r>
      <w:r w:rsidRPr="00A15C5A">
        <w:rPr>
          <w:rFonts w:ascii="Times New Roman" w:hAnsi="Times New Roman"/>
          <w:bCs/>
        </w:rPr>
        <w:t>Gobierno Federal de 4.6% y un superávit de 1.0% del PIB de las Empresas Públicas del Estado (Pemex y</w:t>
      </w:r>
      <w:r>
        <w:rPr>
          <w:rFonts w:ascii="Times New Roman" w:hAnsi="Times New Roman"/>
          <w:bCs/>
        </w:rPr>
        <w:t xml:space="preserve"> </w:t>
      </w:r>
      <w:r w:rsidRPr="00A15C5A">
        <w:rPr>
          <w:rFonts w:ascii="Times New Roman" w:hAnsi="Times New Roman"/>
          <w:bCs/>
        </w:rPr>
        <w:t>CFE) y los organismos de control presupuestario directo (IMSS e ISSSTE), en conjunto. Se anticipa además</w:t>
      </w:r>
      <w:r>
        <w:rPr>
          <w:rFonts w:ascii="Times New Roman" w:hAnsi="Times New Roman"/>
          <w:bCs/>
        </w:rPr>
        <w:t xml:space="preserve"> </w:t>
      </w:r>
      <w:r w:rsidRPr="00A15C5A">
        <w:rPr>
          <w:rFonts w:ascii="Times New Roman" w:hAnsi="Times New Roman"/>
          <w:bCs/>
        </w:rPr>
        <w:t>un superávit primario del balance presupuestario de 0.5% del PIB.</w:t>
      </w:r>
    </w:p>
    <w:p w14:paraId="2E6239C9" w14:textId="77777777" w:rsidR="005364CA" w:rsidRDefault="005364CA" w:rsidP="005364CA">
      <w:pPr>
        <w:pStyle w:val="PRIMERAPLANA"/>
        <w:spacing w:line="360" w:lineRule="auto"/>
        <w:rPr>
          <w:rFonts w:ascii="Times New Roman" w:hAnsi="Times New Roman"/>
          <w:bCs/>
        </w:rPr>
      </w:pPr>
    </w:p>
    <w:p w14:paraId="094FAEC3" w14:textId="77777777" w:rsidR="005364CA" w:rsidRDefault="005364CA" w:rsidP="005364CA">
      <w:pPr>
        <w:pStyle w:val="PRIMERAPLANA"/>
        <w:spacing w:line="360" w:lineRule="auto"/>
        <w:rPr>
          <w:rFonts w:ascii="Times New Roman" w:hAnsi="Times New Roman"/>
          <w:bCs/>
        </w:rPr>
      </w:pPr>
      <w:r w:rsidRPr="00204FF1">
        <w:rPr>
          <w:rFonts w:ascii="Times New Roman" w:hAnsi="Times New Roman"/>
          <w:bCs/>
        </w:rPr>
        <w:t>La política de ingresos estará orientada a fortalecer la eficiencia recaudatoria</w:t>
      </w:r>
      <w:r>
        <w:rPr>
          <w:rFonts w:ascii="Times New Roman" w:hAnsi="Times New Roman"/>
          <w:bCs/>
        </w:rPr>
        <w:t>,</w:t>
      </w:r>
      <w:r w:rsidRPr="00204FF1">
        <w:rPr>
          <w:rFonts w:ascii="Times New Roman" w:hAnsi="Times New Roman"/>
          <w:bCs/>
        </w:rPr>
        <w:t xml:space="preserve"> a través de mecanismos</w:t>
      </w:r>
      <w:r>
        <w:rPr>
          <w:rFonts w:ascii="Times New Roman" w:hAnsi="Times New Roman"/>
          <w:bCs/>
        </w:rPr>
        <w:t xml:space="preserve"> </w:t>
      </w:r>
      <w:r w:rsidRPr="00204FF1">
        <w:rPr>
          <w:rFonts w:ascii="Times New Roman" w:hAnsi="Times New Roman"/>
          <w:bCs/>
        </w:rPr>
        <w:t>de prevención, detección y sanción de la evasión y elusión fiscal, con el fin de garantizar que las personas</w:t>
      </w:r>
      <w:r>
        <w:rPr>
          <w:rFonts w:ascii="Times New Roman" w:hAnsi="Times New Roman"/>
          <w:bCs/>
        </w:rPr>
        <w:t xml:space="preserve"> </w:t>
      </w:r>
      <w:r w:rsidRPr="00204FF1">
        <w:rPr>
          <w:rFonts w:ascii="Times New Roman" w:hAnsi="Times New Roman"/>
          <w:bCs/>
        </w:rPr>
        <w:t>contribuyentes realicen una aportación más justa y equitativa. Asimismo, en 2026 se ampliará la base</w:t>
      </w:r>
      <w:r>
        <w:rPr>
          <w:rFonts w:ascii="Times New Roman" w:hAnsi="Times New Roman"/>
          <w:bCs/>
        </w:rPr>
        <w:t xml:space="preserve"> </w:t>
      </w:r>
      <w:r w:rsidRPr="00204FF1">
        <w:rPr>
          <w:rFonts w:ascii="Times New Roman" w:hAnsi="Times New Roman"/>
          <w:bCs/>
        </w:rPr>
        <w:t>tributaria mediante una serie de disposiciones que abonen a salvaguardar la salud física y mental de la</w:t>
      </w:r>
      <w:r>
        <w:rPr>
          <w:rFonts w:ascii="Times New Roman" w:hAnsi="Times New Roman"/>
          <w:bCs/>
        </w:rPr>
        <w:t xml:space="preserve"> </w:t>
      </w:r>
      <w:r w:rsidRPr="00204FF1">
        <w:rPr>
          <w:rFonts w:ascii="Times New Roman" w:hAnsi="Times New Roman"/>
          <w:bCs/>
        </w:rPr>
        <w:t>población, al tiempo que se incorporarán medidas de apoyo a diversos sectores para impulsar el</w:t>
      </w:r>
      <w:r>
        <w:rPr>
          <w:rFonts w:ascii="Times New Roman" w:hAnsi="Times New Roman"/>
          <w:bCs/>
        </w:rPr>
        <w:t xml:space="preserve"> </w:t>
      </w:r>
      <w:r w:rsidRPr="00204FF1">
        <w:rPr>
          <w:rFonts w:ascii="Times New Roman" w:hAnsi="Times New Roman"/>
          <w:bCs/>
        </w:rPr>
        <w:t>desarrollo económico del país.</w:t>
      </w:r>
      <w:r>
        <w:rPr>
          <w:rFonts w:ascii="Times New Roman" w:hAnsi="Times New Roman"/>
          <w:bCs/>
        </w:rPr>
        <w:t xml:space="preserve"> </w:t>
      </w:r>
      <w:r w:rsidRPr="00204FF1">
        <w:rPr>
          <w:rFonts w:ascii="Times New Roman" w:hAnsi="Times New Roman"/>
          <w:bCs/>
        </w:rPr>
        <w:t>En 2026 se establecerán impuestos saludables con el objetivo de desincentivar el consumo de productos</w:t>
      </w:r>
      <w:r>
        <w:rPr>
          <w:rFonts w:ascii="Times New Roman" w:hAnsi="Times New Roman"/>
          <w:bCs/>
        </w:rPr>
        <w:t xml:space="preserve"> </w:t>
      </w:r>
      <w:r w:rsidRPr="00204FF1">
        <w:rPr>
          <w:rFonts w:ascii="Times New Roman" w:hAnsi="Times New Roman"/>
          <w:bCs/>
        </w:rPr>
        <w:t>que afectan la salud física y mental de la población.</w:t>
      </w:r>
      <w:r>
        <w:rPr>
          <w:rFonts w:ascii="Times New Roman" w:hAnsi="Times New Roman"/>
          <w:bCs/>
        </w:rPr>
        <w:t xml:space="preserve"> E</w:t>
      </w:r>
      <w:r w:rsidRPr="003F6D25">
        <w:rPr>
          <w:rFonts w:ascii="Times New Roman" w:hAnsi="Times New Roman"/>
          <w:bCs/>
        </w:rPr>
        <w:t>n 2026</w:t>
      </w:r>
      <w:r>
        <w:rPr>
          <w:rFonts w:ascii="Times New Roman" w:hAnsi="Times New Roman"/>
          <w:bCs/>
        </w:rPr>
        <w:t xml:space="preserve"> </w:t>
      </w:r>
      <w:r w:rsidRPr="003F6D25">
        <w:rPr>
          <w:rFonts w:ascii="Times New Roman" w:hAnsi="Times New Roman"/>
          <w:bCs/>
        </w:rPr>
        <w:t>se implementarán diversas medidas que otorgarán estímulos y fortalecerán la competitividad del país a</w:t>
      </w:r>
      <w:r>
        <w:rPr>
          <w:rFonts w:ascii="Times New Roman" w:hAnsi="Times New Roman"/>
          <w:bCs/>
        </w:rPr>
        <w:t xml:space="preserve"> </w:t>
      </w:r>
      <w:r w:rsidRPr="003F6D25">
        <w:rPr>
          <w:rFonts w:ascii="Times New Roman" w:hAnsi="Times New Roman"/>
          <w:bCs/>
        </w:rPr>
        <w:t>nivel internacional. En este marco, se aplicarán acciones orientadas a reducir las desventajas competitivas</w:t>
      </w:r>
      <w:r>
        <w:rPr>
          <w:rFonts w:ascii="Times New Roman" w:hAnsi="Times New Roman"/>
          <w:bCs/>
        </w:rPr>
        <w:t xml:space="preserve"> </w:t>
      </w:r>
      <w:r w:rsidRPr="003F6D25">
        <w:rPr>
          <w:rFonts w:ascii="Times New Roman" w:hAnsi="Times New Roman"/>
          <w:bCs/>
        </w:rPr>
        <w:t>que algunos sectores enfrentan frente a otros países en materia de comercio internacional.</w:t>
      </w:r>
    </w:p>
    <w:p w14:paraId="50F0210B" w14:textId="77777777" w:rsidR="005364CA" w:rsidRDefault="005364CA" w:rsidP="005364CA">
      <w:pPr>
        <w:pStyle w:val="PRIMERAPLANA"/>
        <w:spacing w:line="360" w:lineRule="auto"/>
        <w:rPr>
          <w:rFonts w:ascii="Times New Roman" w:hAnsi="Times New Roman"/>
          <w:bCs/>
        </w:rPr>
      </w:pPr>
    </w:p>
    <w:p w14:paraId="2730714C" w14:textId="77777777" w:rsidR="005364CA" w:rsidRDefault="005364CA" w:rsidP="005364CA">
      <w:pPr>
        <w:pStyle w:val="PRIMERAPLANA"/>
        <w:spacing w:line="360" w:lineRule="auto"/>
        <w:rPr>
          <w:rFonts w:ascii="Times New Roman" w:hAnsi="Times New Roman"/>
          <w:bCs/>
        </w:rPr>
      </w:pPr>
      <w:r w:rsidRPr="003F6D25">
        <w:rPr>
          <w:rFonts w:ascii="Times New Roman" w:hAnsi="Times New Roman"/>
          <w:bCs/>
        </w:rPr>
        <w:lastRenderedPageBreak/>
        <w:t xml:space="preserve">Para el ejercicio fiscal 2026 se presupuestan ingresos por 8,721.1 </w:t>
      </w:r>
      <w:proofErr w:type="spellStart"/>
      <w:r w:rsidRPr="003F6D25">
        <w:rPr>
          <w:rFonts w:ascii="Times New Roman" w:hAnsi="Times New Roman"/>
          <w:bCs/>
        </w:rPr>
        <w:t>mmp</w:t>
      </w:r>
      <w:proofErr w:type="spellEnd"/>
      <w:r w:rsidRPr="003F6D25">
        <w:rPr>
          <w:rFonts w:ascii="Times New Roman" w:hAnsi="Times New Roman"/>
          <w:bCs/>
        </w:rPr>
        <w:t xml:space="preserve">, mayores en 519.2 </w:t>
      </w:r>
      <w:proofErr w:type="spellStart"/>
      <w:r w:rsidRPr="003F6D25">
        <w:rPr>
          <w:rFonts w:ascii="Times New Roman" w:hAnsi="Times New Roman"/>
          <w:bCs/>
        </w:rPr>
        <w:t>mmp</w:t>
      </w:r>
      <w:proofErr w:type="spellEnd"/>
      <w:r w:rsidRPr="003F6D25">
        <w:rPr>
          <w:rFonts w:ascii="Times New Roman" w:hAnsi="Times New Roman"/>
          <w:bCs/>
        </w:rPr>
        <w:t xml:space="preserve"> respecto</w:t>
      </w:r>
      <w:r>
        <w:rPr>
          <w:rFonts w:ascii="Times New Roman" w:hAnsi="Times New Roman"/>
          <w:bCs/>
        </w:rPr>
        <w:t xml:space="preserve"> </w:t>
      </w:r>
      <w:r w:rsidRPr="003F6D25">
        <w:rPr>
          <w:rFonts w:ascii="Times New Roman" w:hAnsi="Times New Roman"/>
          <w:bCs/>
        </w:rPr>
        <w:t>al cierre estimado para 2025, lo que representa un incremento real de 6.3%. Lo anterior se explica,</w:t>
      </w:r>
      <w:r>
        <w:rPr>
          <w:rFonts w:ascii="Times New Roman" w:hAnsi="Times New Roman"/>
          <w:bCs/>
        </w:rPr>
        <w:t xml:space="preserve"> </w:t>
      </w:r>
      <w:r w:rsidRPr="003F6D25">
        <w:rPr>
          <w:rFonts w:ascii="Times New Roman" w:hAnsi="Times New Roman"/>
          <w:bCs/>
        </w:rPr>
        <w:t>mayoritariamente, por un aumento de 5.7% real respecto al cierre estimado de 2025 en los ingresos</w:t>
      </w:r>
      <w:r>
        <w:rPr>
          <w:rFonts w:ascii="Times New Roman" w:hAnsi="Times New Roman"/>
          <w:bCs/>
        </w:rPr>
        <w:t xml:space="preserve"> </w:t>
      </w:r>
      <w:r w:rsidRPr="003F6D25">
        <w:rPr>
          <w:rFonts w:ascii="Times New Roman" w:hAnsi="Times New Roman"/>
          <w:bCs/>
        </w:rPr>
        <w:t>tributarios y de 2.3% real en los ingresos de organismos y empresas.</w:t>
      </w:r>
    </w:p>
    <w:p w14:paraId="08774355" w14:textId="77777777" w:rsidR="005364CA" w:rsidRDefault="005364CA" w:rsidP="005364CA">
      <w:pPr>
        <w:pStyle w:val="PRIMERAPLANA"/>
        <w:spacing w:line="360" w:lineRule="auto"/>
        <w:rPr>
          <w:rFonts w:ascii="Times New Roman" w:hAnsi="Times New Roman"/>
          <w:bCs/>
        </w:rPr>
      </w:pPr>
    </w:p>
    <w:p w14:paraId="625EDBBC" w14:textId="77777777" w:rsidR="005364CA" w:rsidRDefault="005364CA" w:rsidP="005364CA">
      <w:pPr>
        <w:pStyle w:val="PRIMERAPLANA"/>
        <w:spacing w:line="360" w:lineRule="auto"/>
        <w:rPr>
          <w:rFonts w:ascii="Times New Roman" w:hAnsi="Times New Roman"/>
          <w:bCs/>
        </w:rPr>
      </w:pPr>
      <w:r w:rsidRPr="003F6D25">
        <w:rPr>
          <w:rFonts w:ascii="Times New Roman" w:hAnsi="Times New Roman"/>
          <w:bCs/>
        </w:rPr>
        <w:t>La política de gasto en 2026 respaldará un modelo de desarrollo con bienestar que garantiza los derechos</w:t>
      </w:r>
      <w:r>
        <w:rPr>
          <w:rFonts w:ascii="Times New Roman" w:hAnsi="Times New Roman"/>
          <w:bCs/>
        </w:rPr>
        <w:t xml:space="preserve"> </w:t>
      </w:r>
      <w:r w:rsidRPr="003F6D25">
        <w:rPr>
          <w:rFonts w:ascii="Times New Roman" w:hAnsi="Times New Roman"/>
          <w:bCs/>
        </w:rPr>
        <w:t>sociales e impulsa la inversión con un enfoque de prosperidad compartida. Bajo criterios de</w:t>
      </w:r>
      <w:r>
        <w:rPr>
          <w:rFonts w:ascii="Times New Roman" w:hAnsi="Times New Roman"/>
          <w:bCs/>
        </w:rPr>
        <w:t xml:space="preserve"> </w:t>
      </w:r>
      <w:r w:rsidRPr="003F6D25">
        <w:rPr>
          <w:rFonts w:ascii="Times New Roman" w:hAnsi="Times New Roman"/>
          <w:bCs/>
        </w:rPr>
        <w:t>responsabilidad fiscal, se priorizarán recursos hacia programas sociales, infraestructura estratégica y</w:t>
      </w:r>
      <w:r>
        <w:rPr>
          <w:rFonts w:ascii="Times New Roman" w:hAnsi="Times New Roman"/>
          <w:bCs/>
        </w:rPr>
        <w:t xml:space="preserve"> </w:t>
      </w:r>
      <w:r w:rsidRPr="003F6D25">
        <w:rPr>
          <w:rFonts w:ascii="Times New Roman" w:hAnsi="Times New Roman"/>
          <w:bCs/>
        </w:rPr>
        <w:t>servicios esenciales como salud, educación, alimentación, vivienda y seguridad con el objetivo de reducir</w:t>
      </w:r>
      <w:r>
        <w:rPr>
          <w:rFonts w:ascii="Times New Roman" w:hAnsi="Times New Roman"/>
          <w:bCs/>
        </w:rPr>
        <w:t xml:space="preserve"> </w:t>
      </w:r>
      <w:r w:rsidRPr="003F6D25">
        <w:rPr>
          <w:rFonts w:ascii="Times New Roman" w:hAnsi="Times New Roman"/>
          <w:bCs/>
        </w:rPr>
        <w:t>desigualdades estructurales y generar condiciones para la justicia social. Con ello, el gasto público se</w:t>
      </w:r>
      <w:r>
        <w:rPr>
          <w:rFonts w:ascii="Times New Roman" w:hAnsi="Times New Roman"/>
          <w:bCs/>
        </w:rPr>
        <w:t xml:space="preserve"> </w:t>
      </w:r>
      <w:r w:rsidRPr="003F6D25">
        <w:rPr>
          <w:rFonts w:ascii="Times New Roman" w:hAnsi="Times New Roman"/>
          <w:bCs/>
        </w:rPr>
        <w:t>consolidará como un instrumento central para materializar los compromisos del PND 2025-2030 y se</w:t>
      </w:r>
      <w:r>
        <w:rPr>
          <w:rFonts w:ascii="Times New Roman" w:hAnsi="Times New Roman"/>
          <w:bCs/>
        </w:rPr>
        <w:t xml:space="preserve"> </w:t>
      </w:r>
      <w:r w:rsidRPr="003F6D25">
        <w:rPr>
          <w:rFonts w:ascii="Times New Roman" w:hAnsi="Times New Roman"/>
          <w:bCs/>
        </w:rPr>
        <w:t>avanzará hacia un país más justo, incluyente y solidario.</w:t>
      </w:r>
    </w:p>
    <w:p w14:paraId="6C209C8D" w14:textId="77777777" w:rsidR="005364CA" w:rsidRDefault="005364CA" w:rsidP="005364CA">
      <w:pPr>
        <w:pStyle w:val="PRIMERAPLANA"/>
        <w:spacing w:line="360" w:lineRule="auto"/>
        <w:rPr>
          <w:rFonts w:ascii="Times New Roman" w:hAnsi="Times New Roman"/>
          <w:bCs/>
        </w:rPr>
      </w:pPr>
    </w:p>
    <w:p w14:paraId="3A22C496" w14:textId="77777777" w:rsidR="005364CA" w:rsidRDefault="005364CA" w:rsidP="005364CA">
      <w:pPr>
        <w:pStyle w:val="PRIMERAPLANA"/>
        <w:spacing w:line="360" w:lineRule="auto"/>
        <w:rPr>
          <w:rFonts w:ascii="Times New Roman" w:hAnsi="Times New Roman"/>
          <w:bCs/>
        </w:rPr>
      </w:pPr>
      <w:r w:rsidRPr="003F6D25">
        <w:rPr>
          <w:rFonts w:ascii="Times New Roman" w:hAnsi="Times New Roman"/>
          <w:bCs/>
        </w:rPr>
        <w:t xml:space="preserve">Para el ejercicio fiscal 2026, el gasto neto total ascenderá a 10,114.8 </w:t>
      </w:r>
      <w:proofErr w:type="spellStart"/>
      <w:r w:rsidRPr="003F6D25">
        <w:rPr>
          <w:rFonts w:ascii="Times New Roman" w:hAnsi="Times New Roman"/>
          <w:bCs/>
        </w:rPr>
        <w:t>mmp</w:t>
      </w:r>
      <w:proofErr w:type="spellEnd"/>
      <w:r w:rsidRPr="003F6D25">
        <w:rPr>
          <w:rFonts w:ascii="Times New Roman" w:hAnsi="Times New Roman"/>
          <w:bCs/>
        </w:rPr>
        <w:t>, lo que equivale a un incremento</w:t>
      </w:r>
      <w:r>
        <w:rPr>
          <w:rFonts w:ascii="Times New Roman" w:hAnsi="Times New Roman"/>
          <w:bCs/>
        </w:rPr>
        <w:t xml:space="preserve"> </w:t>
      </w:r>
      <w:r w:rsidRPr="003F6D25">
        <w:rPr>
          <w:rFonts w:ascii="Times New Roman" w:hAnsi="Times New Roman"/>
          <w:bCs/>
        </w:rPr>
        <w:t>de 5.9% real respecto al aprobado para 2025. Dentro de su composición, destaca que el gasto</w:t>
      </w:r>
      <w:r>
        <w:rPr>
          <w:rFonts w:ascii="Times New Roman" w:hAnsi="Times New Roman"/>
          <w:bCs/>
        </w:rPr>
        <w:t xml:space="preserve"> </w:t>
      </w:r>
      <w:r w:rsidRPr="003F6D25">
        <w:rPr>
          <w:rFonts w:ascii="Times New Roman" w:hAnsi="Times New Roman"/>
          <w:bCs/>
        </w:rPr>
        <w:t>programable, que se orienta a la generación de bienes, provisión de servicios y ejecución de obras</w:t>
      </w:r>
      <w:r>
        <w:rPr>
          <w:rFonts w:ascii="Times New Roman" w:hAnsi="Times New Roman"/>
          <w:bCs/>
        </w:rPr>
        <w:t xml:space="preserve"> </w:t>
      </w:r>
      <w:r w:rsidRPr="003F6D25">
        <w:rPr>
          <w:rFonts w:ascii="Times New Roman" w:hAnsi="Times New Roman"/>
          <w:bCs/>
        </w:rPr>
        <w:t xml:space="preserve">públicas que la población demanda, sumará 7,015.9 </w:t>
      </w:r>
      <w:proofErr w:type="spellStart"/>
      <w:r w:rsidRPr="003F6D25">
        <w:rPr>
          <w:rFonts w:ascii="Times New Roman" w:hAnsi="Times New Roman"/>
          <w:bCs/>
        </w:rPr>
        <w:t>mmp</w:t>
      </w:r>
      <w:proofErr w:type="spellEnd"/>
      <w:r w:rsidRPr="003F6D25">
        <w:rPr>
          <w:rFonts w:ascii="Times New Roman" w:hAnsi="Times New Roman"/>
          <w:bCs/>
        </w:rPr>
        <w:t>, lo que representará un incremento de 5.1% en</w:t>
      </w:r>
      <w:r>
        <w:rPr>
          <w:rFonts w:ascii="Times New Roman" w:hAnsi="Times New Roman"/>
          <w:bCs/>
        </w:rPr>
        <w:t xml:space="preserve"> </w:t>
      </w:r>
      <w:r w:rsidRPr="003F6D25">
        <w:rPr>
          <w:rFonts w:ascii="Times New Roman" w:hAnsi="Times New Roman"/>
          <w:bCs/>
        </w:rPr>
        <w:t>términos reales con relación a lo aprobado en 2025.</w:t>
      </w:r>
    </w:p>
    <w:p w14:paraId="62DC6F9A" w14:textId="77777777" w:rsidR="005364CA" w:rsidRDefault="005364CA" w:rsidP="005364CA">
      <w:pPr>
        <w:pStyle w:val="PRIMERAPLANA"/>
        <w:spacing w:line="360" w:lineRule="auto"/>
        <w:rPr>
          <w:rFonts w:ascii="Times New Roman" w:hAnsi="Times New Roman"/>
          <w:bCs/>
        </w:rPr>
      </w:pPr>
    </w:p>
    <w:p w14:paraId="3DB2613B" w14:textId="77777777" w:rsidR="005364CA" w:rsidRDefault="005364CA" w:rsidP="005364CA">
      <w:pPr>
        <w:pStyle w:val="PRIMERAPLANA"/>
        <w:spacing w:line="360" w:lineRule="auto"/>
        <w:rPr>
          <w:rFonts w:ascii="Times New Roman" w:hAnsi="Times New Roman"/>
          <w:bCs/>
        </w:rPr>
      </w:pPr>
      <w:r>
        <w:rPr>
          <w:rFonts w:ascii="Times New Roman" w:hAnsi="Times New Roman"/>
          <w:bCs/>
        </w:rPr>
        <w:t>E</w:t>
      </w:r>
      <w:r w:rsidRPr="006172BD">
        <w:rPr>
          <w:rFonts w:ascii="Times New Roman" w:hAnsi="Times New Roman"/>
          <w:bCs/>
        </w:rPr>
        <w:t>n el P</w:t>
      </w:r>
      <w:r>
        <w:rPr>
          <w:rFonts w:ascii="Times New Roman" w:hAnsi="Times New Roman"/>
          <w:bCs/>
        </w:rPr>
        <w:t xml:space="preserve">royecto de </w:t>
      </w:r>
      <w:r w:rsidRPr="006172BD">
        <w:rPr>
          <w:rFonts w:ascii="Times New Roman" w:hAnsi="Times New Roman"/>
          <w:bCs/>
        </w:rPr>
        <w:t>PEF 2026, el respaldo a la economía social adquiere rango programático como motor de inclusión</w:t>
      </w:r>
      <w:r>
        <w:rPr>
          <w:rFonts w:ascii="Times New Roman" w:hAnsi="Times New Roman"/>
          <w:bCs/>
        </w:rPr>
        <w:t xml:space="preserve"> </w:t>
      </w:r>
      <w:r w:rsidRPr="006172BD">
        <w:rPr>
          <w:rFonts w:ascii="Times New Roman" w:hAnsi="Times New Roman"/>
          <w:bCs/>
        </w:rPr>
        <w:t>productiva, cohesión social y desarrollo local sostenible. Asimismo, se impulsan proyectos de</w:t>
      </w:r>
      <w:r>
        <w:rPr>
          <w:rFonts w:ascii="Times New Roman" w:hAnsi="Times New Roman"/>
          <w:bCs/>
        </w:rPr>
        <w:t xml:space="preserve"> </w:t>
      </w:r>
      <w:r w:rsidRPr="006172BD">
        <w:rPr>
          <w:rFonts w:ascii="Times New Roman" w:hAnsi="Times New Roman"/>
          <w:bCs/>
        </w:rPr>
        <w:t>infraestructura estratégica para mejorar la conectividad del país, incluyendo transporte de pasajeros,</w:t>
      </w:r>
      <w:r>
        <w:rPr>
          <w:rFonts w:ascii="Times New Roman" w:hAnsi="Times New Roman"/>
          <w:bCs/>
        </w:rPr>
        <w:t xml:space="preserve"> </w:t>
      </w:r>
      <w:r w:rsidRPr="006172BD">
        <w:rPr>
          <w:rFonts w:ascii="Times New Roman" w:hAnsi="Times New Roman"/>
          <w:bCs/>
        </w:rPr>
        <w:t>modernización de puertos y aeropuertos, así como el fortalecimiento del comercio interno y</w:t>
      </w:r>
      <w:r>
        <w:rPr>
          <w:rFonts w:ascii="Times New Roman" w:hAnsi="Times New Roman"/>
          <w:bCs/>
        </w:rPr>
        <w:t xml:space="preserve"> </w:t>
      </w:r>
      <w:r w:rsidRPr="006172BD">
        <w:rPr>
          <w:rFonts w:ascii="Times New Roman" w:hAnsi="Times New Roman"/>
          <w:bCs/>
        </w:rPr>
        <w:t>transfronterizo. Con ello, se busca dinamizar la economía nacional y garantizar que el trabajo de todas las</w:t>
      </w:r>
      <w:r>
        <w:rPr>
          <w:rFonts w:ascii="Times New Roman" w:hAnsi="Times New Roman"/>
          <w:bCs/>
        </w:rPr>
        <w:t xml:space="preserve"> </w:t>
      </w:r>
      <w:r w:rsidRPr="006172BD">
        <w:rPr>
          <w:rFonts w:ascii="Times New Roman" w:hAnsi="Times New Roman"/>
          <w:bCs/>
        </w:rPr>
        <w:t>personas se traduzca en bienestar familiar y en condiciones dignas de vida, en un entorno que favorezca</w:t>
      </w:r>
      <w:r>
        <w:rPr>
          <w:rFonts w:ascii="Times New Roman" w:hAnsi="Times New Roman"/>
          <w:bCs/>
        </w:rPr>
        <w:t xml:space="preserve"> </w:t>
      </w:r>
      <w:r w:rsidRPr="006172BD">
        <w:rPr>
          <w:rFonts w:ascii="Times New Roman" w:hAnsi="Times New Roman"/>
          <w:bCs/>
        </w:rPr>
        <w:t>su desarrollo pleno.</w:t>
      </w:r>
    </w:p>
    <w:p w14:paraId="7F48D8B1" w14:textId="77777777" w:rsidR="005364CA" w:rsidRDefault="005364CA" w:rsidP="005364CA">
      <w:pPr>
        <w:pStyle w:val="PRIMERAPLANA"/>
        <w:spacing w:line="360" w:lineRule="auto"/>
        <w:rPr>
          <w:rFonts w:ascii="Times New Roman" w:hAnsi="Times New Roman"/>
          <w:bCs/>
        </w:rPr>
      </w:pPr>
    </w:p>
    <w:p w14:paraId="28ADEA59" w14:textId="77777777" w:rsidR="005364CA" w:rsidRDefault="005364CA" w:rsidP="005364CA">
      <w:pPr>
        <w:pStyle w:val="PRIMERAPLANA"/>
        <w:spacing w:line="360" w:lineRule="auto"/>
        <w:rPr>
          <w:rFonts w:ascii="Times New Roman" w:hAnsi="Times New Roman"/>
          <w:bCs/>
        </w:rPr>
      </w:pPr>
      <w:r w:rsidRPr="006172BD">
        <w:rPr>
          <w:rFonts w:ascii="Times New Roman" w:hAnsi="Times New Roman"/>
          <w:bCs/>
        </w:rPr>
        <w:t>En 2026, la política de deuda mantendrá una estrategia de financiamiento acorde a las necesidades del</w:t>
      </w:r>
      <w:r>
        <w:rPr>
          <w:rFonts w:ascii="Times New Roman" w:hAnsi="Times New Roman"/>
          <w:bCs/>
        </w:rPr>
        <w:t xml:space="preserve"> </w:t>
      </w:r>
      <w:r w:rsidRPr="006172BD">
        <w:rPr>
          <w:rFonts w:ascii="Times New Roman" w:hAnsi="Times New Roman"/>
          <w:bCs/>
        </w:rPr>
        <w:t>portafolio y las condiciones prevalecientes en los mercados financieros, con el fin de obtener las mejores</w:t>
      </w:r>
      <w:r>
        <w:rPr>
          <w:rFonts w:ascii="Times New Roman" w:hAnsi="Times New Roman"/>
          <w:bCs/>
        </w:rPr>
        <w:t xml:space="preserve"> </w:t>
      </w:r>
      <w:r w:rsidRPr="006172BD">
        <w:rPr>
          <w:rFonts w:ascii="Times New Roman" w:hAnsi="Times New Roman"/>
          <w:bCs/>
        </w:rPr>
        <w:t>condiciones de costo y una gestión adecuada de los riesgos; asimismo se continuará con la emisión de</w:t>
      </w:r>
      <w:r>
        <w:rPr>
          <w:rFonts w:ascii="Times New Roman" w:hAnsi="Times New Roman"/>
          <w:bCs/>
        </w:rPr>
        <w:t xml:space="preserve"> </w:t>
      </w:r>
      <w:r w:rsidRPr="006172BD">
        <w:rPr>
          <w:rFonts w:ascii="Times New Roman" w:hAnsi="Times New Roman"/>
          <w:bCs/>
        </w:rPr>
        <w:t>instrumentos alineados con los Objetivos de Desarrollo Sostenible (ODS) y principios Ambientales, Sociales</w:t>
      </w:r>
      <w:r>
        <w:rPr>
          <w:rFonts w:ascii="Times New Roman" w:hAnsi="Times New Roman"/>
          <w:bCs/>
        </w:rPr>
        <w:t xml:space="preserve"> </w:t>
      </w:r>
      <w:r w:rsidRPr="006172BD">
        <w:rPr>
          <w:rFonts w:ascii="Times New Roman" w:hAnsi="Times New Roman"/>
          <w:bCs/>
        </w:rPr>
        <w:t>y de Gobernanza (ASG), que permitan asignar recursos hacia actividades con impactos positivos en la</w:t>
      </w:r>
      <w:r>
        <w:rPr>
          <w:rFonts w:ascii="Times New Roman" w:hAnsi="Times New Roman"/>
          <w:bCs/>
        </w:rPr>
        <w:t xml:space="preserve"> </w:t>
      </w:r>
      <w:r w:rsidRPr="006172BD">
        <w:rPr>
          <w:rFonts w:ascii="Times New Roman" w:hAnsi="Times New Roman"/>
          <w:bCs/>
        </w:rPr>
        <w:t>sociedad y el medio ambiente, con el objetivo de fortalecer la estabilidad macroeconómica en conjunto</w:t>
      </w:r>
      <w:r>
        <w:rPr>
          <w:rFonts w:ascii="Times New Roman" w:hAnsi="Times New Roman"/>
          <w:bCs/>
        </w:rPr>
        <w:t xml:space="preserve"> </w:t>
      </w:r>
      <w:r w:rsidRPr="006172BD">
        <w:rPr>
          <w:rFonts w:ascii="Times New Roman" w:hAnsi="Times New Roman"/>
          <w:bCs/>
        </w:rPr>
        <w:t>con la sostenibilidad de la deuda.</w:t>
      </w:r>
    </w:p>
    <w:p w14:paraId="429E1850" w14:textId="77777777" w:rsidR="005364CA" w:rsidRDefault="005364CA" w:rsidP="005364CA">
      <w:pPr>
        <w:pStyle w:val="PRIMERAPLANA"/>
        <w:spacing w:line="360" w:lineRule="auto"/>
        <w:rPr>
          <w:rFonts w:ascii="Times New Roman" w:hAnsi="Times New Roman"/>
          <w:bCs/>
        </w:rPr>
      </w:pPr>
      <w:r>
        <w:rPr>
          <w:rFonts w:ascii="Times New Roman" w:hAnsi="Times New Roman"/>
          <w:bCs/>
        </w:rPr>
        <w:lastRenderedPageBreak/>
        <w:t>P</w:t>
      </w:r>
      <w:r w:rsidRPr="004756D6">
        <w:rPr>
          <w:rFonts w:ascii="Times New Roman" w:hAnsi="Times New Roman"/>
          <w:bCs/>
        </w:rPr>
        <w:t>ara 2026 se estima que el SHRFSP se ubicará en 52.3% del PIB,</w:t>
      </w:r>
      <w:r>
        <w:rPr>
          <w:rFonts w:ascii="Times New Roman" w:hAnsi="Times New Roman"/>
          <w:bCs/>
        </w:rPr>
        <w:t xml:space="preserve"> </w:t>
      </w:r>
      <w:r w:rsidRPr="004756D6">
        <w:rPr>
          <w:rFonts w:ascii="Times New Roman" w:hAnsi="Times New Roman"/>
          <w:bCs/>
        </w:rPr>
        <w:t>nivel que contribuirá a preservar la estabilidad macroeconómica y a mantener condiciones favorables de</w:t>
      </w:r>
      <w:r>
        <w:rPr>
          <w:rFonts w:ascii="Times New Roman" w:hAnsi="Times New Roman"/>
          <w:bCs/>
        </w:rPr>
        <w:t xml:space="preserve"> </w:t>
      </w:r>
      <w:r w:rsidRPr="004756D6">
        <w:rPr>
          <w:rFonts w:ascii="Times New Roman" w:hAnsi="Times New Roman"/>
          <w:bCs/>
        </w:rPr>
        <w:t>acceso al financiamiento. En este marco, la Iniciativa de Ley de Ingresos de la Federación (ILIF) 2026,</w:t>
      </w:r>
      <w:r>
        <w:rPr>
          <w:rFonts w:ascii="Times New Roman" w:hAnsi="Times New Roman"/>
          <w:bCs/>
        </w:rPr>
        <w:t xml:space="preserve"> </w:t>
      </w:r>
      <w:r w:rsidRPr="004756D6">
        <w:rPr>
          <w:rFonts w:ascii="Times New Roman" w:hAnsi="Times New Roman"/>
          <w:bCs/>
        </w:rPr>
        <w:t>sometida a consideración del H. Congreso de la Unión, plantea un techo de endeudamiento interno neto</w:t>
      </w:r>
      <w:r>
        <w:rPr>
          <w:rFonts w:ascii="Times New Roman" w:hAnsi="Times New Roman"/>
          <w:bCs/>
        </w:rPr>
        <w:t xml:space="preserve"> </w:t>
      </w:r>
      <w:r w:rsidRPr="004756D6">
        <w:rPr>
          <w:rFonts w:ascii="Times New Roman" w:hAnsi="Times New Roman"/>
          <w:bCs/>
        </w:rPr>
        <w:t xml:space="preserve">del Gobierno Federal de 1,780.0 </w:t>
      </w:r>
      <w:proofErr w:type="spellStart"/>
      <w:r w:rsidRPr="004756D6">
        <w:rPr>
          <w:rFonts w:ascii="Times New Roman" w:hAnsi="Times New Roman"/>
          <w:bCs/>
        </w:rPr>
        <w:t>mmp</w:t>
      </w:r>
      <w:proofErr w:type="spellEnd"/>
      <w:r w:rsidRPr="004756D6">
        <w:rPr>
          <w:rFonts w:ascii="Times New Roman" w:hAnsi="Times New Roman"/>
          <w:bCs/>
        </w:rPr>
        <w:t xml:space="preserve"> y un techo de endeudamiento externo neto</w:t>
      </w:r>
      <w:r>
        <w:rPr>
          <w:rFonts w:ascii="Times New Roman" w:hAnsi="Times New Roman"/>
          <w:bCs/>
        </w:rPr>
        <w:t>,</w:t>
      </w:r>
      <w:r w:rsidRPr="004756D6">
        <w:rPr>
          <w:rFonts w:ascii="Times New Roman" w:hAnsi="Times New Roman"/>
          <w:bCs/>
        </w:rPr>
        <w:t xml:space="preserve"> que incluye al</w:t>
      </w:r>
      <w:r>
        <w:rPr>
          <w:rFonts w:ascii="Times New Roman" w:hAnsi="Times New Roman"/>
          <w:bCs/>
        </w:rPr>
        <w:t xml:space="preserve"> </w:t>
      </w:r>
      <w:r w:rsidRPr="004756D6">
        <w:rPr>
          <w:rFonts w:ascii="Times New Roman" w:hAnsi="Times New Roman"/>
          <w:bCs/>
        </w:rPr>
        <w:t xml:space="preserve">Gobierno Federal y a la banca de desarrollo de 15.5 </w:t>
      </w:r>
      <w:proofErr w:type="spellStart"/>
      <w:r w:rsidRPr="004756D6">
        <w:rPr>
          <w:rFonts w:ascii="Times New Roman" w:hAnsi="Times New Roman"/>
          <w:bCs/>
        </w:rPr>
        <w:t>mmd</w:t>
      </w:r>
      <w:proofErr w:type="spellEnd"/>
      <w:r w:rsidRPr="004756D6">
        <w:rPr>
          <w:rFonts w:ascii="Times New Roman" w:hAnsi="Times New Roman"/>
          <w:bCs/>
        </w:rPr>
        <w:t>.</w:t>
      </w:r>
      <w:r>
        <w:rPr>
          <w:rFonts w:ascii="Times New Roman" w:hAnsi="Times New Roman"/>
          <w:bCs/>
        </w:rPr>
        <w:t xml:space="preserve"> </w:t>
      </w:r>
      <w:r w:rsidRPr="004756D6">
        <w:rPr>
          <w:rFonts w:ascii="Times New Roman" w:hAnsi="Times New Roman"/>
          <w:bCs/>
        </w:rPr>
        <w:t>Durante el ejercicio fiscal 2026 se privilegiará el financiamiento interno, a tasa fija y de largo plazo, con el</w:t>
      </w:r>
      <w:r>
        <w:rPr>
          <w:rFonts w:ascii="Times New Roman" w:hAnsi="Times New Roman"/>
          <w:bCs/>
        </w:rPr>
        <w:t xml:space="preserve"> </w:t>
      </w:r>
      <w:r w:rsidRPr="004756D6">
        <w:rPr>
          <w:rFonts w:ascii="Times New Roman" w:hAnsi="Times New Roman"/>
          <w:bCs/>
        </w:rPr>
        <w:t>propósito de reducir la exposición a la volatilidad de los mercados internacionales y dar mayor estabilidad</w:t>
      </w:r>
      <w:r>
        <w:rPr>
          <w:rFonts w:ascii="Times New Roman" w:hAnsi="Times New Roman"/>
          <w:bCs/>
        </w:rPr>
        <w:t xml:space="preserve"> </w:t>
      </w:r>
      <w:r w:rsidRPr="004756D6">
        <w:rPr>
          <w:rFonts w:ascii="Times New Roman" w:hAnsi="Times New Roman"/>
          <w:bCs/>
        </w:rPr>
        <w:t>a la deuda. En este marco, se prevé que el 84.4% de la deuda se denomine en moneda nacional y que el</w:t>
      </w:r>
      <w:r>
        <w:rPr>
          <w:rFonts w:ascii="Times New Roman" w:hAnsi="Times New Roman"/>
          <w:bCs/>
        </w:rPr>
        <w:t xml:space="preserve"> </w:t>
      </w:r>
      <w:r w:rsidRPr="004756D6">
        <w:rPr>
          <w:rFonts w:ascii="Times New Roman" w:hAnsi="Times New Roman"/>
          <w:bCs/>
        </w:rPr>
        <w:t>80.3% de los valores gubernamentales se emita a tasa fija y de largo plazo, lo que permitirá minimizar la</w:t>
      </w:r>
      <w:r>
        <w:rPr>
          <w:rFonts w:ascii="Times New Roman" w:hAnsi="Times New Roman"/>
          <w:bCs/>
        </w:rPr>
        <w:t xml:space="preserve"> </w:t>
      </w:r>
      <w:r w:rsidRPr="004756D6">
        <w:rPr>
          <w:rFonts w:ascii="Times New Roman" w:hAnsi="Times New Roman"/>
          <w:bCs/>
        </w:rPr>
        <w:t>exposición a las variaciones en el tipo de cambio, así como en las tasas de interés.</w:t>
      </w:r>
      <w:r>
        <w:rPr>
          <w:rFonts w:ascii="Times New Roman" w:hAnsi="Times New Roman"/>
          <w:bCs/>
        </w:rPr>
        <w:t xml:space="preserve"> S</w:t>
      </w:r>
      <w:r w:rsidRPr="004756D6">
        <w:rPr>
          <w:rFonts w:ascii="Times New Roman" w:hAnsi="Times New Roman"/>
          <w:bCs/>
        </w:rPr>
        <w:t>e estima que, para el cierre de 2026, la deuda externa de mercado se encontrará</w:t>
      </w:r>
      <w:r>
        <w:rPr>
          <w:rFonts w:ascii="Times New Roman" w:hAnsi="Times New Roman"/>
          <w:bCs/>
        </w:rPr>
        <w:t xml:space="preserve"> </w:t>
      </w:r>
      <w:r w:rsidRPr="004756D6">
        <w:rPr>
          <w:rFonts w:ascii="Times New Roman" w:hAnsi="Times New Roman"/>
          <w:bCs/>
        </w:rPr>
        <w:t>contratada en su totalidad a tasa fija y 97.5% a un plazo mayor a un año, mientras que el plazo promedio</w:t>
      </w:r>
      <w:r>
        <w:rPr>
          <w:rFonts w:ascii="Times New Roman" w:hAnsi="Times New Roman"/>
          <w:bCs/>
        </w:rPr>
        <w:t xml:space="preserve"> </w:t>
      </w:r>
      <w:r w:rsidRPr="004756D6">
        <w:rPr>
          <w:rFonts w:ascii="Times New Roman" w:hAnsi="Times New Roman"/>
          <w:bCs/>
        </w:rPr>
        <w:t>y la duración de la deuda externa se ubicará en 15.8 y 7.8 años, respectivamente.</w:t>
      </w:r>
    </w:p>
    <w:p w14:paraId="4617895B" w14:textId="77777777" w:rsidR="005364CA" w:rsidRDefault="005364CA" w:rsidP="005364CA">
      <w:pPr>
        <w:pStyle w:val="PRIMERAPLANA"/>
        <w:spacing w:line="360" w:lineRule="auto"/>
        <w:rPr>
          <w:rFonts w:ascii="Times New Roman" w:hAnsi="Times New Roman"/>
          <w:bCs/>
        </w:rPr>
      </w:pPr>
    </w:p>
    <w:p w14:paraId="0FFD4F2A" w14:textId="77777777" w:rsidR="005364CA" w:rsidRDefault="005364CA" w:rsidP="005364CA">
      <w:pPr>
        <w:pStyle w:val="PRIMERAPLANA"/>
        <w:spacing w:line="360" w:lineRule="auto"/>
        <w:rPr>
          <w:rFonts w:ascii="Times New Roman" w:hAnsi="Times New Roman"/>
          <w:bCs/>
        </w:rPr>
      </w:pPr>
      <w:r w:rsidRPr="004756D6">
        <w:rPr>
          <w:rFonts w:ascii="Times New Roman" w:hAnsi="Times New Roman"/>
          <w:bCs/>
        </w:rPr>
        <w:t>En 2026, la política financiera fomentará la competencia, impulsará la inclusión y garantizará la estabilidad</w:t>
      </w:r>
      <w:r>
        <w:rPr>
          <w:rFonts w:ascii="Times New Roman" w:hAnsi="Times New Roman"/>
          <w:bCs/>
        </w:rPr>
        <w:t xml:space="preserve"> </w:t>
      </w:r>
      <w:r w:rsidRPr="004756D6">
        <w:rPr>
          <w:rFonts w:ascii="Times New Roman" w:hAnsi="Times New Roman"/>
          <w:bCs/>
        </w:rPr>
        <w:t>del sistema. Para ello</w:t>
      </w:r>
      <w:r>
        <w:rPr>
          <w:rFonts w:ascii="Times New Roman" w:hAnsi="Times New Roman"/>
          <w:bCs/>
        </w:rPr>
        <w:t>,</w:t>
      </w:r>
      <w:r w:rsidRPr="004756D6">
        <w:rPr>
          <w:rFonts w:ascii="Times New Roman" w:hAnsi="Times New Roman"/>
          <w:bCs/>
        </w:rPr>
        <w:t xml:space="preserve"> en coordinación con autoridades nacionales e internacionales, el sector privado y</w:t>
      </w:r>
      <w:r>
        <w:rPr>
          <w:rFonts w:ascii="Times New Roman" w:hAnsi="Times New Roman"/>
          <w:bCs/>
        </w:rPr>
        <w:t xml:space="preserve"> </w:t>
      </w:r>
      <w:r w:rsidRPr="004756D6">
        <w:rPr>
          <w:rFonts w:ascii="Times New Roman" w:hAnsi="Times New Roman"/>
          <w:bCs/>
        </w:rPr>
        <w:t>organismos especializados, se promoverá el acceso equitativo a los servicios financieros de calidad, la</w:t>
      </w:r>
      <w:r>
        <w:rPr>
          <w:rFonts w:ascii="Times New Roman" w:hAnsi="Times New Roman"/>
          <w:bCs/>
        </w:rPr>
        <w:t xml:space="preserve"> </w:t>
      </w:r>
      <w:r w:rsidRPr="004756D6">
        <w:rPr>
          <w:rFonts w:ascii="Times New Roman" w:hAnsi="Times New Roman"/>
          <w:bCs/>
        </w:rPr>
        <w:t>asignación eficiente de recursos y el desarrollo sostenible a través de la modernización regulatoria, la</w:t>
      </w:r>
      <w:r>
        <w:rPr>
          <w:rFonts w:ascii="Times New Roman" w:hAnsi="Times New Roman"/>
          <w:bCs/>
        </w:rPr>
        <w:t xml:space="preserve"> </w:t>
      </w:r>
      <w:r w:rsidRPr="004756D6">
        <w:rPr>
          <w:rFonts w:ascii="Times New Roman" w:hAnsi="Times New Roman"/>
          <w:bCs/>
        </w:rPr>
        <w:t>simplificación administrativa, el impulso a nuevos instrumentos y mercados, la innovación tecnológica, la</w:t>
      </w:r>
      <w:r>
        <w:rPr>
          <w:rFonts w:ascii="Times New Roman" w:hAnsi="Times New Roman"/>
          <w:bCs/>
        </w:rPr>
        <w:t xml:space="preserve"> </w:t>
      </w:r>
      <w:r w:rsidRPr="004756D6">
        <w:rPr>
          <w:rFonts w:ascii="Times New Roman" w:hAnsi="Times New Roman"/>
          <w:bCs/>
        </w:rPr>
        <w:t>protección a los usuarios y la adopción de mejores prácticas en sostenibilidad y equidad de género</w:t>
      </w:r>
      <w:r>
        <w:rPr>
          <w:rFonts w:ascii="Times New Roman" w:hAnsi="Times New Roman"/>
          <w:bCs/>
        </w:rPr>
        <w:t>.</w:t>
      </w:r>
    </w:p>
    <w:p w14:paraId="03D2AF57" w14:textId="77777777" w:rsidR="005364CA" w:rsidRPr="00FD37DE" w:rsidRDefault="005364CA" w:rsidP="005364CA">
      <w:pPr>
        <w:pStyle w:val="PRIMERAPLANA"/>
        <w:spacing w:line="360" w:lineRule="auto"/>
        <w:rPr>
          <w:rFonts w:ascii="Times New Roman" w:hAnsi="Times New Roman"/>
          <w:bCs/>
        </w:rPr>
      </w:pPr>
    </w:p>
    <w:p w14:paraId="449D4F1B" w14:textId="77777777" w:rsidR="005364CA" w:rsidRDefault="005364CA" w:rsidP="005364CA">
      <w:pPr>
        <w:pStyle w:val="PRIMERAPLANA"/>
        <w:spacing w:line="360" w:lineRule="auto"/>
        <w:rPr>
          <w:rFonts w:ascii="Times New Roman" w:hAnsi="Times New Roman"/>
          <w:bCs/>
        </w:rPr>
      </w:pPr>
      <w:r w:rsidRPr="00F27C8A">
        <w:rPr>
          <w:rFonts w:ascii="Times New Roman" w:hAnsi="Times New Roman"/>
          <w:bCs/>
        </w:rPr>
        <w:t>El marco macroeconómico 2027-2031 presenta una proyección inercial de las principales variables</w:t>
      </w:r>
      <w:r>
        <w:rPr>
          <w:rFonts w:ascii="Times New Roman" w:hAnsi="Times New Roman"/>
          <w:bCs/>
        </w:rPr>
        <w:t xml:space="preserve"> </w:t>
      </w:r>
      <w:r w:rsidRPr="00F27C8A">
        <w:rPr>
          <w:rFonts w:ascii="Times New Roman" w:hAnsi="Times New Roman"/>
          <w:bCs/>
        </w:rPr>
        <w:t>económicas del país. Si bien no considera el efecto de nuevas medidas de política económica, sí incorpora</w:t>
      </w:r>
      <w:r>
        <w:rPr>
          <w:rFonts w:ascii="Times New Roman" w:hAnsi="Times New Roman"/>
          <w:bCs/>
        </w:rPr>
        <w:t xml:space="preserve"> </w:t>
      </w:r>
      <w:r w:rsidRPr="00F27C8A">
        <w:rPr>
          <w:rFonts w:ascii="Times New Roman" w:hAnsi="Times New Roman"/>
          <w:bCs/>
        </w:rPr>
        <w:t>los impactos tendenciales de las políticas ya aplicadas, las cuales han contribuido a consolidar bases más</w:t>
      </w:r>
      <w:r>
        <w:rPr>
          <w:rFonts w:ascii="Times New Roman" w:hAnsi="Times New Roman"/>
          <w:bCs/>
        </w:rPr>
        <w:t xml:space="preserve"> </w:t>
      </w:r>
      <w:r w:rsidRPr="00F27C8A">
        <w:rPr>
          <w:rFonts w:ascii="Times New Roman" w:hAnsi="Times New Roman"/>
          <w:bCs/>
        </w:rPr>
        <w:t>firmes para un crecimiento sostenido y finanzas públicas sanas.</w:t>
      </w:r>
    </w:p>
    <w:p w14:paraId="61F0A8FB" w14:textId="77777777" w:rsidR="005364CA" w:rsidRDefault="005364CA" w:rsidP="005364CA">
      <w:pPr>
        <w:pStyle w:val="PRIMERAPLANA"/>
        <w:spacing w:line="360" w:lineRule="auto"/>
        <w:rPr>
          <w:rFonts w:ascii="Times New Roman" w:hAnsi="Times New Roman"/>
          <w:bCs/>
        </w:rPr>
      </w:pPr>
    </w:p>
    <w:p w14:paraId="688F8DC8" w14:textId="77777777" w:rsidR="005364CA" w:rsidRDefault="005364CA" w:rsidP="005364CA">
      <w:pPr>
        <w:pStyle w:val="PRIMERAPLANA"/>
        <w:spacing w:line="360" w:lineRule="auto"/>
        <w:rPr>
          <w:rFonts w:ascii="Times New Roman" w:hAnsi="Times New Roman"/>
          <w:bCs/>
        </w:rPr>
      </w:pPr>
      <w:r w:rsidRPr="00F27C8A">
        <w:rPr>
          <w:rFonts w:ascii="Times New Roman" w:hAnsi="Times New Roman"/>
          <w:bCs/>
        </w:rPr>
        <w:t>En el mediano plazo, la economía mexicana mantendrá una senda de crecimiento impulsada</w:t>
      </w:r>
      <w:r>
        <w:rPr>
          <w:rFonts w:ascii="Times New Roman" w:hAnsi="Times New Roman"/>
          <w:bCs/>
        </w:rPr>
        <w:t xml:space="preserve"> </w:t>
      </w:r>
      <w:r w:rsidRPr="00F27C8A">
        <w:rPr>
          <w:rFonts w:ascii="Times New Roman" w:hAnsi="Times New Roman"/>
          <w:bCs/>
        </w:rPr>
        <w:t>principalmente por el mercado interno. El consumo privado continuará como principal motor de la</w:t>
      </w:r>
      <w:r>
        <w:rPr>
          <w:rFonts w:ascii="Times New Roman" w:hAnsi="Times New Roman"/>
          <w:bCs/>
        </w:rPr>
        <w:t xml:space="preserve"> </w:t>
      </w:r>
      <w:r w:rsidRPr="00F27C8A">
        <w:rPr>
          <w:rFonts w:ascii="Times New Roman" w:hAnsi="Times New Roman"/>
          <w:bCs/>
        </w:rPr>
        <w:t>actividad económica, respaldado por la generación de empleo, la mayor formalización, el incremento de</w:t>
      </w:r>
      <w:r>
        <w:rPr>
          <w:rFonts w:ascii="Times New Roman" w:hAnsi="Times New Roman"/>
          <w:bCs/>
        </w:rPr>
        <w:t xml:space="preserve"> </w:t>
      </w:r>
      <w:r w:rsidRPr="00F27C8A">
        <w:rPr>
          <w:rFonts w:ascii="Times New Roman" w:hAnsi="Times New Roman"/>
          <w:bCs/>
        </w:rPr>
        <w:t>los salarios reales y la consolidación de la red de programas sociales que ha disminuido la población en</w:t>
      </w:r>
      <w:r>
        <w:rPr>
          <w:rFonts w:ascii="Times New Roman" w:hAnsi="Times New Roman"/>
          <w:bCs/>
        </w:rPr>
        <w:t xml:space="preserve"> </w:t>
      </w:r>
      <w:r w:rsidRPr="00F27C8A">
        <w:rPr>
          <w:rFonts w:ascii="Times New Roman" w:hAnsi="Times New Roman"/>
          <w:bCs/>
        </w:rPr>
        <w:t>condición de pobreza y asegurado un mayor consumo para los hogares de bajos ingresos. La oferta</w:t>
      </w:r>
      <w:r>
        <w:rPr>
          <w:rFonts w:ascii="Times New Roman" w:hAnsi="Times New Roman"/>
          <w:bCs/>
        </w:rPr>
        <w:t xml:space="preserve"> </w:t>
      </w:r>
      <w:r w:rsidRPr="00F27C8A">
        <w:rPr>
          <w:rFonts w:ascii="Times New Roman" w:hAnsi="Times New Roman"/>
          <w:bCs/>
        </w:rPr>
        <w:t>laboral crecerá en línea con las proyecciones demográficas, que contemplan una expansión en la</w:t>
      </w:r>
      <w:r>
        <w:rPr>
          <w:rFonts w:ascii="Times New Roman" w:hAnsi="Times New Roman"/>
          <w:bCs/>
        </w:rPr>
        <w:t xml:space="preserve"> </w:t>
      </w:r>
      <w:r w:rsidRPr="00F27C8A">
        <w:rPr>
          <w:rFonts w:ascii="Times New Roman" w:hAnsi="Times New Roman"/>
          <w:bCs/>
        </w:rPr>
        <w:t>población en edad productiva.</w:t>
      </w:r>
    </w:p>
    <w:p w14:paraId="1EF0330C" w14:textId="77777777" w:rsidR="005364CA" w:rsidRDefault="005364CA" w:rsidP="005364CA">
      <w:pPr>
        <w:pStyle w:val="PRIMERAPLANA"/>
        <w:spacing w:line="360" w:lineRule="auto"/>
        <w:rPr>
          <w:rFonts w:ascii="Times New Roman" w:hAnsi="Times New Roman"/>
          <w:bCs/>
        </w:rPr>
      </w:pPr>
      <w:r>
        <w:rPr>
          <w:rFonts w:ascii="Times New Roman" w:hAnsi="Times New Roman"/>
          <w:bCs/>
        </w:rPr>
        <w:lastRenderedPageBreak/>
        <w:t>L</w:t>
      </w:r>
      <w:r w:rsidRPr="00D64E13">
        <w:rPr>
          <w:rFonts w:ascii="Times New Roman" w:hAnsi="Times New Roman"/>
          <w:bCs/>
        </w:rPr>
        <w:t>a inversión pública en infraestructura mantendrá</w:t>
      </w:r>
      <w:r>
        <w:rPr>
          <w:rFonts w:ascii="Times New Roman" w:hAnsi="Times New Roman"/>
          <w:bCs/>
        </w:rPr>
        <w:t xml:space="preserve"> </w:t>
      </w:r>
      <w:r w:rsidRPr="00D64E13">
        <w:rPr>
          <w:rFonts w:ascii="Times New Roman" w:hAnsi="Times New Roman"/>
          <w:bCs/>
        </w:rPr>
        <w:t>su papel en el fortalecimiento de la conectividad regional y en la generación de condiciones favorables</w:t>
      </w:r>
      <w:r>
        <w:rPr>
          <w:rFonts w:ascii="Times New Roman" w:hAnsi="Times New Roman"/>
          <w:bCs/>
        </w:rPr>
        <w:t xml:space="preserve"> </w:t>
      </w:r>
      <w:r w:rsidRPr="00D64E13">
        <w:rPr>
          <w:rFonts w:ascii="Times New Roman" w:hAnsi="Times New Roman"/>
          <w:bCs/>
        </w:rPr>
        <w:t>para elevar la capacidad productiva e integrar de manera más equitativa el mercado interno. Se prevé la consolidación de sectores manufactureros de alto contenido tecnológico como equipo de</w:t>
      </w:r>
      <w:r>
        <w:rPr>
          <w:rFonts w:ascii="Times New Roman" w:hAnsi="Times New Roman"/>
          <w:bCs/>
        </w:rPr>
        <w:t xml:space="preserve"> </w:t>
      </w:r>
      <w:r w:rsidRPr="00D64E13">
        <w:rPr>
          <w:rFonts w:ascii="Times New Roman" w:hAnsi="Times New Roman"/>
          <w:bCs/>
        </w:rPr>
        <w:t>cómputo y aparatos electrónicos, en paralelo al dinamismo de servicios asociados con la formalización del</w:t>
      </w:r>
      <w:r>
        <w:rPr>
          <w:rFonts w:ascii="Times New Roman" w:hAnsi="Times New Roman"/>
          <w:bCs/>
        </w:rPr>
        <w:t xml:space="preserve"> </w:t>
      </w:r>
      <w:r w:rsidRPr="00D64E13">
        <w:rPr>
          <w:rFonts w:ascii="Times New Roman" w:hAnsi="Times New Roman"/>
          <w:bCs/>
        </w:rPr>
        <w:t>sector productivo y al desarrollo de la economía digital. Estos procesos contribuirán a diversificar la base</w:t>
      </w:r>
      <w:r>
        <w:rPr>
          <w:rFonts w:ascii="Times New Roman" w:hAnsi="Times New Roman"/>
          <w:bCs/>
        </w:rPr>
        <w:t xml:space="preserve"> </w:t>
      </w:r>
      <w:r w:rsidRPr="00D64E13">
        <w:rPr>
          <w:rFonts w:ascii="Times New Roman" w:hAnsi="Times New Roman"/>
          <w:bCs/>
        </w:rPr>
        <w:t>productiva y a sostener un crecimiento balanceado y resiliente en el mediano plazo</w:t>
      </w:r>
      <w:r>
        <w:rPr>
          <w:rFonts w:ascii="Times New Roman" w:hAnsi="Times New Roman"/>
          <w:bCs/>
        </w:rPr>
        <w:t>.</w:t>
      </w:r>
    </w:p>
    <w:p w14:paraId="7FE31EA9" w14:textId="77777777" w:rsidR="005364CA" w:rsidRDefault="005364CA" w:rsidP="005364CA">
      <w:pPr>
        <w:pStyle w:val="PRIMERAPLANA"/>
        <w:spacing w:line="360" w:lineRule="auto"/>
        <w:rPr>
          <w:rFonts w:ascii="Times New Roman" w:hAnsi="Times New Roman"/>
          <w:bCs/>
        </w:rPr>
      </w:pPr>
    </w:p>
    <w:p w14:paraId="471C284A" w14:textId="77777777" w:rsidR="005364CA" w:rsidRPr="00D64E13" w:rsidRDefault="005364CA" w:rsidP="005364CA">
      <w:pPr>
        <w:pStyle w:val="PRIMERAPLANA"/>
        <w:spacing w:line="360" w:lineRule="auto"/>
        <w:rPr>
          <w:rFonts w:ascii="Times New Roman" w:hAnsi="Times New Roman"/>
          <w:bCs/>
        </w:rPr>
      </w:pPr>
      <w:r>
        <w:rPr>
          <w:rFonts w:ascii="Times New Roman" w:hAnsi="Times New Roman"/>
          <w:bCs/>
        </w:rPr>
        <w:t>S</w:t>
      </w:r>
      <w:r w:rsidRPr="00D64E13">
        <w:rPr>
          <w:rFonts w:ascii="Times New Roman" w:hAnsi="Times New Roman"/>
          <w:bCs/>
        </w:rPr>
        <w:t>e estima que entre 2027 y 2031, la tasa promedio de crecimiento real del PIB se</w:t>
      </w:r>
      <w:r>
        <w:rPr>
          <w:rFonts w:ascii="Times New Roman" w:hAnsi="Times New Roman"/>
          <w:bCs/>
        </w:rPr>
        <w:t xml:space="preserve"> </w:t>
      </w:r>
      <w:r w:rsidRPr="00D64E13">
        <w:rPr>
          <w:rFonts w:ascii="Times New Roman" w:hAnsi="Times New Roman"/>
          <w:bCs/>
        </w:rPr>
        <w:t>ubicará en un rango entre 1.5</w:t>
      </w:r>
      <w:r>
        <w:rPr>
          <w:rFonts w:ascii="Times New Roman" w:hAnsi="Times New Roman"/>
          <w:bCs/>
        </w:rPr>
        <w:t>%</w:t>
      </w:r>
      <w:r w:rsidRPr="00D64E13">
        <w:rPr>
          <w:rFonts w:ascii="Times New Roman" w:hAnsi="Times New Roman"/>
          <w:bCs/>
        </w:rPr>
        <w:t xml:space="preserve"> y 2.5% anual. Estas proyecciones son consistentes con el incremento</w:t>
      </w:r>
      <w:r>
        <w:rPr>
          <w:rFonts w:ascii="Times New Roman" w:hAnsi="Times New Roman"/>
          <w:bCs/>
        </w:rPr>
        <w:t xml:space="preserve"> </w:t>
      </w:r>
      <w:r w:rsidRPr="00D64E13">
        <w:rPr>
          <w:rFonts w:ascii="Times New Roman" w:hAnsi="Times New Roman"/>
          <w:bCs/>
        </w:rPr>
        <w:t>previsto para el PIB potencial, cuyo cálculo se encuentra establecido en el art. 11-C del Reglamento de la</w:t>
      </w:r>
      <w:r>
        <w:rPr>
          <w:rFonts w:ascii="Times New Roman" w:hAnsi="Times New Roman"/>
          <w:bCs/>
        </w:rPr>
        <w:t xml:space="preserve"> </w:t>
      </w:r>
      <w:r w:rsidRPr="00D64E13">
        <w:rPr>
          <w:rFonts w:ascii="Times New Roman" w:hAnsi="Times New Roman"/>
          <w:bCs/>
        </w:rPr>
        <w:t>LFPRH.</w:t>
      </w:r>
      <w:r>
        <w:rPr>
          <w:rFonts w:ascii="Times New Roman" w:hAnsi="Times New Roman"/>
          <w:bCs/>
        </w:rPr>
        <w:t xml:space="preserve"> </w:t>
      </w:r>
      <w:r w:rsidRPr="00D64E13">
        <w:rPr>
          <w:rFonts w:ascii="Times New Roman" w:hAnsi="Times New Roman"/>
          <w:bCs/>
        </w:rPr>
        <w:t>Se pronostica que la inflación se ubicará en el intervalo de variabilidad establecido por el Banco de México</w:t>
      </w:r>
      <w:r>
        <w:rPr>
          <w:rFonts w:ascii="Times New Roman" w:hAnsi="Times New Roman"/>
          <w:bCs/>
        </w:rPr>
        <w:t xml:space="preserve"> </w:t>
      </w:r>
      <w:r w:rsidRPr="00D64E13">
        <w:rPr>
          <w:rFonts w:ascii="Times New Roman" w:hAnsi="Times New Roman"/>
          <w:bCs/>
        </w:rPr>
        <w:t>de 2.0</w:t>
      </w:r>
      <w:r>
        <w:rPr>
          <w:rFonts w:ascii="Times New Roman" w:hAnsi="Times New Roman"/>
          <w:bCs/>
        </w:rPr>
        <w:t>%</w:t>
      </w:r>
      <w:r w:rsidRPr="00D64E13">
        <w:rPr>
          <w:rFonts w:ascii="Times New Roman" w:hAnsi="Times New Roman"/>
          <w:bCs/>
        </w:rPr>
        <w:t xml:space="preserve"> a 4.0% anual, mientras que la tasa de Cetes a 28 días se estabilizará en un nivel de 5.5% a partir de</w:t>
      </w:r>
      <w:r>
        <w:rPr>
          <w:rFonts w:ascii="Times New Roman" w:hAnsi="Times New Roman"/>
          <w:bCs/>
        </w:rPr>
        <w:t xml:space="preserve"> </w:t>
      </w:r>
      <w:r w:rsidRPr="00D64E13">
        <w:rPr>
          <w:rFonts w:ascii="Times New Roman" w:hAnsi="Times New Roman"/>
          <w:bCs/>
        </w:rPr>
        <w:t xml:space="preserve">2027. </w:t>
      </w:r>
    </w:p>
    <w:p w14:paraId="1E427221" w14:textId="77777777" w:rsidR="005364CA" w:rsidRDefault="005364CA" w:rsidP="005364CA">
      <w:pPr>
        <w:pStyle w:val="PRIMERAPLANA"/>
        <w:spacing w:line="360" w:lineRule="auto"/>
        <w:rPr>
          <w:rFonts w:ascii="Times New Roman" w:hAnsi="Times New Roman"/>
          <w:bCs/>
        </w:rPr>
      </w:pPr>
    </w:p>
    <w:p w14:paraId="76212E42" w14:textId="77777777" w:rsidR="005364CA" w:rsidRPr="00D64E13" w:rsidRDefault="005364CA" w:rsidP="005364CA">
      <w:pPr>
        <w:pStyle w:val="PRIMERAPLANA"/>
        <w:spacing w:line="360" w:lineRule="auto"/>
        <w:rPr>
          <w:rFonts w:ascii="Times New Roman" w:hAnsi="Times New Roman"/>
          <w:bCs/>
        </w:rPr>
      </w:pPr>
      <w:r w:rsidRPr="00D64E13">
        <w:rPr>
          <w:rFonts w:ascii="Times New Roman" w:hAnsi="Times New Roman"/>
          <w:bCs/>
        </w:rPr>
        <w:t>La cuenta corriente de la balanza de pagos registrará un déficit promedio moderado de 0.4% del PIB entre</w:t>
      </w:r>
      <w:r>
        <w:rPr>
          <w:rFonts w:ascii="Times New Roman" w:hAnsi="Times New Roman"/>
          <w:bCs/>
        </w:rPr>
        <w:t xml:space="preserve"> </w:t>
      </w:r>
      <w:r w:rsidRPr="00D64E13">
        <w:rPr>
          <w:rFonts w:ascii="Times New Roman" w:hAnsi="Times New Roman"/>
          <w:bCs/>
        </w:rPr>
        <w:t>2027 y 2031. Este resultado estará determinado, principalmente, por el crecimiento de EE.UU., el cua</w:t>
      </w:r>
      <w:r>
        <w:rPr>
          <w:rFonts w:ascii="Times New Roman" w:hAnsi="Times New Roman"/>
          <w:bCs/>
        </w:rPr>
        <w:t xml:space="preserve">l </w:t>
      </w:r>
      <w:r w:rsidRPr="00D64E13">
        <w:rPr>
          <w:rFonts w:ascii="Times New Roman" w:hAnsi="Times New Roman"/>
          <w:bCs/>
        </w:rPr>
        <w:t>permitirá un incremento de las exportaciones de México y un flujo positivo de remesas provenientes de</w:t>
      </w:r>
      <w:r>
        <w:rPr>
          <w:rFonts w:ascii="Times New Roman" w:hAnsi="Times New Roman"/>
          <w:bCs/>
        </w:rPr>
        <w:t xml:space="preserve"> </w:t>
      </w:r>
      <w:r w:rsidRPr="00D64E13">
        <w:rPr>
          <w:rFonts w:ascii="Times New Roman" w:hAnsi="Times New Roman"/>
          <w:bCs/>
        </w:rPr>
        <w:t>los trabajadores de origen mexicano. La creciente entrada de IED permanecerá como una fuente</w:t>
      </w:r>
      <w:r>
        <w:rPr>
          <w:rFonts w:ascii="Times New Roman" w:hAnsi="Times New Roman"/>
          <w:bCs/>
        </w:rPr>
        <w:t xml:space="preserve"> </w:t>
      </w:r>
      <w:r w:rsidRPr="00D64E13">
        <w:rPr>
          <w:rFonts w:ascii="Times New Roman" w:hAnsi="Times New Roman"/>
          <w:bCs/>
        </w:rPr>
        <w:t>importante de financiamiento de la cuenta corriente en el mediano plazo. Por lo anterior, el tipo de cambio</w:t>
      </w:r>
      <w:r>
        <w:rPr>
          <w:rFonts w:ascii="Times New Roman" w:hAnsi="Times New Roman"/>
          <w:bCs/>
        </w:rPr>
        <w:t xml:space="preserve"> </w:t>
      </w:r>
      <w:r w:rsidRPr="00D64E13">
        <w:rPr>
          <w:rFonts w:ascii="Times New Roman" w:hAnsi="Times New Roman"/>
          <w:bCs/>
        </w:rPr>
        <w:t>se mantendrá estable alrededor de 18.3 pesos por dólar.</w:t>
      </w:r>
    </w:p>
    <w:p w14:paraId="71F884BF" w14:textId="77777777" w:rsidR="005364CA" w:rsidRDefault="005364CA" w:rsidP="005364CA">
      <w:pPr>
        <w:pStyle w:val="PRIMERAPLANA"/>
        <w:spacing w:line="360" w:lineRule="auto"/>
        <w:rPr>
          <w:rFonts w:ascii="Times New Roman" w:hAnsi="Times New Roman"/>
          <w:bCs/>
        </w:rPr>
      </w:pPr>
    </w:p>
    <w:p w14:paraId="66098D71" w14:textId="77777777" w:rsidR="005364CA" w:rsidRPr="00D64E13" w:rsidRDefault="005364CA" w:rsidP="005364CA">
      <w:pPr>
        <w:pStyle w:val="PRIMERAPLANA"/>
        <w:spacing w:line="360" w:lineRule="auto"/>
        <w:rPr>
          <w:rFonts w:ascii="Times New Roman" w:hAnsi="Times New Roman"/>
          <w:bCs/>
        </w:rPr>
      </w:pPr>
      <w:r w:rsidRPr="00D64E13">
        <w:rPr>
          <w:rFonts w:ascii="Times New Roman" w:hAnsi="Times New Roman"/>
          <w:bCs/>
        </w:rPr>
        <w:t>Respecto a los indicadores petroleros, se prevé un precio promedio de 60.2 dpb, en línea con la curva de</w:t>
      </w:r>
      <w:r>
        <w:rPr>
          <w:rFonts w:ascii="Times New Roman" w:hAnsi="Times New Roman"/>
          <w:bCs/>
        </w:rPr>
        <w:t xml:space="preserve"> </w:t>
      </w:r>
      <w:r w:rsidRPr="00D64E13">
        <w:rPr>
          <w:rFonts w:ascii="Times New Roman" w:hAnsi="Times New Roman"/>
          <w:bCs/>
        </w:rPr>
        <w:t>futuros. A la par, se estima que la plataforma de producción de crudo se mantendrá en torno al objetivo</w:t>
      </w:r>
      <w:r>
        <w:rPr>
          <w:rFonts w:ascii="Times New Roman" w:hAnsi="Times New Roman"/>
          <w:bCs/>
        </w:rPr>
        <w:t xml:space="preserve"> </w:t>
      </w:r>
      <w:r w:rsidRPr="00D64E13">
        <w:rPr>
          <w:rFonts w:ascii="Times New Roman" w:hAnsi="Times New Roman"/>
          <w:bCs/>
        </w:rPr>
        <w:t xml:space="preserve">de 1.8 </w:t>
      </w:r>
      <w:proofErr w:type="spellStart"/>
      <w:r w:rsidRPr="00D64E13">
        <w:rPr>
          <w:rFonts w:ascii="Times New Roman" w:hAnsi="Times New Roman"/>
          <w:bCs/>
        </w:rPr>
        <w:t>Mbd</w:t>
      </w:r>
      <w:proofErr w:type="spellEnd"/>
      <w:r w:rsidRPr="00D64E13">
        <w:rPr>
          <w:rFonts w:ascii="Times New Roman" w:hAnsi="Times New Roman"/>
          <w:bCs/>
        </w:rPr>
        <w:t>, respaldada por el Plan Estratégico 2025-2035 de Pemex y la creciente producción de</w:t>
      </w:r>
      <w:r>
        <w:rPr>
          <w:rFonts w:ascii="Times New Roman" w:hAnsi="Times New Roman"/>
          <w:bCs/>
        </w:rPr>
        <w:t xml:space="preserve"> </w:t>
      </w:r>
      <w:r w:rsidRPr="00D64E13">
        <w:rPr>
          <w:rFonts w:ascii="Times New Roman" w:hAnsi="Times New Roman"/>
          <w:bCs/>
        </w:rPr>
        <w:t>proyectos mixtos y privados.</w:t>
      </w:r>
      <w:r>
        <w:rPr>
          <w:rFonts w:ascii="Times New Roman" w:hAnsi="Times New Roman"/>
          <w:bCs/>
        </w:rPr>
        <w:t xml:space="preserve"> </w:t>
      </w:r>
      <w:r w:rsidRPr="00D64E13">
        <w:rPr>
          <w:rFonts w:ascii="Times New Roman" w:hAnsi="Times New Roman"/>
          <w:bCs/>
        </w:rPr>
        <w:t>En el ámbito internacional, se prevé un crecimiento de la economía de EE.UU. de 2.0% anual en promedio</w:t>
      </w:r>
      <w:r>
        <w:rPr>
          <w:rFonts w:ascii="Times New Roman" w:hAnsi="Times New Roman"/>
          <w:bCs/>
        </w:rPr>
        <w:t xml:space="preserve"> </w:t>
      </w:r>
      <w:r w:rsidRPr="00D64E13">
        <w:rPr>
          <w:rFonts w:ascii="Times New Roman" w:hAnsi="Times New Roman"/>
          <w:bCs/>
        </w:rPr>
        <w:t>entre 2027 y 2031, y de la producción industrial de 2.2% anual en el mismo periodo, lo que contribuirá a</w:t>
      </w:r>
      <w:r>
        <w:rPr>
          <w:rFonts w:ascii="Times New Roman" w:hAnsi="Times New Roman"/>
          <w:bCs/>
        </w:rPr>
        <w:t xml:space="preserve"> </w:t>
      </w:r>
      <w:r w:rsidRPr="00D64E13">
        <w:rPr>
          <w:rFonts w:ascii="Times New Roman" w:hAnsi="Times New Roman"/>
          <w:bCs/>
        </w:rPr>
        <w:t xml:space="preserve">sostener la demanda externa. </w:t>
      </w:r>
    </w:p>
    <w:p w14:paraId="17842436" w14:textId="77777777" w:rsidR="005364CA" w:rsidRDefault="005364CA" w:rsidP="005364CA">
      <w:pPr>
        <w:pStyle w:val="PRIMERAPLANA"/>
        <w:spacing w:line="360" w:lineRule="auto"/>
        <w:rPr>
          <w:rFonts w:ascii="Times New Roman" w:hAnsi="Times New Roman"/>
          <w:bCs/>
        </w:rPr>
      </w:pPr>
    </w:p>
    <w:p w14:paraId="436DDE45" w14:textId="77777777" w:rsidR="005364CA" w:rsidRDefault="005364CA" w:rsidP="005364CA">
      <w:pPr>
        <w:pStyle w:val="PRIMERAPLANA"/>
        <w:spacing w:line="360" w:lineRule="auto"/>
        <w:rPr>
          <w:rFonts w:ascii="Times New Roman" w:hAnsi="Times New Roman"/>
          <w:bCs/>
        </w:rPr>
      </w:pPr>
      <w:r w:rsidRPr="00D64E13">
        <w:rPr>
          <w:rFonts w:ascii="Times New Roman" w:hAnsi="Times New Roman"/>
          <w:bCs/>
        </w:rPr>
        <w:t>El marco macroeconómico descrito se encuentra sujeto a diversos riesgos que podrían modificar las</w:t>
      </w:r>
      <w:r>
        <w:rPr>
          <w:rFonts w:ascii="Times New Roman" w:hAnsi="Times New Roman"/>
          <w:bCs/>
        </w:rPr>
        <w:t xml:space="preserve"> </w:t>
      </w:r>
      <w:r w:rsidRPr="00D64E13">
        <w:rPr>
          <w:rFonts w:ascii="Times New Roman" w:hAnsi="Times New Roman"/>
          <w:bCs/>
        </w:rPr>
        <w:t>trayectorias estimadas, los cuales se presentan a continuación:</w:t>
      </w:r>
    </w:p>
    <w:p w14:paraId="68F4CED0" w14:textId="77777777" w:rsidR="005364CA" w:rsidRDefault="005364CA" w:rsidP="005364CA">
      <w:pPr>
        <w:pStyle w:val="PRIMERAPLANA"/>
        <w:spacing w:line="360" w:lineRule="auto"/>
        <w:rPr>
          <w:rFonts w:ascii="Times New Roman" w:hAnsi="Times New Roman"/>
          <w:bCs/>
        </w:rPr>
      </w:pPr>
    </w:p>
    <w:p w14:paraId="48D2A049" w14:textId="77777777" w:rsidR="00F34DCB" w:rsidRDefault="00F34DCB" w:rsidP="005364CA">
      <w:pPr>
        <w:pStyle w:val="PRIMERAPLANA"/>
        <w:spacing w:line="360" w:lineRule="auto"/>
        <w:rPr>
          <w:rFonts w:ascii="Times New Roman" w:hAnsi="Times New Roman"/>
          <w:bCs/>
        </w:rPr>
      </w:pPr>
    </w:p>
    <w:p w14:paraId="089F3892" w14:textId="77777777" w:rsidR="00F34DCB" w:rsidRDefault="00F34DCB" w:rsidP="005364CA">
      <w:pPr>
        <w:pStyle w:val="PRIMERAPLANA"/>
        <w:spacing w:line="360" w:lineRule="auto"/>
        <w:rPr>
          <w:rFonts w:ascii="Times New Roman" w:hAnsi="Times New Roman"/>
          <w:bCs/>
        </w:rPr>
      </w:pPr>
    </w:p>
    <w:p w14:paraId="12AEE1EC" w14:textId="77777777" w:rsidR="005364CA" w:rsidRDefault="005364CA" w:rsidP="005364CA">
      <w:pPr>
        <w:pStyle w:val="PRIMERAPLANA"/>
        <w:spacing w:line="360" w:lineRule="auto"/>
        <w:rPr>
          <w:rFonts w:ascii="Times New Roman" w:hAnsi="Times New Roman"/>
          <w:b/>
        </w:rPr>
      </w:pPr>
      <w:r w:rsidRPr="00D64E13">
        <w:rPr>
          <w:rFonts w:ascii="Times New Roman" w:hAnsi="Times New Roman"/>
          <w:b/>
        </w:rPr>
        <w:lastRenderedPageBreak/>
        <w:t xml:space="preserve">Riesgos a la baja </w:t>
      </w:r>
    </w:p>
    <w:p w14:paraId="5A1DE4D6" w14:textId="77777777" w:rsidR="005364CA" w:rsidRPr="00D64E13" w:rsidRDefault="005364CA" w:rsidP="005364CA">
      <w:pPr>
        <w:pStyle w:val="PRIMERAPLANA"/>
        <w:spacing w:line="360" w:lineRule="auto"/>
        <w:rPr>
          <w:rFonts w:ascii="Times New Roman" w:hAnsi="Times New Roman"/>
          <w:b/>
        </w:rPr>
      </w:pPr>
    </w:p>
    <w:p w14:paraId="47E0D83C" w14:textId="25698537" w:rsidR="005364CA" w:rsidRDefault="005364CA" w:rsidP="005364CA">
      <w:pPr>
        <w:pStyle w:val="PRIMERAPLANA"/>
        <w:numPr>
          <w:ilvl w:val="0"/>
          <w:numId w:val="23"/>
        </w:numPr>
        <w:spacing w:line="360" w:lineRule="auto"/>
        <w:ind w:left="426" w:hanging="426"/>
        <w:rPr>
          <w:rFonts w:ascii="Times New Roman" w:hAnsi="Times New Roman"/>
          <w:bCs/>
        </w:rPr>
      </w:pPr>
      <w:r w:rsidRPr="00D64E13">
        <w:rPr>
          <w:rFonts w:ascii="Times New Roman" w:hAnsi="Times New Roman"/>
          <w:bCs/>
        </w:rPr>
        <w:t>Persistencia o intensificación de la incertidumbre en la política económica internacional, con efectos permanentes sobre la planta exportadora nacional y sobre los principales proveedores de insumos</w:t>
      </w:r>
      <w:r w:rsidR="00B67400">
        <w:rPr>
          <w:rFonts w:ascii="Times New Roman" w:hAnsi="Times New Roman"/>
          <w:bCs/>
        </w:rPr>
        <w:t>.</w:t>
      </w:r>
    </w:p>
    <w:p w14:paraId="12A0D09D" w14:textId="77777777" w:rsidR="00B67400" w:rsidRDefault="00B67400" w:rsidP="00B67400">
      <w:pPr>
        <w:pStyle w:val="PRIMERAPLANA"/>
        <w:spacing w:line="360" w:lineRule="auto"/>
        <w:ind w:left="426"/>
        <w:rPr>
          <w:rFonts w:ascii="Times New Roman" w:hAnsi="Times New Roman"/>
          <w:bCs/>
        </w:rPr>
      </w:pPr>
    </w:p>
    <w:p w14:paraId="44650FE4" w14:textId="77777777" w:rsidR="005364CA" w:rsidRDefault="005364CA" w:rsidP="005364CA">
      <w:pPr>
        <w:pStyle w:val="PRIMERAPLANA"/>
        <w:numPr>
          <w:ilvl w:val="0"/>
          <w:numId w:val="23"/>
        </w:numPr>
        <w:spacing w:line="360" w:lineRule="auto"/>
        <w:ind w:left="426" w:hanging="426"/>
        <w:rPr>
          <w:rFonts w:ascii="Times New Roman" w:hAnsi="Times New Roman"/>
          <w:bCs/>
        </w:rPr>
      </w:pPr>
      <w:r w:rsidRPr="00D64E13">
        <w:rPr>
          <w:rFonts w:ascii="Times New Roman" w:hAnsi="Times New Roman"/>
          <w:bCs/>
        </w:rPr>
        <w:t>Cambios estructurales en la política comercial internacional que reducirían el comercio global y limiten el acceso de las exportaciones mexicanas a distintos mercados.</w:t>
      </w:r>
    </w:p>
    <w:p w14:paraId="5F9F85E5" w14:textId="77777777" w:rsidR="00BB00D6" w:rsidRDefault="00BB00D6" w:rsidP="00BB00D6">
      <w:pPr>
        <w:pStyle w:val="PRIMERAPLANA"/>
        <w:spacing w:line="360" w:lineRule="auto"/>
        <w:ind w:left="426"/>
        <w:rPr>
          <w:rFonts w:ascii="Times New Roman" w:hAnsi="Times New Roman"/>
          <w:bCs/>
        </w:rPr>
      </w:pPr>
    </w:p>
    <w:p w14:paraId="75BA72BD" w14:textId="77777777" w:rsidR="005364CA" w:rsidRDefault="005364CA" w:rsidP="005364CA">
      <w:pPr>
        <w:pStyle w:val="PRIMERAPLANA"/>
        <w:numPr>
          <w:ilvl w:val="0"/>
          <w:numId w:val="23"/>
        </w:numPr>
        <w:spacing w:line="360" w:lineRule="auto"/>
        <w:ind w:left="426" w:hanging="426"/>
        <w:rPr>
          <w:rFonts w:ascii="Times New Roman" w:hAnsi="Times New Roman"/>
          <w:bCs/>
        </w:rPr>
      </w:pPr>
      <w:r w:rsidRPr="00D64E13">
        <w:rPr>
          <w:rFonts w:ascii="Times New Roman" w:hAnsi="Times New Roman"/>
          <w:bCs/>
        </w:rPr>
        <w:t xml:space="preserve">Mayor frecuencia e intensidad de fenómenos climáticos extremos, con impactos negativos en las actividades agrícolas, manufactureras, sobre la infraestructura y en otros sectores productivos. </w:t>
      </w:r>
    </w:p>
    <w:p w14:paraId="644B17A5" w14:textId="77777777" w:rsidR="00B67400" w:rsidRDefault="00B67400" w:rsidP="00B67400">
      <w:pPr>
        <w:pStyle w:val="PRIMERAPLANA"/>
        <w:spacing w:line="360" w:lineRule="auto"/>
        <w:ind w:left="426"/>
        <w:rPr>
          <w:rFonts w:ascii="Times New Roman" w:hAnsi="Times New Roman"/>
          <w:bCs/>
        </w:rPr>
      </w:pPr>
    </w:p>
    <w:p w14:paraId="3E82C0B0" w14:textId="77777777" w:rsidR="005364CA" w:rsidRDefault="005364CA" w:rsidP="005364CA">
      <w:pPr>
        <w:pStyle w:val="PRIMERAPLANA"/>
        <w:numPr>
          <w:ilvl w:val="0"/>
          <w:numId w:val="23"/>
        </w:numPr>
        <w:spacing w:line="360" w:lineRule="auto"/>
        <w:ind w:left="426" w:hanging="426"/>
        <w:rPr>
          <w:rFonts w:ascii="Times New Roman" w:hAnsi="Times New Roman"/>
          <w:bCs/>
        </w:rPr>
      </w:pPr>
      <w:r w:rsidRPr="00D64E13">
        <w:rPr>
          <w:rFonts w:ascii="Times New Roman" w:hAnsi="Times New Roman"/>
          <w:bCs/>
        </w:rPr>
        <w:t>Inestabilidad en el sistema financiero internacional debido a elevados niveles de endeudamiento en economías avanzadas, con posibles efectos de encarecimiento del financiamiento externo y menor atracción de flujos de inversión hacia economías</w:t>
      </w:r>
      <w:r>
        <w:rPr>
          <w:rFonts w:ascii="Times New Roman" w:hAnsi="Times New Roman"/>
          <w:bCs/>
        </w:rPr>
        <w:t xml:space="preserve"> </w:t>
      </w:r>
      <w:r w:rsidRPr="00D64E13">
        <w:rPr>
          <w:rFonts w:ascii="Times New Roman" w:hAnsi="Times New Roman"/>
          <w:bCs/>
        </w:rPr>
        <w:t>emergentes como México.</w:t>
      </w:r>
    </w:p>
    <w:p w14:paraId="3926FB33" w14:textId="77777777" w:rsidR="005364CA" w:rsidRPr="00EF27B2" w:rsidRDefault="005364CA" w:rsidP="005364CA">
      <w:pPr>
        <w:rPr>
          <w:bCs/>
        </w:rPr>
      </w:pPr>
    </w:p>
    <w:p w14:paraId="277FB682" w14:textId="77777777" w:rsidR="005364CA" w:rsidRPr="00D64E13" w:rsidRDefault="005364CA" w:rsidP="005364CA">
      <w:pPr>
        <w:pStyle w:val="PRIMERAPLANA"/>
        <w:spacing w:line="360" w:lineRule="auto"/>
        <w:rPr>
          <w:rFonts w:ascii="Times New Roman" w:hAnsi="Times New Roman"/>
          <w:b/>
        </w:rPr>
      </w:pPr>
      <w:r w:rsidRPr="00D64E13">
        <w:rPr>
          <w:rFonts w:ascii="Times New Roman" w:hAnsi="Times New Roman"/>
          <w:b/>
        </w:rPr>
        <w:t xml:space="preserve">Riesgos al alza </w:t>
      </w:r>
    </w:p>
    <w:p w14:paraId="6989710A" w14:textId="77777777" w:rsidR="005364CA" w:rsidRDefault="005364CA" w:rsidP="005364CA">
      <w:pPr>
        <w:pStyle w:val="PRIMERAPLANA"/>
        <w:spacing w:line="360" w:lineRule="auto"/>
        <w:rPr>
          <w:rFonts w:ascii="Times New Roman" w:hAnsi="Times New Roman"/>
          <w:bCs/>
        </w:rPr>
      </w:pPr>
    </w:p>
    <w:p w14:paraId="58C28857" w14:textId="77777777" w:rsidR="005364CA" w:rsidRDefault="005364CA" w:rsidP="005364CA">
      <w:pPr>
        <w:pStyle w:val="PRIMERAPLANA"/>
        <w:numPr>
          <w:ilvl w:val="0"/>
          <w:numId w:val="23"/>
        </w:numPr>
        <w:spacing w:line="360" w:lineRule="auto"/>
        <w:ind w:left="426" w:hanging="426"/>
        <w:rPr>
          <w:rFonts w:ascii="Times New Roman" w:hAnsi="Times New Roman"/>
          <w:bCs/>
        </w:rPr>
      </w:pPr>
      <w:r w:rsidRPr="00D64E13">
        <w:rPr>
          <w:rFonts w:ascii="Times New Roman" w:hAnsi="Times New Roman"/>
          <w:bCs/>
        </w:rPr>
        <w:t xml:space="preserve">Fortalecimiento de las relaciones comerciales entre México y sus principales socios a partir de la modernización del T-MEC, con reglas adaptadas a la creciente regionalización de la producción, lo que impulsaría el comercio y la atracción de inversión hacia el país. </w:t>
      </w:r>
    </w:p>
    <w:p w14:paraId="7025C32A" w14:textId="77777777" w:rsidR="00B67400" w:rsidRDefault="00B67400" w:rsidP="00B67400">
      <w:pPr>
        <w:pStyle w:val="PRIMERAPLANA"/>
        <w:spacing w:line="360" w:lineRule="auto"/>
        <w:ind w:left="426"/>
        <w:rPr>
          <w:rFonts w:ascii="Times New Roman" w:hAnsi="Times New Roman"/>
          <w:bCs/>
        </w:rPr>
      </w:pPr>
    </w:p>
    <w:p w14:paraId="66805F9D" w14:textId="2FF253B6" w:rsidR="005364CA" w:rsidRPr="00B67400" w:rsidRDefault="005364CA" w:rsidP="00D20BA6">
      <w:pPr>
        <w:pStyle w:val="PRIMERAPLANA"/>
        <w:numPr>
          <w:ilvl w:val="0"/>
          <w:numId w:val="23"/>
        </w:numPr>
        <w:spacing w:line="360" w:lineRule="auto"/>
        <w:ind w:left="426" w:hanging="426"/>
        <w:rPr>
          <w:bCs/>
        </w:rPr>
      </w:pPr>
      <w:r w:rsidRPr="005364CA">
        <w:rPr>
          <w:rFonts w:ascii="Times New Roman" w:hAnsi="Times New Roman"/>
          <w:bCs/>
        </w:rPr>
        <w:t xml:space="preserve">Efectos superiores a lo esperado de la inversión en infraestructura y los incentivos fiscales en el sur del país, que acelerarían la convergencia regional con un impulso adicional al crecimiento económico en el mediano plazo. </w:t>
      </w:r>
    </w:p>
    <w:p w14:paraId="3598ABF7" w14:textId="77777777" w:rsidR="00B67400" w:rsidRPr="005364CA" w:rsidRDefault="00B67400" w:rsidP="00B67400">
      <w:pPr>
        <w:pStyle w:val="PRIMERAPLANA"/>
        <w:spacing w:line="360" w:lineRule="auto"/>
        <w:rPr>
          <w:bCs/>
        </w:rPr>
      </w:pPr>
    </w:p>
    <w:p w14:paraId="65E0E944" w14:textId="77777777" w:rsidR="005364CA" w:rsidRDefault="005364CA" w:rsidP="005364CA">
      <w:pPr>
        <w:pStyle w:val="PRIMERAPLANA"/>
        <w:numPr>
          <w:ilvl w:val="0"/>
          <w:numId w:val="23"/>
        </w:numPr>
        <w:spacing w:line="360" w:lineRule="auto"/>
        <w:ind w:left="426" w:hanging="426"/>
        <w:rPr>
          <w:rFonts w:ascii="Times New Roman" w:hAnsi="Times New Roman"/>
          <w:bCs/>
        </w:rPr>
      </w:pPr>
      <w:r w:rsidRPr="00D64E13">
        <w:rPr>
          <w:rFonts w:ascii="Times New Roman" w:hAnsi="Times New Roman"/>
          <w:bCs/>
        </w:rPr>
        <w:t xml:space="preserve">Aceleración en la adopción de tecnologías vinculadas con la inteligencia artificial con efectos permanentes sobre la productividad nacional. </w:t>
      </w:r>
    </w:p>
    <w:p w14:paraId="0061D0BD" w14:textId="77777777" w:rsidR="005364CA" w:rsidRDefault="005364CA" w:rsidP="005364CA">
      <w:pPr>
        <w:pStyle w:val="Prrafodelista"/>
        <w:ind w:left="426" w:hanging="426"/>
        <w:rPr>
          <w:bCs/>
        </w:rPr>
      </w:pPr>
    </w:p>
    <w:p w14:paraId="3DE0A2AA" w14:textId="43919FE0" w:rsidR="00E030C7" w:rsidRDefault="005364CA" w:rsidP="00AB2517">
      <w:pPr>
        <w:pStyle w:val="PRIMERAPLANA"/>
        <w:numPr>
          <w:ilvl w:val="0"/>
          <w:numId w:val="23"/>
        </w:numPr>
        <w:spacing w:line="360" w:lineRule="auto"/>
        <w:ind w:left="426" w:hanging="426"/>
        <w:rPr>
          <w:rFonts w:ascii="Times New Roman" w:hAnsi="Times New Roman"/>
          <w:bCs/>
          <w:lang w:val="es-MX"/>
        </w:rPr>
      </w:pPr>
      <w:r w:rsidRPr="00D64E13">
        <w:rPr>
          <w:rFonts w:ascii="Times New Roman" w:hAnsi="Times New Roman"/>
          <w:bCs/>
        </w:rPr>
        <w:t>Transformación de los procesos industriales y tecnificación del campo para la adaptación al cambio climático, y un uso más eficiente del agua, lo que incrementaría la resiliencia de la economía a eventos</w:t>
      </w:r>
      <w:r>
        <w:rPr>
          <w:rFonts w:ascii="Times New Roman" w:hAnsi="Times New Roman"/>
          <w:bCs/>
        </w:rPr>
        <w:t xml:space="preserve"> </w:t>
      </w:r>
      <w:r w:rsidRPr="00D64E13">
        <w:rPr>
          <w:rFonts w:ascii="Times New Roman" w:hAnsi="Times New Roman"/>
          <w:bCs/>
          <w:lang w:val="es-MX"/>
        </w:rPr>
        <w:t>climáticos adversos</w:t>
      </w:r>
      <w:r w:rsidR="00E030C7" w:rsidRPr="00CE2445">
        <w:rPr>
          <w:rFonts w:ascii="Times New Roman" w:hAnsi="Times New Roman"/>
          <w:bCs/>
          <w:lang w:val="es-MX"/>
        </w:rPr>
        <w:t>.</w:t>
      </w:r>
    </w:p>
    <w:p w14:paraId="3353A67F" w14:textId="77777777" w:rsidR="00F34DCB" w:rsidRPr="00CE2445" w:rsidRDefault="00F34DCB" w:rsidP="005364CA">
      <w:pPr>
        <w:pStyle w:val="PRIMERAPLANA"/>
        <w:spacing w:line="360" w:lineRule="auto"/>
        <w:rPr>
          <w:rFonts w:ascii="Times New Roman" w:hAnsi="Times New Roman"/>
          <w:bCs/>
          <w:lang w:val="es-MX"/>
        </w:rPr>
      </w:pPr>
    </w:p>
    <w:tbl>
      <w:tblPr>
        <w:tblW w:w="8537" w:type="dxa"/>
        <w:jc w:val="center"/>
        <w:tblCellMar>
          <w:left w:w="70" w:type="dxa"/>
          <w:right w:w="70" w:type="dxa"/>
        </w:tblCellMar>
        <w:tblLook w:val="04A0" w:firstRow="1" w:lastRow="0" w:firstColumn="1" w:lastColumn="0" w:noHBand="0" w:noVBand="1"/>
      </w:tblPr>
      <w:tblGrid>
        <w:gridCol w:w="2268"/>
        <w:gridCol w:w="748"/>
        <w:gridCol w:w="903"/>
        <w:gridCol w:w="759"/>
        <w:gridCol w:w="851"/>
        <w:gridCol w:w="752"/>
        <w:gridCol w:w="752"/>
        <w:gridCol w:w="752"/>
        <w:gridCol w:w="705"/>
        <w:gridCol w:w="47"/>
      </w:tblGrid>
      <w:tr w:rsidR="005364CA" w:rsidRPr="00DC4844" w14:paraId="3738890D" w14:textId="77777777" w:rsidTr="00F34DCB">
        <w:trPr>
          <w:gridAfter w:val="1"/>
          <w:wAfter w:w="47" w:type="dxa"/>
          <w:trHeight w:val="284"/>
          <w:tblHeader/>
          <w:jc w:val="center"/>
        </w:trPr>
        <w:tc>
          <w:tcPr>
            <w:tcW w:w="8490" w:type="dxa"/>
            <w:gridSpan w:val="9"/>
            <w:tcBorders>
              <w:top w:val="nil"/>
              <w:left w:val="nil"/>
              <w:bottom w:val="nil"/>
              <w:right w:val="nil"/>
            </w:tcBorders>
          </w:tcPr>
          <w:p w14:paraId="01F8C9FE" w14:textId="77777777" w:rsidR="005364CA" w:rsidRPr="00DC4844" w:rsidRDefault="005364CA" w:rsidP="00AC3862">
            <w:pPr>
              <w:jc w:val="center"/>
              <w:rPr>
                <w:b/>
                <w:bCs/>
                <w:color w:val="000000"/>
                <w:sz w:val="20"/>
                <w:szCs w:val="20"/>
              </w:rPr>
            </w:pPr>
            <w:r w:rsidRPr="00DC4844">
              <w:rPr>
                <w:b/>
                <w:bCs/>
                <w:color w:val="000000"/>
                <w:sz w:val="20"/>
                <w:szCs w:val="20"/>
              </w:rPr>
              <w:lastRenderedPageBreak/>
              <w:t>Marco Macroeconómico 202</w:t>
            </w:r>
            <w:r>
              <w:rPr>
                <w:b/>
                <w:bCs/>
                <w:color w:val="000000"/>
                <w:sz w:val="20"/>
                <w:szCs w:val="20"/>
              </w:rPr>
              <w:t>4</w:t>
            </w:r>
            <w:r w:rsidRPr="00DC4844">
              <w:rPr>
                <w:b/>
                <w:bCs/>
                <w:color w:val="000000"/>
                <w:sz w:val="20"/>
                <w:szCs w:val="20"/>
              </w:rPr>
              <w:t>-20</w:t>
            </w:r>
            <w:r>
              <w:rPr>
                <w:b/>
                <w:bCs/>
                <w:color w:val="000000"/>
                <w:sz w:val="20"/>
                <w:szCs w:val="20"/>
              </w:rPr>
              <w:t>31</w:t>
            </w:r>
          </w:p>
          <w:p w14:paraId="4069D5B6" w14:textId="77777777" w:rsidR="005364CA" w:rsidRPr="00DC4844" w:rsidRDefault="005364CA" w:rsidP="00AC3862">
            <w:pPr>
              <w:jc w:val="center"/>
              <w:rPr>
                <w:b/>
                <w:bCs/>
                <w:color w:val="000000"/>
                <w:sz w:val="20"/>
                <w:szCs w:val="20"/>
                <w:lang w:eastAsia="es-MX"/>
              </w:rPr>
            </w:pPr>
            <w:r w:rsidRPr="00DC4844">
              <w:rPr>
                <w:b/>
                <w:bCs/>
                <w:color w:val="000000"/>
                <w:sz w:val="20"/>
                <w:szCs w:val="20"/>
              </w:rPr>
              <w:t>(Cifras estimadas)</w:t>
            </w:r>
          </w:p>
        </w:tc>
      </w:tr>
      <w:tr w:rsidR="005364CA" w:rsidRPr="00DC4844" w14:paraId="276B8400" w14:textId="77777777" w:rsidTr="00F34DCB">
        <w:trPr>
          <w:trHeight w:val="300"/>
          <w:tblHeader/>
          <w:jc w:val="center"/>
        </w:trPr>
        <w:tc>
          <w:tcPr>
            <w:tcW w:w="2268" w:type="dxa"/>
            <w:tcBorders>
              <w:top w:val="single" w:sz="4" w:space="0" w:color="auto"/>
              <w:left w:val="nil"/>
              <w:bottom w:val="single" w:sz="4" w:space="0" w:color="auto"/>
              <w:right w:val="nil"/>
            </w:tcBorders>
            <w:shd w:val="clear" w:color="auto" w:fill="E4C776"/>
            <w:noWrap/>
            <w:vAlign w:val="center"/>
            <w:hideMark/>
          </w:tcPr>
          <w:p w14:paraId="0EEE91B7" w14:textId="77777777" w:rsidR="005364CA" w:rsidRPr="00DC4844" w:rsidRDefault="005364CA" w:rsidP="00AC3862">
            <w:pPr>
              <w:rPr>
                <w:color w:val="000000"/>
                <w:sz w:val="12"/>
                <w:szCs w:val="12"/>
              </w:rPr>
            </w:pPr>
            <w:r w:rsidRPr="00DC4844">
              <w:rPr>
                <w:color w:val="000000"/>
                <w:sz w:val="12"/>
                <w:szCs w:val="12"/>
              </w:rPr>
              <w:t xml:space="preserve">  </w:t>
            </w:r>
          </w:p>
        </w:tc>
        <w:tc>
          <w:tcPr>
            <w:tcW w:w="748" w:type="dxa"/>
            <w:tcBorders>
              <w:top w:val="single" w:sz="4" w:space="0" w:color="auto"/>
              <w:left w:val="nil"/>
              <w:bottom w:val="single" w:sz="4" w:space="0" w:color="auto"/>
            </w:tcBorders>
            <w:shd w:val="clear" w:color="auto" w:fill="E4C776"/>
            <w:noWrap/>
            <w:vAlign w:val="center"/>
            <w:hideMark/>
          </w:tcPr>
          <w:p w14:paraId="7158D2B9" w14:textId="77777777" w:rsidR="005364CA" w:rsidRPr="00DC4844" w:rsidRDefault="005364CA" w:rsidP="00AC3862">
            <w:pPr>
              <w:jc w:val="center"/>
              <w:rPr>
                <w:b/>
                <w:bCs/>
                <w:color w:val="740000"/>
                <w:sz w:val="12"/>
                <w:szCs w:val="12"/>
              </w:rPr>
            </w:pPr>
            <w:r w:rsidRPr="00DC4844">
              <w:rPr>
                <w:b/>
                <w:bCs/>
                <w:color w:val="740000"/>
                <w:sz w:val="12"/>
                <w:szCs w:val="12"/>
              </w:rPr>
              <w:t>2024*</w:t>
            </w:r>
          </w:p>
        </w:tc>
        <w:tc>
          <w:tcPr>
            <w:tcW w:w="903" w:type="dxa"/>
            <w:tcBorders>
              <w:top w:val="single" w:sz="4" w:space="0" w:color="auto"/>
              <w:bottom w:val="single" w:sz="4" w:space="0" w:color="auto"/>
              <w:right w:val="nil"/>
            </w:tcBorders>
            <w:shd w:val="clear" w:color="auto" w:fill="E4C776"/>
            <w:vAlign w:val="center"/>
          </w:tcPr>
          <w:p w14:paraId="7798FAB7" w14:textId="77777777" w:rsidR="005364CA" w:rsidRPr="00DC4844" w:rsidRDefault="005364CA" w:rsidP="00AC3862">
            <w:pPr>
              <w:jc w:val="center"/>
              <w:rPr>
                <w:b/>
                <w:bCs/>
                <w:color w:val="740000"/>
                <w:sz w:val="12"/>
                <w:szCs w:val="12"/>
              </w:rPr>
            </w:pPr>
            <w:r w:rsidRPr="00DC4844">
              <w:rPr>
                <w:b/>
                <w:bCs/>
                <w:color w:val="740000"/>
                <w:sz w:val="12"/>
                <w:szCs w:val="12"/>
              </w:rPr>
              <w:t>2025</w:t>
            </w:r>
          </w:p>
        </w:tc>
        <w:tc>
          <w:tcPr>
            <w:tcW w:w="759" w:type="dxa"/>
            <w:tcBorders>
              <w:top w:val="single" w:sz="4" w:space="0" w:color="auto"/>
              <w:bottom w:val="single" w:sz="4" w:space="0" w:color="auto"/>
              <w:right w:val="nil"/>
            </w:tcBorders>
            <w:shd w:val="clear" w:color="auto" w:fill="E4C776"/>
            <w:vAlign w:val="center"/>
          </w:tcPr>
          <w:p w14:paraId="42D733E5" w14:textId="77777777" w:rsidR="005364CA" w:rsidRPr="00DC4844" w:rsidRDefault="005364CA" w:rsidP="00AC3862">
            <w:pPr>
              <w:jc w:val="center"/>
              <w:rPr>
                <w:b/>
                <w:bCs/>
                <w:color w:val="740000"/>
                <w:sz w:val="12"/>
                <w:szCs w:val="12"/>
              </w:rPr>
            </w:pPr>
            <w:r w:rsidRPr="00DC4844">
              <w:rPr>
                <w:b/>
                <w:bCs/>
                <w:color w:val="740000"/>
                <w:sz w:val="12"/>
                <w:szCs w:val="12"/>
              </w:rPr>
              <w:t>2026</w:t>
            </w:r>
          </w:p>
        </w:tc>
        <w:tc>
          <w:tcPr>
            <w:tcW w:w="851" w:type="dxa"/>
            <w:tcBorders>
              <w:top w:val="single" w:sz="4" w:space="0" w:color="auto"/>
              <w:bottom w:val="single" w:sz="4" w:space="0" w:color="auto"/>
              <w:right w:val="nil"/>
            </w:tcBorders>
            <w:shd w:val="clear" w:color="auto" w:fill="E4C776"/>
            <w:vAlign w:val="center"/>
          </w:tcPr>
          <w:p w14:paraId="54EEA3F1" w14:textId="77777777" w:rsidR="005364CA" w:rsidRPr="00DC4844" w:rsidRDefault="005364CA" w:rsidP="00AC3862">
            <w:pPr>
              <w:jc w:val="center"/>
              <w:rPr>
                <w:b/>
                <w:bCs/>
                <w:color w:val="740000"/>
                <w:sz w:val="12"/>
                <w:szCs w:val="12"/>
              </w:rPr>
            </w:pPr>
            <w:r w:rsidRPr="00DC4844">
              <w:rPr>
                <w:b/>
                <w:bCs/>
                <w:color w:val="740000"/>
                <w:sz w:val="12"/>
                <w:szCs w:val="12"/>
              </w:rPr>
              <w:t>2027</w:t>
            </w:r>
          </w:p>
        </w:tc>
        <w:tc>
          <w:tcPr>
            <w:tcW w:w="752" w:type="dxa"/>
            <w:tcBorders>
              <w:top w:val="single" w:sz="4" w:space="0" w:color="auto"/>
              <w:bottom w:val="single" w:sz="4" w:space="0" w:color="auto"/>
              <w:right w:val="nil"/>
            </w:tcBorders>
            <w:shd w:val="clear" w:color="auto" w:fill="E4C776"/>
            <w:vAlign w:val="center"/>
          </w:tcPr>
          <w:p w14:paraId="621446E4" w14:textId="77777777" w:rsidR="005364CA" w:rsidRPr="00DC4844" w:rsidRDefault="005364CA" w:rsidP="00AC3862">
            <w:pPr>
              <w:jc w:val="center"/>
              <w:rPr>
                <w:b/>
                <w:bCs/>
                <w:color w:val="740000"/>
                <w:sz w:val="12"/>
                <w:szCs w:val="12"/>
              </w:rPr>
            </w:pPr>
            <w:r w:rsidRPr="00DC4844">
              <w:rPr>
                <w:b/>
                <w:bCs/>
                <w:color w:val="740000"/>
                <w:sz w:val="12"/>
                <w:szCs w:val="12"/>
              </w:rPr>
              <w:t>2028</w:t>
            </w:r>
          </w:p>
        </w:tc>
        <w:tc>
          <w:tcPr>
            <w:tcW w:w="752" w:type="dxa"/>
            <w:tcBorders>
              <w:top w:val="single" w:sz="4" w:space="0" w:color="auto"/>
              <w:bottom w:val="single" w:sz="4" w:space="0" w:color="auto"/>
              <w:right w:val="nil"/>
            </w:tcBorders>
            <w:shd w:val="clear" w:color="auto" w:fill="E4C776"/>
            <w:vAlign w:val="center"/>
          </w:tcPr>
          <w:p w14:paraId="3EF079B6" w14:textId="77777777" w:rsidR="005364CA" w:rsidRPr="00DC4844" w:rsidRDefault="005364CA" w:rsidP="00AC3862">
            <w:pPr>
              <w:jc w:val="center"/>
              <w:rPr>
                <w:b/>
                <w:bCs/>
                <w:color w:val="740000"/>
                <w:sz w:val="12"/>
                <w:szCs w:val="12"/>
              </w:rPr>
            </w:pPr>
            <w:r>
              <w:rPr>
                <w:b/>
                <w:bCs/>
                <w:color w:val="740000"/>
                <w:sz w:val="12"/>
                <w:szCs w:val="12"/>
              </w:rPr>
              <w:t>2029</w:t>
            </w:r>
          </w:p>
        </w:tc>
        <w:tc>
          <w:tcPr>
            <w:tcW w:w="752" w:type="dxa"/>
            <w:tcBorders>
              <w:top w:val="single" w:sz="4" w:space="0" w:color="auto"/>
              <w:bottom w:val="single" w:sz="4" w:space="0" w:color="auto"/>
              <w:right w:val="nil"/>
            </w:tcBorders>
            <w:shd w:val="clear" w:color="auto" w:fill="E4C776"/>
            <w:vAlign w:val="center"/>
          </w:tcPr>
          <w:p w14:paraId="2A7A0FA3" w14:textId="77777777" w:rsidR="005364CA" w:rsidRPr="00DC4844" w:rsidRDefault="005364CA" w:rsidP="00AC3862">
            <w:pPr>
              <w:jc w:val="center"/>
              <w:rPr>
                <w:b/>
                <w:bCs/>
                <w:color w:val="740000"/>
                <w:sz w:val="12"/>
                <w:szCs w:val="12"/>
              </w:rPr>
            </w:pPr>
            <w:r>
              <w:rPr>
                <w:b/>
                <w:bCs/>
                <w:color w:val="740000"/>
                <w:sz w:val="12"/>
                <w:szCs w:val="12"/>
              </w:rPr>
              <w:t>2030</w:t>
            </w:r>
          </w:p>
        </w:tc>
        <w:tc>
          <w:tcPr>
            <w:tcW w:w="752" w:type="dxa"/>
            <w:gridSpan w:val="2"/>
            <w:tcBorders>
              <w:top w:val="single" w:sz="4" w:space="0" w:color="auto"/>
              <w:left w:val="nil"/>
              <w:bottom w:val="single" w:sz="4" w:space="0" w:color="auto"/>
              <w:right w:val="nil"/>
            </w:tcBorders>
            <w:shd w:val="clear" w:color="auto" w:fill="E4C776"/>
            <w:noWrap/>
            <w:vAlign w:val="center"/>
            <w:hideMark/>
          </w:tcPr>
          <w:p w14:paraId="27B6B5DC" w14:textId="77777777" w:rsidR="005364CA" w:rsidRPr="00DC4844" w:rsidRDefault="005364CA" w:rsidP="00AC3862">
            <w:pPr>
              <w:jc w:val="center"/>
              <w:rPr>
                <w:b/>
                <w:bCs/>
                <w:color w:val="740000"/>
                <w:sz w:val="12"/>
                <w:szCs w:val="12"/>
              </w:rPr>
            </w:pPr>
            <w:r>
              <w:rPr>
                <w:b/>
                <w:bCs/>
                <w:color w:val="740000"/>
                <w:sz w:val="12"/>
                <w:szCs w:val="12"/>
              </w:rPr>
              <w:t>2031</w:t>
            </w:r>
          </w:p>
        </w:tc>
      </w:tr>
      <w:tr w:rsidR="005364CA" w:rsidRPr="00DC4844" w14:paraId="08F6EEFB" w14:textId="77777777" w:rsidTr="00F34DCB">
        <w:trPr>
          <w:trHeight w:val="300"/>
          <w:jc w:val="center"/>
        </w:trPr>
        <w:tc>
          <w:tcPr>
            <w:tcW w:w="2268" w:type="dxa"/>
            <w:tcBorders>
              <w:top w:val="nil"/>
              <w:left w:val="nil"/>
              <w:bottom w:val="nil"/>
              <w:right w:val="nil"/>
            </w:tcBorders>
            <w:noWrap/>
            <w:vAlign w:val="bottom"/>
            <w:hideMark/>
          </w:tcPr>
          <w:p w14:paraId="62B3CDFD" w14:textId="77777777" w:rsidR="005364CA" w:rsidRPr="00DC4844" w:rsidRDefault="005364CA" w:rsidP="00AC3862">
            <w:pPr>
              <w:rPr>
                <w:b/>
                <w:bCs/>
                <w:color w:val="000000"/>
                <w:sz w:val="12"/>
                <w:szCs w:val="12"/>
              </w:rPr>
            </w:pPr>
            <w:r w:rsidRPr="00DC4844">
              <w:rPr>
                <w:b/>
                <w:bCs/>
                <w:color w:val="000000"/>
                <w:sz w:val="12"/>
                <w:szCs w:val="12"/>
              </w:rPr>
              <w:t xml:space="preserve">Producto Interno Bruto </w:t>
            </w:r>
          </w:p>
        </w:tc>
        <w:tc>
          <w:tcPr>
            <w:tcW w:w="748" w:type="dxa"/>
            <w:tcBorders>
              <w:top w:val="nil"/>
              <w:left w:val="nil"/>
              <w:bottom w:val="nil"/>
              <w:right w:val="nil"/>
            </w:tcBorders>
            <w:noWrap/>
            <w:vAlign w:val="bottom"/>
            <w:hideMark/>
          </w:tcPr>
          <w:p w14:paraId="26F24285" w14:textId="77777777" w:rsidR="005364CA" w:rsidRPr="00DC4844" w:rsidRDefault="005364CA" w:rsidP="00AC3862">
            <w:pPr>
              <w:rPr>
                <w:b/>
                <w:bCs/>
                <w:color w:val="000000"/>
                <w:sz w:val="12"/>
                <w:szCs w:val="12"/>
              </w:rPr>
            </w:pPr>
          </w:p>
        </w:tc>
        <w:tc>
          <w:tcPr>
            <w:tcW w:w="903" w:type="dxa"/>
            <w:tcBorders>
              <w:top w:val="nil"/>
              <w:left w:val="nil"/>
              <w:bottom w:val="nil"/>
              <w:right w:val="nil"/>
            </w:tcBorders>
          </w:tcPr>
          <w:p w14:paraId="36EEB977" w14:textId="77777777" w:rsidR="005364CA" w:rsidRPr="00DC4844" w:rsidRDefault="005364CA" w:rsidP="00AC3862">
            <w:pPr>
              <w:rPr>
                <w:b/>
                <w:bCs/>
                <w:sz w:val="12"/>
                <w:szCs w:val="12"/>
              </w:rPr>
            </w:pPr>
          </w:p>
        </w:tc>
        <w:tc>
          <w:tcPr>
            <w:tcW w:w="759" w:type="dxa"/>
            <w:tcBorders>
              <w:top w:val="nil"/>
              <w:left w:val="nil"/>
              <w:bottom w:val="nil"/>
              <w:right w:val="nil"/>
            </w:tcBorders>
          </w:tcPr>
          <w:p w14:paraId="7F4DD934" w14:textId="77777777" w:rsidR="005364CA" w:rsidRPr="00DC4844" w:rsidRDefault="005364CA" w:rsidP="00AC3862">
            <w:pPr>
              <w:rPr>
                <w:b/>
                <w:bCs/>
                <w:sz w:val="12"/>
                <w:szCs w:val="12"/>
              </w:rPr>
            </w:pPr>
          </w:p>
        </w:tc>
        <w:tc>
          <w:tcPr>
            <w:tcW w:w="851" w:type="dxa"/>
            <w:tcBorders>
              <w:top w:val="nil"/>
              <w:left w:val="nil"/>
              <w:bottom w:val="nil"/>
              <w:right w:val="nil"/>
            </w:tcBorders>
          </w:tcPr>
          <w:p w14:paraId="68928AF6" w14:textId="77777777" w:rsidR="005364CA" w:rsidRPr="00DC4844" w:rsidRDefault="005364CA" w:rsidP="00AC3862">
            <w:pPr>
              <w:rPr>
                <w:b/>
                <w:bCs/>
                <w:sz w:val="12"/>
                <w:szCs w:val="12"/>
              </w:rPr>
            </w:pPr>
          </w:p>
        </w:tc>
        <w:tc>
          <w:tcPr>
            <w:tcW w:w="752" w:type="dxa"/>
            <w:tcBorders>
              <w:top w:val="nil"/>
              <w:left w:val="nil"/>
              <w:bottom w:val="nil"/>
              <w:right w:val="nil"/>
            </w:tcBorders>
          </w:tcPr>
          <w:p w14:paraId="58E9EEEF" w14:textId="77777777" w:rsidR="005364CA" w:rsidRPr="00DC4844" w:rsidRDefault="005364CA" w:rsidP="00AC3862">
            <w:pPr>
              <w:rPr>
                <w:b/>
                <w:bCs/>
                <w:sz w:val="12"/>
                <w:szCs w:val="12"/>
              </w:rPr>
            </w:pPr>
          </w:p>
        </w:tc>
        <w:tc>
          <w:tcPr>
            <w:tcW w:w="752" w:type="dxa"/>
            <w:tcBorders>
              <w:top w:val="nil"/>
              <w:left w:val="nil"/>
              <w:bottom w:val="nil"/>
              <w:right w:val="nil"/>
            </w:tcBorders>
          </w:tcPr>
          <w:p w14:paraId="2180326C" w14:textId="77777777" w:rsidR="005364CA" w:rsidRPr="00DC4844" w:rsidRDefault="005364CA" w:rsidP="00AC3862">
            <w:pPr>
              <w:rPr>
                <w:b/>
                <w:bCs/>
                <w:sz w:val="12"/>
                <w:szCs w:val="12"/>
              </w:rPr>
            </w:pPr>
          </w:p>
        </w:tc>
        <w:tc>
          <w:tcPr>
            <w:tcW w:w="752" w:type="dxa"/>
            <w:tcBorders>
              <w:top w:val="nil"/>
              <w:left w:val="nil"/>
              <w:bottom w:val="nil"/>
              <w:right w:val="nil"/>
            </w:tcBorders>
          </w:tcPr>
          <w:p w14:paraId="4E1B2CC7" w14:textId="77777777" w:rsidR="005364CA" w:rsidRPr="00DC4844" w:rsidRDefault="005364CA" w:rsidP="00AC3862">
            <w:pPr>
              <w:rPr>
                <w:b/>
                <w:bCs/>
                <w:sz w:val="12"/>
                <w:szCs w:val="12"/>
              </w:rPr>
            </w:pPr>
          </w:p>
        </w:tc>
        <w:tc>
          <w:tcPr>
            <w:tcW w:w="752" w:type="dxa"/>
            <w:gridSpan w:val="2"/>
            <w:tcBorders>
              <w:top w:val="nil"/>
              <w:left w:val="nil"/>
              <w:bottom w:val="nil"/>
              <w:right w:val="nil"/>
            </w:tcBorders>
            <w:noWrap/>
            <w:vAlign w:val="bottom"/>
            <w:hideMark/>
          </w:tcPr>
          <w:p w14:paraId="0391BC71" w14:textId="77777777" w:rsidR="005364CA" w:rsidRPr="00DC4844" w:rsidRDefault="005364CA" w:rsidP="00AC3862">
            <w:pPr>
              <w:rPr>
                <w:b/>
                <w:bCs/>
                <w:sz w:val="12"/>
                <w:szCs w:val="12"/>
              </w:rPr>
            </w:pPr>
          </w:p>
        </w:tc>
      </w:tr>
      <w:tr w:rsidR="005364CA" w:rsidRPr="00DC4844" w14:paraId="43179E27" w14:textId="77777777" w:rsidTr="00F34DCB">
        <w:trPr>
          <w:trHeight w:val="188"/>
          <w:jc w:val="center"/>
        </w:trPr>
        <w:tc>
          <w:tcPr>
            <w:tcW w:w="2268" w:type="dxa"/>
            <w:tcBorders>
              <w:top w:val="nil"/>
              <w:left w:val="nil"/>
              <w:bottom w:val="nil"/>
              <w:right w:val="nil"/>
            </w:tcBorders>
            <w:shd w:val="clear" w:color="000000" w:fill="F2F2F2"/>
            <w:noWrap/>
            <w:vAlign w:val="bottom"/>
            <w:hideMark/>
          </w:tcPr>
          <w:p w14:paraId="043AC1F1" w14:textId="77777777" w:rsidR="005364CA" w:rsidRPr="00DC4844" w:rsidRDefault="005364CA" w:rsidP="00AC3862">
            <w:pPr>
              <w:rPr>
                <w:color w:val="000000"/>
                <w:sz w:val="12"/>
                <w:szCs w:val="12"/>
              </w:rPr>
            </w:pPr>
            <w:r w:rsidRPr="00DC4844">
              <w:rPr>
                <w:color w:val="000000"/>
                <w:sz w:val="12"/>
                <w:szCs w:val="12"/>
              </w:rPr>
              <w:t xml:space="preserve">     Crecimiento % real (rango) </w:t>
            </w:r>
          </w:p>
        </w:tc>
        <w:tc>
          <w:tcPr>
            <w:tcW w:w="748" w:type="dxa"/>
            <w:tcBorders>
              <w:top w:val="nil"/>
              <w:left w:val="nil"/>
              <w:bottom w:val="nil"/>
              <w:right w:val="nil"/>
            </w:tcBorders>
            <w:shd w:val="clear" w:color="000000" w:fill="F2F2F2"/>
            <w:noWrap/>
            <w:vAlign w:val="bottom"/>
            <w:hideMark/>
          </w:tcPr>
          <w:p w14:paraId="5D2EFB36" w14:textId="77777777" w:rsidR="005364CA" w:rsidRPr="00DC4844" w:rsidRDefault="005364CA" w:rsidP="00AC3862">
            <w:pPr>
              <w:jc w:val="right"/>
              <w:rPr>
                <w:color w:val="000000"/>
                <w:sz w:val="12"/>
                <w:szCs w:val="12"/>
              </w:rPr>
            </w:pPr>
            <w:r>
              <w:rPr>
                <w:color w:val="000000"/>
                <w:sz w:val="12"/>
                <w:szCs w:val="12"/>
              </w:rPr>
              <w:t>1.4</w:t>
            </w:r>
            <w:r w:rsidRPr="00DC4844">
              <w:rPr>
                <w:color w:val="000000"/>
                <w:sz w:val="12"/>
                <w:szCs w:val="12"/>
              </w:rPr>
              <w:t xml:space="preserve"> </w:t>
            </w:r>
          </w:p>
        </w:tc>
        <w:tc>
          <w:tcPr>
            <w:tcW w:w="903" w:type="dxa"/>
            <w:tcBorders>
              <w:top w:val="nil"/>
              <w:left w:val="nil"/>
              <w:bottom w:val="nil"/>
              <w:right w:val="nil"/>
            </w:tcBorders>
            <w:shd w:val="clear" w:color="000000" w:fill="F2F2F2"/>
            <w:vAlign w:val="bottom"/>
          </w:tcPr>
          <w:p w14:paraId="6E683D73" w14:textId="77777777" w:rsidR="005364CA" w:rsidRPr="00DC4844" w:rsidRDefault="005364CA" w:rsidP="00AC3862">
            <w:pPr>
              <w:jc w:val="right"/>
              <w:rPr>
                <w:color w:val="000000"/>
                <w:sz w:val="12"/>
                <w:szCs w:val="12"/>
              </w:rPr>
            </w:pPr>
            <w:r w:rsidRPr="00DC4844">
              <w:rPr>
                <w:color w:val="000000"/>
                <w:sz w:val="12"/>
                <w:szCs w:val="12"/>
              </w:rPr>
              <w:t xml:space="preserve">     [0.5, 1.5] </w:t>
            </w:r>
          </w:p>
        </w:tc>
        <w:tc>
          <w:tcPr>
            <w:tcW w:w="759" w:type="dxa"/>
            <w:tcBorders>
              <w:top w:val="nil"/>
              <w:left w:val="nil"/>
              <w:bottom w:val="nil"/>
              <w:right w:val="nil"/>
            </w:tcBorders>
            <w:shd w:val="clear" w:color="000000" w:fill="F2F2F2"/>
            <w:vAlign w:val="bottom"/>
          </w:tcPr>
          <w:p w14:paraId="300A6821" w14:textId="77777777" w:rsidR="005364CA" w:rsidRPr="00DC4844" w:rsidRDefault="005364CA" w:rsidP="00AC3862">
            <w:pPr>
              <w:jc w:val="right"/>
              <w:rPr>
                <w:color w:val="000000"/>
                <w:sz w:val="12"/>
                <w:szCs w:val="12"/>
              </w:rPr>
            </w:pPr>
            <w:r w:rsidRPr="00DC4844">
              <w:rPr>
                <w:color w:val="000000"/>
                <w:sz w:val="12"/>
                <w:szCs w:val="12"/>
              </w:rPr>
              <w:t xml:space="preserve">     [</w:t>
            </w:r>
            <w:r>
              <w:rPr>
                <w:color w:val="000000"/>
                <w:sz w:val="12"/>
                <w:szCs w:val="12"/>
              </w:rPr>
              <w:t>1</w:t>
            </w:r>
            <w:r w:rsidRPr="00DC4844">
              <w:rPr>
                <w:color w:val="000000"/>
                <w:sz w:val="12"/>
                <w:szCs w:val="12"/>
              </w:rPr>
              <w:t>.</w:t>
            </w:r>
            <w:r>
              <w:rPr>
                <w:color w:val="000000"/>
                <w:sz w:val="12"/>
                <w:szCs w:val="12"/>
              </w:rPr>
              <w:t>8</w:t>
            </w:r>
            <w:r w:rsidRPr="00DC4844">
              <w:rPr>
                <w:color w:val="000000"/>
                <w:sz w:val="12"/>
                <w:szCs w:val="12"/>
              </w:rPr>
              <w:t xml:space="preserve">, </w:t>
            </w:r>
            <w:r>
              <w:rPr>
                <w:color w:val="000000"/>
                <w:sz w:val="12"/>
                <w:szCs w:val="12"/>
              </w:rPr>
              <w:t>2</w:t>
            </w:r>
            <w:r w:rsidRPr="00DC4844">
              <w:rPr>
                <w:color w:val="000000"/>
                <w:sz w:val="12"/>
                <w:szCs w:val="12"/>
              </w:rPr>
              <w:t>.</w:t>
            </w:r>
            <w:r>
              <w:rPr>
                <w:color w:val="000000"/>
                <w:sz w:val="12"/>
                <w:szCs w:val="12"/>
              </w:rPr>
              <w:t>8</w:t>
            </w:r>
            <w:r w:rsidRPr="00DC4844">
              <w:rPr>
                <w:color w:val="000000"/>
                <w:sz w:val="12"/>
                <w:szCs w:val="12"/>
              </w:rPr>
              <w:t xml:space="preserve">] </w:t>
            </w:r>
          </w:p>
        </w:tc>
        <w:tc>
          <w:tcPr>
            <w:tcW w:w="851" w:type="dxa"/>
            <w:tcBorders>
              <w:top w:val="nil"/>
              <w:left w:val="nil"/>
              <w:bottom w:val="nil"/>
              <w:right w:val="nil"/>
            </w:tcBorders>
            <w:shd w:val="clear" w:color="000000" w:fill="F2F2F2"/>
            <w:vAlign w:val="bottom"/>
          </w:tcPr>
          <w:p w14:paraId="1A497D80" w14:textId="77777777" w:rsidR="005364CA" w:rsidRPr="00DC4844" w:rsidRDefault="005364CA" w:rsidP="00AC3862">
            <w:pPr>
              <w:jc w:val="right"/>
              <w:rPr>
                <w:color w:val="000000"/>
                <w:sz w:val="12"/>
                <w:szCs w:val="12"/>
              </w:rPr>
            </w:pPr>
            <w:r w:rsidRPr="00DC4844">
              <w:rPr>
                <w:color w:val="000000"/>
                <w:sz w:val="12"/>
                <w:szCs w:val="12"/>
              </w:rPr>
              <w:t xml:space="preserve">     [</w:t>
            </w:r>
            <w:r>
              <w:rPr>
                <w:color w:val="000000"/>
                <w:sz w:val="12"/>
                <w:szCs w:val="12"/>
              </w:rPr>
              <w:t>1</w:t>
            </w:r>
            <w:r w:rsidRPr="00DC4844">
              <w:rPr>
                <w:color w:val="000000"/>
                <w:sz w:val="12"/>
                <w:szCs w:val="12"/>
              </w:rPr>
              <w:t xml:space="preserve">.5, </w:t>
            </w:r>
            <w:r>
              <w:rPr>
                <w:color w:val="000000"/>
                <w:sz w:val="12"/>
                <w:szCs w:val="12"/>
              </w:rPr>
              <w:t>2</w:t>
            </w:r>
            <w:r w:rsidRPr="00DC4844">
              <w:rPr>
                <w:color w:val="000000"/>
                <w:sz w:val="12"/>
                <w:szCs w:val="12"/>
              </w:rPr>
              <w:t xml:space="preserve">.5] </w:t>
            </w:r>
          </w:p>
        </w:tc>
        <w:tc>
          <w:tcPr>
            <w:tcW w:w="752" w:type="dxa"/>
            <w:tcBorders>
              <w:top w:val="nil"/>
              <w:left w:val="nil"/>
              <w:bottom w:val="nil"/>
              <w:right w:val="nil"/>
            </w:tcBorders>
            <w:shd w:val="clear" w:color="000000" w:fill="F2F2F2"/>
            <w:vAlign w:val="bottom"/>
          </w:tcPr>
          <w:p w14:paraId="1060643B" w14:textId="77777777" w:rsidR="005364CA" w:rsidRPr="00DC4844" w:rsidRDefault="005364CA" w:rsidP="00AC3862">
            <w:pPr>
              <w:jc w:val="right"/>
              <w:rPr>
                <w:color w:val="000000"/>
                <w:sz w:val="12"/>
                <w:szCs w:val="12"/>
              </w:rPr>
            </w:pPr>
            <w:r w:rsidRPr="00DC4844">
              <w:rPr>
                <w:color w:val="000000"/>
                <w:sz w:val="12"/>
                <w:szCs w:val="12"/>
              </w:rPr>
              <w:t xml:space="preserve">     [</w:t>
            </w:r>
            <w:r>
              <w:rPr>
                <w:color w:val="000000"/>
                <w:sz w:val="12"/>
                <w:szCs w:val="12"/>
              </w:rPr>
              <w:t>1</w:t>
            </w:r>
            <w:r w:rsidRPr="00DC4844">
              <w:rPr>
                <w:color w:val="000000"/>
                <w:sz w:val="12"/>
                <w:szCs w:val="12"/>
              </w:rPr>
              <w:t xml:space="preserve">.5, </w:t>
            </w:r>
            <w:r>
              <w:rPr>
                <w:color w:val="000000"/>
                <w:sz w:val="12"/>
                <w:szCs w:val="12"/>
              </w:rPr>
              <w:t>2</w:t>
            </w:r>
            <w:r w:rsidRPr="00DC4844">
              <w:rPr>
                <w:color w:val="000000"/>
                <w:sz w:val="12"/>
                <w:szCs w:val="12"/>
              </w:rPr>
              <w:t xml:space="preserve">.5] </w:t>
            </w:r>
          </w:p>
        </w:tc>
        <w:tc>
          <w:tcPr>
            <w:tcW w:w="752" w:type="dxa"/>
            <w:tcBorders>
              <w:top w:val="nil"/>
              <w:left w:val="nil"/>
              <w:bottom w:val="nil"/>
              <w:right w:val="nil"/>
            </w:tcBorders>
            <w:shd w:val="clear" w:color="000000" w:fill="F2F2F2"/>
            <w:vAlign w:val="bottom"/>
          </w:tcPr>
          <w:p w14:paraId="5CF1DEE8" w14:textId="77777777" w:rsidR="005364CA" w:rsidRPr="00DC4844" w:rsidRDefault="005364CA" w:rsidP="00AC3862">
            <w:pPr>
              <w:jc w:val="right"/>
              <w:rPr>
                <w:color w:val="000000"/>
                <w:sz w:val="12"/>
                <w:szCs w:val="12"/>
              </w:rPr>
            </w:pPr>
            <w:r w:rsidRPr="00DC4844">
              <w:rPr>
                <w:color w:val="000000"/>
                <w:sz w:val="12"/>
                <w:szCs w:val="12"/>
              </w:rPr>
              <w:t xml:space="preserve">     [</w:t>
            </w:r>
            <w:r>
              <w:rPr>
                <w:color w:val="000000"/>
                <w:sz w:val="12"/>
                <w:szCs w:val="12"/>
              </w:rPr>
              <w:t>1</w:t>
            </w:r>
            <w:r w:rsidRPr="00DC4844">
              <w:rPr>
                <w:color w:val="000000"/>
                <w:sz w:val="12"/>
                <w:szCs w:val="12"/>
              </w:rPr>
              <w:t xml:space="preserve">.5, </w:t>
            </w:r>
            <w:r>
              <w:rPr>
                <w:color w:val="000000"/>
                <w:sz w:val="12"/>
                <w:szCs w:val="12"/>
              </w:rPr>
              <w:t>2</w:t>
            </w:r>
            <w:r w:rsidRPr="00DC4844">
              <w:rPr>
                <w:color w:val="000000"/>
                <w:sz w:val="12"/>
                <w:szCs w:val="12"/>
              </w:rPr>
              <w:t xml:space="preserve">.5] </w:t>
            </w:r>
          </w:p>
        </w:tc>
        <w:tc>
          <w:tcPr>
            <w:tcW w:w="752" w:type="dxa"/>
            <w:tcBorders>
              <w:top w:val="nil"/>
              <w:left w:val="nil"/>
              <w:bottom w:val="nil"/>
              <w:right w:val="nil"/>
            </w:tcBorders>
            <w:shd w:val="clear" w:color="000000" w:fill="F2F2F2"/>
            <w:vAlign w:val="bottom"/>
          </w:tcPr>
          <w:p w14:paraId="46016251" w14:textId="77777777" w:rsidR="005364CA" w:rsidRPr="00DC4844" w:rsidRDefault="005364CA" w:rsidP="00AC3862">
            <w:pPr>
              <w:jc w:val="right"/>
              <w:rPr>
                <w:color w:val="000000"/>
                <w:sz w:val="12"/>
                <w:szCs w:val="12"/>
              </w:rPr>
            </w:pPr>
            <w:r w:rsidRPr="00DC4844">
              <w:rPr>
                <w:color w:val="000000"/>
                <w:sz w:val="12"/>
                <w:szCs w:val="12"/>
              </w:rPr>
              <w:t xml:space="preserve">     [</w:t>
            </w:r>
            <w:r>
              <w:rPr>
                <w:color w:val="000000"/>
                <w:sz w:val="12"/>
                <w:szCs w:val="12"/>
              </w:rPr>
              <w:t>1</w:t>
            </w:r>
            <w:r w:rsidRPr="00DC4844">
              <w:rPr>
                <w:color w:val="000000"/>
                <w:sz w:val="12"/>
                <w:szCs w:val="12"/>
              </w:rPr>
              <w:t xml:space="preserve">.5, </w:t>
            </w:r>
            <w:r>
              <w:rPr>
                <w:color w:val="000000"/>
                <w:sz w:val="12"/>
                <w:szCs w:val="12"/>
              </w:rPr>
              <w:t>2</w:t>
            </w:r>
            <w:r w:rsidRPr="00DC4844">
              <w:rPr>
                <w:color w:val="000000"/>
                <w:sz w:val="12"/>
                <w:szCs w:val="12"/>
              </w:rPr>
              <w:t xml:space="preserve">.5] </w:t>
            </w:r>
          </w:p>
        </w:tc>
        <w:tc>
          <w:tcPr>
            <w:tcW w:w="752" w:type="dxa"/>
            <w:gridSpan w:val="2"/>
            <w:tcBorders>
              <w:top w:val="nil"/>
              <w:left w:val="nil"/>
              <w:bottom w:val="nil"/>
              <w:right w:val="nil"/>
            </w:tcBorders>
            <w:shd w:val="clear" w:color="000000" w:fill="F2F2F2"/>
            <w:noWrap/>
            <w:vAlign w:val="bottom"/>
            <w:hideMark/>
          </w:tcPr>
          <w:p w14:paraId="3E2596D1" w14:textId="77777777" w:rsidR="005364CA" w:rsidRPr="00DC4844" w:rsidRDefault="005364CA" w:rsidP="00AC3862">
            <w:pPr>
              <w:jc w:val="right"/>
              <w:rPr>
                <w:color w:val="000000"/>
                <w:sz w:val="12"/>
                <w:szCs w:val="12"/>
              </w:rPr>
            </w:pPr>
            <w:r w:rsidRPr="00DC4844">
              <w:rPr>
                <w:color w:val="000000"/>
                <w:sz w:val="12"/>
                <w:szCs w:val="12"/>
              </w:rPr>
              <w:t xml:space="preserve">     [</w:t>
            </w:r>
            <w:r>
              <w:rPr>
                <w:color w:val="000000"/>
                <w:sz w:val="12"/>
                <w:szCs w:val="12"/>
              </w:rPr>
              <w:t>1</w:t>
            </w:r>
            <w:r w:rsidRPr="00DC4844">
              <w:rPr>
                <w:color w:val="000000"/>
                <w:sz w:val="12"/>
                <w:szCs w:val="12"/>
              </w:rPr>
              <w:t>.</w:t>
            </w:r>
            <w:r>
              <w:rPr>
                <w:color w:val="000000"/>
                <w:sz w:val="12"/>
                <w:szCs w:val="12"/>
              </w:rPr>
              <w:t>5</w:t>
            </w:r>
            <w:r w:rsidRPr="00DC4844">
              <w:rPr>
                <w:color w:val="000000"/>
                <w:sz w:val="12"/>
                <w:szCs w:val="12"/>
              </w:rPr>
              <w:t>, 2.</w:t>
            </w:r>
            <w:r>
              <w:rPr>
                <w:color w:val="000000"/>
                <w:sz w:val="12"/>
                <w:szCs w:val="12"/>
              </w:rPr>
              <w:t>5</w:t>
            </w:r>
            <w:r w:rsidRPr="00DC4844">
              <w:rPr>
                <w:color w:val="000000"/>
                <w:sz w:val="12"/>
                <w:szCs w:val="12"/>
              </w:rPr>
              <w:t xml:space="preserve">] </w:t>
            </w:r>
          </w:p>
        </w:tc>
      </w:tr>
      <w:tr w:rsidR="005364CA" w:rsidRPr="00DC4844" w14:paraId="19E56E20" w14:textId="77777777" w:rsidTr="00F34DCB">
        <w:trPr>
          <w:trHeight w:val="179"/>
          <w:jc w:val="center"/>
        </w:trPr>
        <w:tc>
          <w:tcPr>
            <w:tcW w:w="2268" w:type="dxa"/>
            <w:tcBorders>
              <w:top w:val="nil"/>
              <w:left w:val="nil"/>
              <w:bottom w:val="nil"/>
              <w:right w:val="nil"/>
            </w:tcBorders>
            <w:noWrap/>
            <w:vAlign w:val="bottom"/>
            <w:hideMark/>
          </w:tcPr>
          <w:p w14:paraId="7C1B09EB" w14:textId="77777777" w:rsidR="005364CA" w:rsidRPr="00DC4844" w:rsidRDefault="005364CA" w:rsidP="00AC3862">
            <w:pPr>
              <w:rPr>
                <w:color w:val="000000"/>
                <w:sz w:val="12"/>
                <w:szCs w:val="12"/>
              </w:rPr>
            </w:pPr>
            <w:r w:rsidRPr="00DC4844">
              <w:rPr>
                <w:color w:val="000000"/>
                <w:sz w:val="12"/>
                <w:szCs w:val="12"/>
              </w:rPr>
              <w:t xml:space="preserve">     Nominal (miles de millones de pesos) </w:t>
            </w:r>
          </w:p>
        </w:tc>
        <w:tc>
          <w:tcPr>
            <w:tcW w:w="748" w:type="dxa"/>
            <w:tcBorders>
              <w:top w:val="nil"/>
              <w:left w:val="nil"/>
              <w:bottom w:val="nil"/>
              <w:right w:val="nil"/>
            </w:tcBorders>
            <w:noWrap/>
            <w:vAlign w:val="bottom"/>
            <w:hideMark/>
          </w:tcPr>
          <w:p w14:paraId="34586EB6"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3</w:t>
            </w:r>
            <w:r w:rsidRPr="00DC4844">
              <w:rPr>
                <w:color w:val="000000"/>
                <w:sz w:val="12"/>
                <w:szCs w:val="12"/>
              </w:rPr>
              <w:t>,</w:t>
            </w:r>
            <w:r>
              <w:rPr>
                <w:color w:val="000000"/>
                <w:sz w:val="12"/>
                <w:szCs w:val="12"/>
              </w:rPr>
              <w:t>980</w:t>
            </w:r>
            <w:r w:rsidRPr="00DC4844">
              <w:rPr>
                <w:color w:val="000000"/>
                <w:sz w:val="12"/>
                <w:szCs w:val="12"/>
              </w:rPr>
              <w:t>.</w:t>
            </w:r>
            <w:r>
              <w:rPr>
                <w:color w:val="000000"/>
                <w:sz w:val="12"/>
                <w:szCs w:val="12"/>
              </w:rPr>
              <w:t>5</w:t>
            </w:r>
          </w:p>
        </w:tc>
        <w:tc>
          <w:tcPr>
            <w:tcW w:w="903" w:type="dxa"/>
            <w:tcBorders>
              <w:top w:val="nil"/>
              <w:left w:val="nil"/>
              <w:bottom w:val="nil"/>
              <w:right w:val="nil"/>
            </w:tcBorders>
            <w:vAlign w:val="bottom"/>
          </w:tcPr>
          <w:p w14:paraId="3F9C1D26" w14:textId="77777777" w:rsidR="005364CA" w:rsidRPr="00DC4844" w:rsidRDefault="005364CA" w:rsidP="00AC3862">
            <w:pPr>
              <w:jc w:val="right"/>
              <w:rPr>
                <w:color w:val="000000"/>
                <w:sz w:val="12"/>
                <w:szCs w:val="12"/>
              </w:rPr>
            </w:pPr>
            <w:r w:rsidRPr="00DC4844">
              <w:rPr>
                <w:color w:val="000000"/>
                <w:sz w:val="12"/>
                <w:szCs w:val="12"/>
              </w:rPr>
              <w:t>36,125.5</w:t>
            </w:r>
          </w:p>
        </w:tc>
        <w:tc>
          <w:tcPr>
            <w:tcW w:w="759" w:type="dxa"/>
            <w:tcBorders>
              <w:top w:val="nil"/>
              <w:left w:val="nil"/>
              <w:bottom w:val="nil"/>
              <w:right w:val="nil"/>
            </w:tcBorders>
            <w:vAlign w:val="bottom"/>
          </w:tcPr>
          <w:p w14:paraId="63171D42"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8</w:t>
            </w:r>
            <w:r w:rsidRPr="00DC4844">
              <w:rPr>
                <w:color w:val="000000"/>
                <w:sz w:val="12"/>
                <w:szCs w:val="12"/>
              </w:rPr>
              <w:t>,</w:t>
            </w:r>
            <w:r>
              <w:rPr>
                <w:color w:val="000000"/>
                <w:sz w:val="12"/>
                <w:szCs w:val="12"/>
              </w:rPr>
              <w:t>715</w:t>
            </w:r>
            <w:r w:rsidRPr="00DC4844">
              <w:rPr>
                <w:color w:val="000000"/>
                <w:sz w:val="12"/>
                <w:szCs w:val="12"/>
              </w:rPr>
              <w:t>.</w:t>
            </w:r>
            <w:r>
              <w:rPr>
                <w:color w:val="000000"/>
                <w:sz w:val="12"/>
                <w:szCs w:val="12"/>
              </w:rPr>
              <w:t>9</w:t>
            </w:r>
          </w:p>
        </w:tc>
        <w:tc>
          <w:tcPr>
            <w:tcW w:w="851" w:type="dxa"/>
            <w:tcBorders>
              <w:top w:val="nil"/>
              <w:left w:val="nil"/>
              <w:bottom w:val="nil"/>
              <w:right w:val="nil"/>
            </w:tcBorders>
            <w:vAlign w:val="bottom"/>
          </w:tcPr>
          <w:p w14:paraId="08CA60BF" w14:textId="77777777" w:rsidR="005364CA" w:rsidRPr="00DC4844" w:rsidRDefault="005364CA" w:rsidP="00AC3862">
            <w:pPr>
              <w:jc w:val="right"/>
              <w:rPr>
                <w:color w:val="000000"/>
                <w:sz w:val="12"/>
                <w:szCs w:val="12"/>
              </w:rPr>
            </w:pPr>
            <w:r>
              <w:rPr>
                <w:color w:val="000000"/>
                <w:sz w:val="12"/>
                <w:szCs w:val="12"/>
              </w:rPr>
              <w:t>41</w:t>
            </w:r>
            <w:r w:rsidRPr="00DC4844">
              <w:rPr>
                <w:color w:val="000000"/>
                <w:sz w:val="12"/>
                <w:szCs w:val="12"/>
              </w:rPr>
              <w:t>,1</w:t>
            </w:r>
            <w:r>
              <w:rPr>
                <w:color w:val="000000"/>
                <w:sz w:val="12"/>
                <w:szCs w:val="12"/>
              </w:rPr>
              <w:t>8</w:t>
            </w:r>
            <w:r w:rsidRPr="00DC4844">
              <w:rPr>
                <w:color w:val="000000"/>
                <w:sz w:val="12"/>
                <w:szCs w:val="12"/>
              </w:rPr>
              <w:t>5.</w:t>
            </w:r>
            <w:r>
              <w:rPr>
                <w:color w:val="000000"/>
                <w:sz w:val="12"/>
                <w:szCs w:val="12"/>
              </w:rPr>
              <w:t>1</w:t>
            </w:r>
          </w:p>
        </w:tc>
        <w:tc>
          <w:tcPr>
            <w:tcW w:w="752" w:type="dxa"/>
            <w:tcBorders>
              <w:top w:val="nil"/>
              <w:left w:val="nil"/>
              <w:bottom w:val="nil"/>
              <w:right w:val="nil"/>
            </w:tcBorders>
            <w:vAlign w:val="bottom"/>
          </w:tcPr>
          <w:p w14:paraId="56EE24DA" w14:textId="77777777" w:rsidR="005364CA" w:rsidRPr="00DC4844" w:rsidRDefault="005364CA" w:rsidP="00AC3862">
            <w:pPr>
              <w:jc w:val="right"/>
              <w:rPr>
                <w:color w:val="000000"/>
                <w:sz w:val="12"/>
                <w:szCs w:val="12"/>
              </w:rPr>
            </w:pPr>
            <w:r>
              <w:rPr>
                <w:color w:val="000000"/>
                <w:sz w:val="12"/>
                <w:szCs w:val="12"/>
              </w:rPr>
              <w:t>43</w:t>
            </w:r>
            <w:r w:rsidRPr="00DC4844">
              <w:rPr>
                <w:color w:val="000000"/>
                <w:sz w:val="12"/>
                <w:szCs w:val="12"/>
              </w:rPr>
              <w:t>,</w:t>
            </w:r>
            <w:r>
              <w:rPr>
                <w:color w:val="000000"/>
                <w:sz w:val="12"/>
                <w:szCs w:val="12"/>
              </w:rPr>
              <w:t>712</w:t>
            </w:r>
            <w:r w:rsidRPr="00DC4844">
              <w:rPr>
                <w:color w:val="000000"/>
                <w:sz w:val="12"/>
                <w:szCs w:val="12"/>
              </w:rPr>
              <w:t>.</w:t>
            </w:r>
            <w:r>
              <w:rPr>
                <w:color w:val="000000"/>
                <w:sz w:val="12"/>
                <w:szCs w:val="12"/>
              </w:rPr>
              <w:t>6</w:t>
            </w:r>
          </w:p>
        </w:tc>
        <w:tc>
          <w:tcPr>
            <w:tcW w:w="752" w:type="dxa"/>
            <w:tcBorders>
              <w:top w:val="nil"/>
              <w:left w:val="nil"/>
              <w:bottom w:val="nil"/>
              <w:right w:val="nil"/>
            </w:tcBorders>
            <w:vAlign w:val="bottom"/>
          </w:tcPr>
          <w:p w14:paraId="09089225" w14:textId="77777777" w:rsidR="005364CA" w:rsidRPr="00DC4844" w:rsidRDefault="005364CA" w:rsidP="00AC3862">
            <w:pPr>
              <w:jc w:val="right"/>
              <w:rPr>
                <w:color w:val="000000"/>
                <w:sz w:val="12"/>
                <w:szCs w:val="12"/>
              </w:rPr>
            </w:pPr>
            <w:r>
              <w:rPr>
                <w:color w:val="000000"/>
                <w:sz w:val="12"/>
                <w:szCs w:val="12"/>
              </w:rPr>
              <w:t>4</w:t>
            </w:r>
            <w:r w:rsidRPr="00DC4844">
              <w:rPr>
                <w:color w:val="000000"/>
                <w:sz w:val="12"/>
                <w:szCs w:val="12"/>
              </w:rPr>
              <w:t>6,</w:t>
            </w:r>
            <w:r>
              <w:rPr>
                <w:color w:val="000000"/>
                <w:sz w:val="12"/>
                <w:szCs w:val="12"/>
              </w:rPr>
              <w:t>377</w:t>
            </w:r>
            <w:r w:rsidRPr="00DC4844">
              <w:rPr>
                <w:color w:val="000000"/>
                <w:sz w:val="12"/>
                <w:szCs w:val="12"/>
              </w:rPr>
              <w:t>.</w:t>
            </w:r>
            <w:r>
              <w:rPr>
                <w:color w:val="000000"/>
                <w:sz w:val="12"/>
                <w:szCs w:val="12"/>
              </w:rPr>
              <w:t>1</w:t>
            </w:r>
          </w:p>
        </w:tc>
        <w:tc>
          <w:tcPr>
            <w:tcW w:w="752" w:type="dxa"/>
            <w:tcBorders>
              <w:top w:val="nil"/>
              <w:left w:val="nil"/>
              <w:bottom w:val="nil"/>
              <w:right w:val="nil"/>
            </w:tcBorders>
            <w:vAlign w:val="bottom"/>
          </w:tcPr>
          <w:p w14:paraId="28DB4BD7" w14:textId="77777777" w:rsidR="005364CA" w:rsidRPr="00DC4844" w:rsidRDefault="005364CA" w:rsidP="00AC3862">
            <w:pPr>
              <w:jc w:val="right"/>
              <w:rPr>
                <w:color w:val="000000"/>
                <w:sz w:val="12"/>
                <w:szCs w:val="12"/>
              </w:rPr>
            </w:pPr>
            <w:r>
              <w:rPr>
                <w:color w:val="000000"/>
                <w:sz w:val="12"/>
                <w:szCs w:val="12"/>
              </w:rPr>
              <w:t>49</w:t>
            </w:r>
            <w:r w:rsidRPr="00DC4844">
              <w:rPr>
                <w:color w:val="000000"/>
                <w:sz w:val="12"/>
                <w:szCs w:val="12"/>
              </w:rPr>
              <w:t>,</w:t>
            </w:r>
            <w:r>
              <w:rPr>
                <w:color w:val="000000"/>
                <w:sz w:val="12"/>
                <w:szCs w:val="12"/>
              </w:rPr>
              <w:t>203</w:t>
            </w:r>
            <w:r w:rsidRPr="00DC4844">
              <w:rPr>
                <w:color w:val="000000"/>
                <w:sz w:val="12"/>
                <w:szCs w:val="12"/>
              </w:rPr>
              <w:t>.5</w:t>
            </w:r>
          </w:p>
        </w:tc>
        <w:tc>
          <w:tcPr>
            <w:tcW w:w="752" w:type="dxa"/>
            <w:gridSpan w:val="2"/>
            <w:tcBorders>
              <w:top w:val="nil"/>
              <w:left w:val="nil"/>
              <w:bottom w:val="nil"/>
              <w:right w:val="nil"/>
            </w:tcBorders>
            <w:noWrap/>
            <w:vAlign w:val="bottom"/>
            <w:hideMark/>
          </w:tcPr>
          <w:p w14:paraId="7FF94BFF" w14:textId="77777777" w:rsidR="005364CA" w:rsidRPr="00DC4844" w:rsidRDefault="005364CA" w:rsidP="00AC3862">
            <w:pPr>
              <w:jc w:val="right"/>
              <w:rPr>
                <w:color w:val="000000"/>
                <w:sz w:val="12"/>
                <w:szCs w:val="12"/>
              </w:rPr>
            </w:pPr>
            <w:r>
              <w:rPr>
                <w:color w:val="000000"/>
                <w:sz w:val="12"/>
                <w:szCs w:val="12"/>
              </w:rPr>
              <w:t>52</w:t>
            </w:r>
            <w:r w:rsidRPr="00DC4844">
              <w:rPr>
                <w:color w:val="000000"/>
                <w:sz w:val="12"/>
                <w:szCs w:val="12"/>
              </w:rPr>
              <w:t>,</w:t>
            </w:r>
            <w:r>
              <w:rPr>
                <w:color w:val="000000"/>
                <w:sz w:val="12"/>
                <w:szCs w:val="12"/>
              </w:rPr>
              <w:t>213</w:t>
            </w:r>
            <w:r w:rsidRPr="00DC4844">
              <w:rPr>
                <w:color w:val="000000"/>
                <w:sz w:val="12"/>
                <w:szCs w:val="12"/>
              </w:rPr>
              <w:t>.</w:t>
            </w:r>
            <w:r>
              <w:rPr>
                <w:color w:val="000000"/>
                <w:sz w:val="12"/>
                <w:szCs w:val="12"/>
              </w:rPr>
              <w:t>8</w:t>
            </w:r>
          </w:p>
        </w:tc>
      </w:tr>
      <w:tr w:rsidR="005364CA" w:rsidRPr="00DC4844" w14:paraId="2D9AE564" w14:textId="77777777" w:rsidTr="00F34DCB">
        <w:trPr>
          <w:trHeight w:val="168"/>
          <w:jc w:val="center"/>
        </w:trPr>
        <w:tc>
          <w:tcPr>
            <w:tcW w:w="2268" w:type="dxa"/>
            <w:tcBorders>
              <w:top w:val="nil"/>
              <w:left w:val="nil"/>
              <w:bottom w:val="nil"/>
              <w:right w:val="nil"/>
            </w:tcBorders>
            <w:shd w:val="clear" w:color="000000" w:fill="F2F2F2"/>
            <w:noWrap/>
            <w:vAlign w:val="bottom"/>
            <w:hideMark/>
          </w:tcPr>
          <w:p w14:paraId="11BE781A" w14:textId="77777777" w:rsidR="005364CA" w:rsidRPr="00DC4844" w:rsidRDefault="005364CA" w:rsidP="00AC3862">
            <w:pPr>
              <w:rPr>
                <w:color w:val="000000"/>
                <w:sz w:val="12"/>
                <w:szCs w:val="12"/>
              </w:rPr>
            </w:pPr>
            <w:r w:rsidRPr="00DC4844">
              <w:rPr>
                <w:color w:val="000000"/>
                <w:sz w:val="12"/>
                <w:szCs w:val="12"/>
              </w:rPr>
              <w:t xml:space="preserve">     Deflactor del PIB  </w:t>
            </w:r>
          </w:p>
        </w:tc>
        <w:tc>
          <w:tcPr>
            <w:tcW w:w="748" w:type="dxa"/>
            <w:tcBorders>
              <w:top w:val="nil"/>
              <w:left w:val="nil"/>
              <w:bottom w:val="nil"/>
              <w:right w:val="nil"/>
            </w:tcBorders>
            <w:shd w:val="clear" w:color="000000" w:fill="F2F2F2"/>
            <w:noWrap/>
            <w:vAlign w:val="bottom"/>
            <w:hideMark/>
          </w:tcPr>
          <w:p w14:paraId="531232F1" w14:textId="77777777" w:rsidR="005364CA" w:rsidRPr="00DC4844" w:rsidRDefault="005364CA" w:rsidP="00AC3862">
            <w:pPr>
              <w:jc w:val="right"/>
              <w:rPr>
                <w:color w:val="000000"/>
                <w:sz w:val="12"/>
                <w:szCs w:val="12"/>
              </w:rPr>
            </w:pPr>
            <w:r w:rsidRPr="00DC4844">
              <w:rPr>
                <w:color w:val="000000"/>
                <w:sz w:val="12"/>
                <w:szCs w:val="12"/>
              </w:rPr>
              <w:t>4.</w:t>
            </w:r>
            <w:r>
              <w:rPr>
                <w:color w:val="000000"/>
                <w:sz w:val="12"/>
                <w:szCs w:val="12"/>
              </w:rPr>
              <w:t>9</w:t>
            </w:r>
          </w:p>
        </w:tc>
        <w:tc>
          <w:tcPr>
            <w:tcW w:w="903" w:type="dxa"/>
            <w:tcBorders>
              <w:top w:val="nil"/>
              <w:left w:val="nil"/>
              <w:bottom w:val="nil"/>
              <w:right w:val="nil"/>
            </w:tcBorders>
            <w:shd w:val="clear" w:color="000000" w:fill="F2F2F2"/>
            <w:vAlign w:val="bottom"/>
          </w:tcPr>
          <w:p w14:paraId="7C393BE9" w14:textId="77777777" w:rsidR="005364CA" w:rsidRPr="00DC4844" w:rsidRDefault="005364CA" w:rsidP="00AC3862">
            <w:pPr>
              <w:jc w:val="right"/>
              <w:rPr>
                <w:color w:val="000000"/>
                <w:sz w:val="12"/>
                <w:szCs w:val="12"/>
              </w:rPr>
            </w:pPr>
            <w:r w:rsidRPr="00DC4844">
              <w:rPr>
                <w:color w:val="000000"/>
                <w:sz w:val="12"/>
                <w:szCs w:val="12"/>
              </w:rPr>
              <w:t>5.2</w:t>
            </w:r>
          </w:p>
        </w:tc>
        <w:tc>
          <w:tcPr>
            <w:tcW w:w="759" w:type="dxa"/>
            <w:tcBorders>
              <w:top w:val="nil"/>
              <w:left w:val="nil"/>
              <w:bottom w:val="nil"/>
              <w:right w:val="nil"/>
            </w:tcBorders>
            <w:shd w:val="clear" w:color="000000" w:fill="F2F2F2"/>
            <w:vAlign w:val="bottom"/>
          </w:tcPr>
          <w:p w14:paraId="3ABC5D38" w14:textId="77777777" w:rsidR="005364CA" w:rsidRPr="00DC4844" w:rsidRDefault="005364CA" w:rsidP="00AC3862">
            <w:pPr>
              <w:jc w:val="right"/>
              <w:rPr>
                <w:color w:val="000000"/>
                <w:sz w:val="12"/>
                <w:szCs w:val="12"/>
              </w:rPr>
            </w:pPr>
            <w:r>
              <w:rPr>
                <w:color w:val="000000"/>
                <w:sz w:val="12"/>
                <w:szCs w:val="12"/>
              </w:rPr>
              <w:t>4</w:t>
            </w:r>
            <w:r w:rsidRPr="00DC4844">
              <w:rPr>
                <w:color w:val="000000"/>
                <w:sz w:val="12"/>
                <w:szCs w:val="12"/>
              </w:rPr>
              <w:t>.</w:t>
            </w:r>
            <w:r>
              <w:rPr>
                <w:color w:val="000000"/>
                <w:sz w:val="12"/>
                <w:szCs w:val="12"/>
              </w:rPr>
              <w:t>8</w:t>
            </w:r>
          </w:p>
        </w:tc>
        <w:tc>
          <w:tcPr>
            <w:tcW w:w="851" w:type="dxa"/>
            <w:tcBorders>
              <w:top w:val="nil"/>
              <w:left w:val="nil"/>
              <w:bottom w:val="nil"/>
              <w:right w:val="nil"/>
            </w:tcBorders>
            <w:shd w:val="clear" w:color="000000" w:fill="F2F2F2"/>
            <w:vAlign w:val="bottom"/>
          </w:tcPr>
          <w:p w14:paraId="675105AF" w14:textId="77777777" w:rsidR="005364CA" w:rsidRPr="00DC4844" w:rsidRDefault="005364CA" w:rsidP="00AC3862">
            <w:pPr>
              <w:jc w:val="right"/>
              <w:rPr>
                <w:color w:val="000000"/>
                <w:sz w:val="12"/>
                <w:szCs w:val="12"/>
              </w:rPr>
            </w:pPr>
            <w:r>
              <w:rPr>
                <w:color w:val="000000"/>
                <w:sz w:val="12"/>
                <w:szCs w:val="12"/>
              </w:rPr>
              <w:t>4</w:t>
            </w:r>
            <w:r w:rsidRPr="00DC4844">
              <w:rPr>
                <w:color w:val="000000"/>
                <w:sz w:val="12"/>
                <w:szCs w:val="12"/>
              </w:rPr>
              <w:t>.2</w:t>
            </w:r>
          </w:p>
        </w:tc>
        <w:tc>
          <w:tcPr>
            <w:tcW w:w="752" w:type="dxa"/>
            <w:tcBorders>
              <w:top w:val="nil"/>
              <w:left w:val="nil"/>
              <w:bottom w:val="nil"/>
              <w:right w:val="nil"/>
            </w:tcBorders>
            <w:shd w:val="clear" w:color="000000" w:fill="F2F2F2"/>
            <w:vAlign w:val="bottom"/>
          </w:tcPr>
          <w:p w14:paraId="2A53EA56" w14:textId="77777777" w:rsidR="005364CA" w:rsidRPr="00DC4844" w:rsidRDefault="005364CA" w:rsidP="00AC3862">
            <w:pPr>
              <w:jc w:val="right"/>
              <w:rPr>
                <w:color w:val="000000"/>
                <w:sz w:val="12"/>
                <w:szCs w:val="12"/>
              </w:rPr>
            </w:pPr>
            <w:r>
              <w:rPr>
                <w:color w:val="000000"/>
                <w:sz w:val="12"/>
                <w:szCs w:val="12"/>
              </w:rPr>
              <w:t>4</w:t>
            </w:r>
            <w:r w:rsidRPr="00DC4844">
              <w:rPr>
                <w:color w:val="000000"/>
                <w:sz w:val="12"/>
                <w:szCs w:val="12"/>
              </w:rPr>
              <w:t>.</w:t>
            </w:r>
            <w:r>
              <w:rPr>
                <w:color w:val="000000"/>
                <w:sz w:val="12"/>
                <w:szCs w:val="12"/>
              </w:rPr>
              <w:t>0</w:t>
            </w:r>
          </w:p>
        </w:tc>
        <w:tc>
          <w:tcPr>
            <w:tcW w:w="752" w:type="dxa"/>
            <w:tcBorders>
              <w:top w:val="nil"/>
              <w:left w:val="nil"/>
              <w:bottom w:val="nil"/>
              <w:right w:val="nil"/>
            </w:tcBorders>
            <w:shd w:val="clear" w:color="000000" w:fill="F2F2F2"/>
            <w:vAlign w:val="bottom"/>
          </w:tcPr>
          <w:p w14:paraId="70519DF6" w14:textId="77777777" w:rsidR="005364CA" w:rsidRPr="00DC4844" w:rsidRDefault="005364CA" w:rsidP="00AC3862">
            <w:pPr>
              <w:jc w:val="right"/>
              <w:rPr>
                <w:color w:val="000000"/>
                <w:sz w:val="12"/>
                <w:szCs w:val="12"/>
              </w:rPr>
            </w:pPr>
            <w:r>
              <w:rPr>
                <w:color w:val="000000"/>
                <w:sz w:val="12"/>
                <w:szCs w:val="12"/>
              </w:rPr>
              <w:t>4</w:t>
            </w:r>
            <w:r w:rsidRPr="00DC4844">
              <w:rPr>
                <w:color w:val="000000"/>
                <w:sz w:val="12"/>
                <w:szCs w:val="12"/>
              </w:rPr>
              <w:t>.</w:t>
            </w:r>
            <w:r>
              <w:rPr>
                <w:color w:val="000000"/>
                <w:sz w:val="12"/>
                <w:szCs w:val="12"/>
              </w:rPr>
              <w:t>0</w:t>
            </w:r>
          </w:p>
        </w:tc>
        <w:tc>
          <w:tcPr>
            <w:tcW w:w="752" w:type="dxa"/>
            <w:tcBorders>
              <w:top w:val="nil"/>
              <w:left w:val="nil"/>
              <w:bottom w:val="nil"/>
              <w:right w:val="nil"/>
            </w:tcBorders>
            <w:shd w:val="clear" w:color="000000" w:fill="F2F2F2"/>
            <w:vAlign w:val="bottom"/>
          </w:tcPr>
          <w:p w14:paraId="0625D377" w14:textId="77777777" w:rsidR="005364CA" w:rsidRPr="00DC4844" w:rsidRDefault="005364CA" w:rsidP="00AC3862">
            <w:pPr>
              <w:jc w:val="right"/>
              <w:rPr>
                <w:color w:val="000000"/>
                <w:sz w:val="12"/>
                <w:szCs w:val="12"/>
              </w:rPr>
            </w:pPr>
            <w:r>
              <w:rPr>
                <w:color w:val="000000"/>
                <w:sz w:val="12"/>
                <w:szCs w:val="12"/>
              </w:rPr>
              <w:t>4</w:t>
            </w:r>
            <w:r w:rsidRPr="00DC4844">
              <w:rPr>
                <w:color w:val="000000"/>
                <w:sz w:val="12"/>
                <w:szCs w:val="12"/>
              </w:rPr>
              <w:t>.</w:t>
            </w:r>
            <w:r>
              <w:rPr>
                <w:color w:val="000000"/>
                <w:sz w:val="12"/>
                <w:szCs w:val="12"/>
              </w:rPr>
              <w:t>0</w:t>
            </w:r>
          </w:p>
        </w:tc>
        <w:tc>
          <w:tcPr>
            <w:tcW w:w="752" w:type="dxa"/>
            <w:gridSpan w:val="2"/>
            <w:tcBorders>
              <w:top w:val="nil"/>
              <w:left w:val="nil"/>
              <w:bottom w:val="nil"/>
              <w:right w:val="nil"/>
            </w:tcBorders>
            <w:shd w:val="clear" w:color="000000" w:fill="F2F2F2"/>
            <w:noWrap/>
            <w:vAlign w:val="bottom"/>
            <w:hideMark/>
          </w:tcPr>
          <w:p w14:paraId="742E41B0" w14:textId="77777777" w:rsidR="005364CA" w:rsidRPr="00DC4844" w:rsidRDefault="005364CA" w:rsidP="00AC3862">
            <w:pPr>
              <w:jc w:val="right"/>
              <w:rPr>
                <w:color w:val="000000"/>
                <w:sz w:val="12"/>
                <w:szCs w:val="12"/>
              </w:rPr>
            </w:pPr>
            <w:r w:rsidRPr="00DC4844">
              <w:rPr>
                <w:color w:val="000000"/>
                <w:sz w:val="12"/>
                <w:szCs w:val="12"/>
              </w:rPr>
              <w:t>4.</w:t>
            </w:r>
            <w:r>
              <w:rPr>
                <w:color w:val="000000"/>
                <w:sz w:val="12"/>
                <w:szCs w:val="12"/>
              </w:rPr>
              <w:t>0</w:t>
            </w:r>
          </w:p>
        </w:tc>
      </w:tr>
      <w:tr w:rsidR="005364CA" w:rsidRPr="00DC4844" w14:paraId="5E15F5E0" w14:textId="77777777" w:rsidTr="00F34DCB">
        <w:trPr>
          <w:trHeight w:val="300"/>
          <w:jc w:val="center"/>
        </w:trPr>
        <w:tc>
          <w:tcPr>
            <w:tcW w:w="2268" w:type="dxa"/>
            <w:tcBorders>
              <w:top w:val="nil"/>
              <w:left w:val="nil"/>
              <w:bottom w:val="nil"/>
              <w:right w:val="nil"/>
            </w:tcBorders>
            <w:noWrap/>
            <w:vAlign w:val="bottom"/>
            <w:hideMark/>
          </w:tcPr>
          <w:p w14:paraId="2A5EE8E6" w14:textId="77777777" w:rsidR="005364CA" w:rsidRPr="00DC4844" w:rsidRDefault="005364CA" w:rsidP="00AC3862">
            <w:pPr>
              <w:rPr>
                <w:b/>
                <w:bCs/>
                <w:color w:val="000000"/>
                <w:sz w:val="12"/>
                <w:szCs w:val="12"/>
              </w:rPr>
            </w:pPr>
            <w:r w:rsidRPr="00DC4844">
              <w:rPr>
                <w:b/>
                <w:bCs/>
                <w:color w:val="000000"/>
                <w:sz w:val="12"/>
                <w:szCs w:val="12"/>
              </w:rPr>
              <w:t xml:space="preserve">Inflación (%) </w:t>
            </w:r>
          </w:p>
        </w:tc>
        <w:tc>
          <w:tcPr>
            <w:tcW w:w="748" w:type="dxa"/>
            <w:tcBorders>
              <w:top w:val="nil"/>
              <w:left w:val="nil"/>
              <w:bottom w:val="nil"/>
              <w:right w:val="nil"/>
            </w:tcBorders>
            <w:noWrap/>
            <w:vAlign w:val="bottom"/>
            <w:hideMark/>
          </w:tcPr>
          <w:p w14:paraId="1619828B" w14:textId="77777777" w:rsidR="005364CA" w:rsidRPr="00DC4844" w:rsidRDefault="005364CA" w:rsidP="00AC3862">
            <w:pPr>
              <w:rPr>
                <w:b/>
                <w:bCs/>
                <w:color w:val="000000"/>
                <w:sz w:val="12"/>
                <w:szCs w:val="12"/>
              </w:rPr>
            </w:pPr>
          </w:p>
        </w:tc>
        <w:tc>
          <w:tcPr>
            <w:tcW w:w="903" w:type="dxa"/>
            <w:tcBorders>
              <w:top w:val="nil"/>
              <w:left w:val="nil"/>
              <w:bottom w:val="nil"/>
              <w:right w:val="nil"/>
            </w:tcBorders>
            <w:vAlign w:val="bottom"/>
          </w:tcPr>
          <w:p w14:paraId="6BB1D0CE" w14:textId="77777777" w:rsidR="005364CA" w:rsidRPr="00DC4844" w:rsidRDefault="005364CA" w:rsidP="00AC3862">
            <w:pPr>
              <w:rPr>
                <w:b/>
                <w:bCs/>
                <w:sz w:val="12"/>
                <w:szCs w:val="12"/>
              </w:rPr>
            </w:pPr>
          </w:p>
        </w:tc>
        <w:tc>
          <w:tcPr>
            <w:tcW w:w="759" w:type="dxa"/>
            <w:tcBorders>
              <w:top w:val="nil"/>
              <w:left w:val="nil"/>
              <w:bottom w:val="nil"/>
              <w:right w:val="nil"/>
            </w:tcBorders>
            <w:vAlign w:val="bottom"/>
          </w:tcPr>
          <w:p w14:paraId="1FA46586" w14:textId="77777777" w:rsidR="005364CA" w:rsidRPr="00DC4844" w:rsidRDefault="005364CA" w:rsidP="00AC3862">
            <w:pPr>
              <w:rPr>
                <w:b/>
                <w:bCs/>
                <w:sz w:val="12"/>
                <w:szCs w:val="12"/>
              </w:rPr>
            </w:pPr>
          </w:p>
        </w:tc>
        <w:tc>
          <w:tcPr>
            <w:tcW w:w="851" w:type="dxa"/>
            <w:tcBorders>
              <w:top w:val="nil"/>
              <w:left w:val="nil"/>
              <w:bottom w:val="nil"/>
              <w:right w:val="nil"/>
            </w:tcBorders>
            <w:vAlign w:val="bottom"/>
          </w:tcPr>
          <w:p w14:paraId="00D794BC" w14:textId="77777777" w:rsidR="005364CA" w:rsidRPr="00DC4844" w:rsidRDefault="005364CA" w:rsidP="00AC3862">
            <w:pPr>
              <w:rPr>
                <w:b/>
                <w:bCs/>
                <w:sz w:val="12"/>
                <w:szCs w:val="12"/>
              </w:rPr>
            </w:pPr>
          </w:p>
        </w:tc>
        <w:tc>
          <w:tcPr>
            <w:tcW w:w="752" w:type="dxa"/>
            <w:tcBorders>
              <w:top w:val="nil"/>
              <w:left w:val="nil"/>
              <w:bottom w:val="nil"/>
              <w:right w:val="nil"/>
            </w:tcBorders>
            <w:vAlign w:val="bottom"/>
          </w:tcPr>
          <w:p w14:paraId="6971959C" w14:textId="77777777" w:rsidR="005364CA" w:rsidRPr="00DC4844" w:rsidRDefault="005364CA" w:rsidP="00AC3862">
            <w:pPr>
              <w:rPr>
                <w:b/>
                <w:bCs/>
                <w:sz w:val="12"/>
                <w:szCs w:val="12"/>
              </w:rPr>
            </w:pPr>
          </w:p>
        </w:tc>
        <w:tc>
          <w:tcPr>
            <w:tcW w:w="752" w:type="dxa"/>
            <w:tcBorders>
              <w:top w:val="nil"/>
              <w:left w:val="nil"/>
              <w:bottom w:val="nil"/>
              <w:right w:val="nil"/>
            </w:tcBorders>
            <w:vAlign w:val="bottom"/>
          </w:tcPr>
          <w:p w14:paraId="45856D0C" w14:textId="77777777" w:rsidR="005364CA" w:rsidRPr="00DC4844" w:rsidRDefault="005364CA" w:rsidP="00AC3862">
            <w:pPr>
              <w:rPr>
                <w:b/>
                <w:bCs/>
                <w:sz w:val="12"/>
                <w:szCs w:val="12"/>
              </w:rPr>
            </w:pPr>
          </w:p>
        </w:tc>
        <w:tc>
          <w:tcPr>
            <w:tcW w:w="752" w:type="dxa"/>
            <w:tcBorders>
              <w:top w:val="nil"/>
              <w:left w:val="nil"/>
              <w:bottom w:val="nil"/>
              <w:right w:val="nil"/>
            </w:tcBorders>
            <w:vAlign w:val="bottom"/>
          </w:tcPr>
          <w:p w14:paraId="2AB52F77" w14:textId="77777777" w:rsidR="005364CA" w:rsidRPr="00DC4844" w:rsidRDefault="005364CA" w:rsidP="00AC3862">
            <w:pPr>
              <w:rPr>
                <w:b/>
                <w:bCs/>
                <w:sz w:val="12"/>
                <w:szCs w:val="12"/>
              </w:rPr>
            </w:pPr>
          </w:p>
        </w:tc>
        <w:tc>
          <w:tcPr>
            <w:tcW w:w="752" w:type="dxa"/>
            <w:gridSpan w:val="2"/>
            <w:tcBorders>
              <w:top w:val="nil"/>
              <w:left w:val="nil"/>
              <w:bottom w:val="nil"/>
              <w:right w:val="nil"/>
            </w:tcBorders>
            <w:noWrap/>
            <w:vAlign w:val="bottom"/>
            <w:hideMark/>
          </w:tcPr>
          <w:p w14:paraId="03EAB45D" w14:textId="77777777" w:rsidR="005364CA" w:rsidRPr="00DC4844" w:rsidRDefault="005364CA" w:rsidP="00AC3862">
            <w:pPr>
              <w:rPr>
                <w:b/>
                <w:bCs/>
                <w:sz w:val="12"/>
                <w:szCs w:val="12"/>
              </w:rPr>
            </w:pPr>
          </w:p>
        </w:tc>
      </w:tr>
      <w:tr w:rsidR="005364CA" w:rsidRPr="00DC4844" w14:paraId="0E1C8519" w14:textId="77777777" w:rsidTr="00F34DCB">
        <w:trPr>
          <w:trHeight w:val="73"/>
          <w:jc w:val="center"/>
        </w:trPr>
        <w:tc>
          <w:tcPr>
            <w:tcW w:w="2268" w:type="dxa"/>
            <w:tcBorders>
              <w:top w:val="nil"/>
              <w:left w:val="nil"/>
              <w:bottom w:val="nil"/>
              <w:right w:val="nil"/>
            </w:tcBorders>
            <w:shd w:val="clear" w:color="000000" w:fill="F2F2F2"/>
            <w:noWrap/>
            <w:vAlign w:val="bottom"/>
            <w:hideMark/>
          </w:tcPr>
          <w:p w14:paraId="0B868505" w14:textId="77777777" w:rsidR="005364CA" w:rsidRPr="00DC4844" w:rsidRDefault="005364CA" w:rsidP="00AC3862">
            <w:pPr>
              <w:rPr>
                <w:color w:val="000000"/>
                <w:sz w:val="12"/>
                <w:szCs w:val="12"/>
              </w:rPr>
            </w:pPr>
            <w:r w:rsidRPr="00DC4844">
              <w:rPr>
                <w:color w:val="000000"/>
                <w:sz w:val="12"/>
                <w:szCs w:val="12"/>
              </w:rPr>
              <w:t xml:space="preserve">     Diciembre / diciembre  </w:t>
            </w:r>
          </w:p>
        </w:tc>
        <w:tc>
          <w:tcPr>
            <w:tcW w:w="748" w:type="dxa"/>
            <w:tcBorders>
              <w:top w:val="nil"/>
              <w:left w:val="nil"/>
              <w:bottom w:val="nil"/>
              <w:right w:val="nil"/>
            </w:tcBorders>
            <w:shd w:val="clear" w:color="000000" w:fill="F2F2F2"/>
            <w:noWrap/>
            <w:vAlign w:val="bottom"/>
            <w:hideMark/>
          </w:tcPr>
          <w:p w14:paraId="42A9C0D8" w14:textId="77777777" w:rsidR="005364CA" w:rsidRPr="00DC4844" w:rsidRDefault="005364CA" w:rsidP="00AC3862">
            <w:pPr>
              <w:jc w:val="right"/>
              <w:rPr>
                <w:color w:val="000000"/>
                <w:sz w:val="12"/>
                <w:szCs w:val="12"/>
              </w:rPr>
            </w:pPr>
            <w:r>
              <w:rPr>
                <w:color w:val="000000"/>
                <w:sz w:val="12"/>
                <w:szCs w:val="12"/>
              </w:rPr>
              <w:t>4</w:t>
            </w:r>
            <w:r w:rsidRPr="00DC4844">
              <w:rPr>
                <w:color w:val="000000"/>
                <w:sz w:val="12"/>
                <w:szCs w:val="12"/>
              </w:rPr>
              <w:t>.</w:t>
            </w:r>
            <w:r>
              <w:rPr>
                <w:color w:val="000000"/>
                <w:sz w:val="12"/>
                <w:szCs w:val="12"/>
              </w:rPr>
              <w:t>2</w:t>
            </w:r>
          </w:p>
        </w:tc>
        <w:tc>
          <w:tcPr>
            <w:tcW w:w="903" w:type="dxa"/>
            <w:tcBorders>
              <w:top w:val="nil"/>
              <w:left w:val="nil"/>
              <w:bottom w:val="nil"/>
              <w:right w:val="nil"/>
            </w:tcBorders>
            <w:shd w:val="clear" w:color="000000" w:fill="F2F2F2"/>
            <w:vAlign w:val="bottom"/>
          </w:tcPr>
          <w:p w14:paraId="055808DF" w14:textId="77777777" w:rsidR="005364CA" w:rsidRPr="00DC4844" w:rsidRDefault="005364CA" w:rsidP="00AC3862">
            <w:pPr>
              <w:jc w:val="right"/>
              <w:rPr>
                <w:color w:val="000000"/>
                <w:sz w:val="12"/>
                <w:szCs w:val="12"/>
              </w:rPr>
            </w:pPr>
            <w:r w:rsidRPr="00DC4844">
              <w:rPr>
                <w:color w:val="000000"/>
                <w:sz w:val="12"/>
                <w:szCs w:val="12"/>
              </w:rPr>
              <w:t>3.8</w:t>
            </w:r>
          </w:p>
        </w:tc>
        <w:tc>
          <w:tcPr>
            <w:tcW w:w="759" w:type="dxa"/>
            <w:tcBorders>
              <w:top w:val="nil"/>
              <w:left w:val="nil"/>
              <w:bottom w:val="nil"/>
              <w:right w:val="nil"/>
            </w:tcBorders>
            <w:shd w:val="clear" w:color="000000" w:fill="F2F2F2"/>
            <w:vAlign w:val="bottom"/>
          </w:tcPr>
          <w:p w14:paraId="1D5903CB"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0</w:t>
            </w:r>
          </w:p>
        </w:tc>
        <w:tc>
          <w:tcPr>
            <w:tcW w:w="851" w:type="dxa"/>
            <w:tcBorders>
              <w:top w:val="nil"/>
              <w:left w:val="nil"/>
              <w:bottom w:val="nil"/>
              <w:right w:val="nil"/>
            </w:tcBorders>
            <w:shd w:val="clear" w:color="000000" w:fill="F2F2F2"/>
            <w:vAlign w:val="bottom"/>
          </w:tcPr>
          <w:p w14:paraId="7AF33FBC"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0</w:t>
            </w:r>
          </w:p>
        </w:tc>
        <w:tc>
          <w:tcPr>
            <w:tcW w:w="752" w:type="dxa"/>
            <w:tcBorders>
              <w:top w:val="nil"/>
              <w:left w:val="nil"/>
              <w:bottom w:val="nil"/>
              <w:right w:val="nil"/>
            </w:tcBorders>
            <w:shd w:val="clear" w:color="000000" w:fill="F2F2F2"/>
            <w:vAlign w:val="bottom"/>
          </w:tcPr>
          <w:p w14:paraId="60E109F4"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0</w:t>
            </w:r>
          </w:p>
        </w:tc>
        <w:tc>
          <w:tcPr>
            <w:tcW w:w="752" w:type="dxa"/>
            <w:tcBorders>
              <w:top w:val="nil"/>
              <w:left w:val="nil"/>
              <w:bottom w:val="nil"/>
              <w:right w:val="nil"/>
            </w:tcBorders>
            <w:shd w:val="clear" w:color="000000" w:fill="F2F2F2"/>
            <w:vAlign w:val="bottom"/>
          </w:tcPr>
          <w:p w14:paraId="3447BCD1"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0</w:t>
            </w:r>
          </w:p>
        </w:tc>
        <w:tc>
          <w:tcPr>
            <w:tcW w:w="752" w:type="dxa"/>
            <w:tcBorders>
              <w:top w:val="nil"/>
              <w:left w:val="nil"/>
              <w:bottom w:val="nil"/>
              <w:right w:val="nil"/>
            </w:tcBorders>
            <w:shd w:val="clear" w:color="000000" w:fill="F2F2F2"/>
            <w:vAlign w:val="bottom"/>
          </w:tcPr>
          <w:p w14:paraId="3F237C56"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0</w:t>
            </w:r>
          </w:p>
        </w:tc>
        <w:tc>
          <w:tcPr>
            <w:tcW w:w="752" w:type="dxa"/>
            <w:gridSpan w:val="2"/>
            <w:tcBorders>
              <w:top w:val="nil"/>
              <w:left w:val="nil"/>
              <w:bottom w:val="nil"/>
              <w:right w:val="nil"/>
            </w:tcBorders>
            <w:shd w:val="clear" w:color="000000" w:fill="F2F2F2"/>
            <w:noWrap/>
            <w:vAlign w:val="bottom"/>
            <w:hideMark/>
          </w:tcPr>
          <w:p w14:paraId="4F65C3FC" w14:textId="77777777" w:rsidR="005364CA" w:rsidRPr="00DC4844" w:rsidRDefault="005364CA" w:rsidP="00AC3862">
            <w:pPr>
              <w:jc w:val="right"/>
              <w:rPr>
                <w:color w:val="000000"/>
                <w:sz w:val="12"/>
                <w:szCs w:val="12"/>
              </w:rPr>
            </w:pPr>
            <w:r w:rsidRPr="00DC4844">
              <w:rPr>
                <w:color w:val="000000"/>
                <w:sz w:val="12"/>
                <w:szCs w:val="12"/>
              </w:rPr>
              <w:t>3.0</w:t>
            </w:r>
          </w:p>
        </w:tc>
      </w:tr>
      <w:tr w:rsidR="005364CA" w:rsidRPr="00DC4844" w14:paraId="2E4B88E3" w14:textId="77777777" w:rsidTr="00F34DCB">
        <w:trPr>
          <w:trHeight w:val="217"/>
          <w:jc w:val="center"/>
        </w:trPr>
        <w:tc>
          <w:tcPr>
            <w:tcW w:w="2268" w:type="dxa"/>
            <w:tcBorders>
              <w:top w:val="nil"/>
              <w:left w:val="nil"/>
              <w:bottom w:val="nil"/>
              <w:right w:val="nil"/>
            </w:tcBorders>
            <w:noWrap/>
            <w:vAlign w:val="bottom"/>
          </w:tcPr>
          <w:p w14:paraId="772ACECB" w14:textId="77777777" w:rsidR="005364CA" w:rsidRPr="00DC4844" w:rsidRDefault="005364CA" w:rsidP="00AC3862">
            <w:pPr>
              <w:rPr>
                <w:color w:val="000000"/>
                <w:sz w:val="12"/>
                <w:szCs w:val="12"/>
              </w:rPr>
            </w:pPr>
            <w:r w:rsidRPr="00DC4844">
              <w:rPr>
                <w:color w:val="000000"/>
                <w:sz w:val="12"/>
                <w:szCs w:val="12"/>
              </w:rPr>
              <w:t xml:space="preserve">     Promedio</w:t>
            </w:r>
          </w:p>
        </w:tc>
        <w:tc>
          <w:tcPr>
            <w:tcW w:w="748" w:type="dxa"/>
            <w:tcBorders>
              <w:top w:val="nil"/>
              <w:left w:val="nil"/>
              <w:bottom w:val="nil"/>
              <w:right w:val="nil"/>
            </w:tcBorders>
            <w:noWrap/>
            <w:vAlign w:val="bottom"/>
          </w:tcPr>
          <w:p w14:paraId="404C4339" w14:textId="77777777" w:rsidR="005364CA" w:rsidRPr="00DC4844" w:rsidRDefault="005364CA" w:rsidP="00AC3862">
            <w:pPr>
              <w:jc w:val="right"/>
              <w:rPr>
                <w:color w:val="000000"/>
                <w:sz w:val="12"/>
                <w:szCs w:val="12"/>
              </w:rPr>
            </w:pPr>
            <w:r>
              <w:rPr>
                <w:color w:val="000000"/>
                <w:sz w:val="12"/>
                <w:szCs w:val="12"/>
              </w:rPr>
              <w:t>4</w:t>
            </w:r>
            <w:r w:rsidRPr="00DC4844">
              <w:rPr>
                <w:color w:val="000000"/>
                <w:sz w:val="12"/>
                <w:szCs w:val="12"/>
              </w:rPr>
              <w:t>.</w:t>
            </w:r>
            <w:r>
              <w:rPr>
                <w:color w:val="000000"/>
                <w:sz w:val="12"/>
                <w:szCs w:val="12"/>
              </w:rPr>
              <w:t>7</w:t>
            </w:r>
          </w:p>
        </w:tc>
        <w:tc>
          <w:tcPr>
            <w:tcW w:w="903" w:type="dxa"/>
            <w:tcBorders>
              <w:top w:val="nil"/>
              <w:left w:val="nil"/>
              <w:bottom w:val="nil"/>
              <w:right w:val="nil"/>
            </w:tcBorders>
            <w:vAlign w:val="bottom"/>
          </w:tcPr>
          <w:p w14:paraId="48BBB6C0" w14:textId="77777777" w:rsidR="005364CA" w:rsidRPr="00DC4844" w:rsidRDefault="005364CA" w:rsidP="00AC3862">
            <w:pPr>
              <w:jc w:val="right"/>
              <w:rPr>
                <w:color w:val="000000"/>
                <w:sz w:val="12"/>
                <w:szCs w:val="12"/>
              </w:rPr>
            </w:pPr>
            <w:r w:rsidRPr="00DC4844">
              <w:rPr>
                <w:color w:val="000000"/>
                <w:sz w:val="12"/>
                <w:szCs w:val="12"/>
              </w:rPr>
              <w:t>4.2</w:t>
            </w:r>
          </w:p>
        </w:tc>
        <w:tc>
          <w:tcPr>
            <w:tcW w:w="759" w:type="dxa"/>
            <w:tcBorders>
              <w:top w:val="nil"/>
              <w:left w:val="nil"/>
              <w:bottom w:val="nil"/>
              <w:right w:val="nil"/>
            </w:tcBorders>
            <w:vAlign w:val="bottom"/>
          </w:tcPr>
          <w:p w14:paraId="645EC3CE" w14:textId="77777777" w:rsidR="005364CA" w:rsidRPr="00DC4844" w:rsidRDefault="005364CA" w:rsidP="00AC3862">
            <w:pPr>
              <w:jc w:val="right"/>
              <w:rPr>
                <w:color w:val="000000"/>
                <w:sz w:val="12"/>
                <w:szCs w:val="12"/>
              </w:rPr>
            </w:pPr>
            <w:r>
              <w:rPr>
                <w:color w:val="000000"/>
                <w:sz w:val="12"/>
                <w:szCs w:val="12"/>
              </w:rPr>
              <w:t>3</w:t>
            </w:r>
            <w:r w:rsidRPr="00DC4844">
              <w:rPr>
                <w:color w:val="000000"/>
                <w:sz w:val="12"/>
                <w:szCs w:val="12"/>
              </w:rPr>
              <w:t>.</w:t>
            </w:r>
            <w:r>
              <w:rPr>
                <w:color w:val="000000"/>
                <w:sz w:val="12"/>
                <w:szCs w:val="12"/>
              </w:rPr>
              <w:t>5</w:t>
            </w:r>
          </w:p>
        </w:tc>
        <w:tc>
          <w:tcPr>
            <w:tcW w:w="851" w:type="dxa"/>
            <w:tcBorders>
              <w:top w:val="nil"/>
              <w:left w:val="nil"/>
              <w:bottom w:val="nil"/>
              <w:right w:val="nil"/>
            </w:tcBorders>
            <w:vAlign w:val="bottom"/>
          </w:tcPr>
          <w:p w14:paraId="228AB0CC" w14:textId="77777777" w:rsidR="005364CA" w:rsidRPr="00DC4844" w:rsidRDefault="005364CA" w:rsidP="00AC3862">
            <w:pPr>
              <w:jc w:val="right"/>
              <w:rPr>
                <w:color w:val="000000"/>
                <w:sz w:val="12"/>
                <w:szCs w:val="12"/>
              </w:rPr>
            </w:pPr>
            <w:r>
              <w:rPr>
                <w:color w:val="000000"/>
                <w:sz w:val="12"/>
                <w:szCs w:val="12"/>
              </w:rPr>
              <w:t>3</w:t>
            </w:r>
            <w:r w:rsidRPr="00DC4844">
              <w:rPr>
                <w:color w:val="000000"/>
                <w:sz w:val="12"/>
                <w:szCs w:val="12"/>
              </w:rPr>
              <w:t>.</w:t>
            </w:r>
            <w:r>
              <w:rPr>
                <w:color w:val="000000"/>
                <w:sz w:val="12"/>
                <w:szCs w:val="12"/>
              </w:rPr>
              <w:t>0</w:t>
            </w:r>
          </w:p>
        </w:tc>
        <w:tc>
          <w:tcPr>
            <w:tcW w:w="752" w:type="dxa"/>
            <w:tcBorders>
              <w:top w:val="nil"/>
              <w:left w:val="nil"/>
              <w:bottom w:val="nil"/>
              <w:right w:val="nil"/>
            </w:tcBorders>
            <w:vAlign w:val="bottom"/>
          </w:tcPr>
          <w:p w14:paraId="3DAD385C" w14:textId="77777777" w:rsidR="005364CA" w:rsidRPr="00DC4844" w:rsidRDefault="005364CA" w:rsidP="00AC3862">
            <w:pPr>
              <w:jc w:val="right"/>
              <w:rPr>
                <w:color w:val="000000"/>
                <w:sz w:val="12"/>
                <w:szCs w:val="12"/>
              </w:rPr>
            </w:pPr>
            <w:r>
              <w:rPr>
                <w:color w:val="000000"/>
                <w:sz w:val="12"/>
                <w:szCs w:val="12"/>
              </w:rPr>
              <w:t>3</w:t>
            </w:r>
            <w:r w:rsidRPr="00DC4844">
              <w:rPr>
                <w:color w:val="000000"/>
                <w:sz w:val="12"/>
                <w:szCs w:val="12"/>
              </w:rPr>
              <w:t>.</w:t>
            </w:r>
            <w:r>
              <w:rPr>
                <w:color w:val="000000"/>
                <w:sz w:val="12"/>
                <w:szCs w:val="12"/>
              </w:rPr>
              <w:t>0</w:t>
            </w:r>
          </w:p>
        </w:tc>
        <w:tc>
          <w:tcPr>
            <w:tcW w:w="752" w:type="dxa"/>
            <w:tcBorders>
              <w:top w:val="nil"/>
              <w:left w:val="nil"/>
              <w:bottom w:val="nil"/>
              <w:right w:val="nil"/>
            </w:tcBorders>
            <w:vAlign w:val="bottom"/>
          </w:tcPr>
          <w:p w14:paraId="3957E861" w14:textId="77777777" w:rsidR="005364CA" w:rsidRPr="00DC4844" w:rsidRDefault="005364CA" w:rsidP="00AC3862">
            <w:pPr>
              <w:jc w:val="right"/>
              <w:rPr>
                <w:color w:val="000000"/>
                <w:sz w:val="12"/>
                <w:szCs w:val="12"/>
              </w:rPr>
            </w:pPr>
            <w:r>
              <w:rPr>
                <w:color w:val="000000"/>
                <w:sz w:val="12"/>
                <w:szCs w:val="12"/>
              </w:rPr>
              <w:t>3</w:t>
            </w:r>
            <w:r w:rsidRPr="00DC4844">
              <w:rPr>
                <w:color w:val="000000"/>
                <w:sz w:val="12"/>
                <w:szCs w:val="12"/>
              </w:rPr>
              <w:t>.</w:t>
            </w:r>
            <w:r>
              <w:rPr>
                <w:color w:val="000000"/>
                <w:sz w:val="12"/>
                <w:szCs w:val="12"/>
              </w:rPr>
              <w:t>0</w:t>
            </w:r>
          </w:p>
        </w:tc>
        <w:tc>
          <w:tcPr>
            <w:tcW w:w="752" w:type="dxa"/>
            <w:tcBorders>
              <w:top w:val="nil"/>
              <w:left w:val="nil"/>
              <w:bottom w:val="nil"/>
              <w:right w:val="nil"/>
            </w:tcBorders>
            <w:vAlign w:val="bottom"/>
          </w:tcPr>
          <w:p w14:paraId="7C7AAB99" w14:textId="77777777" w:rsidR="005364CA" w:rsidRPr="00DC4844" w:rsidRDefault="005364CA" w:rsidP="00AC3862">
            <w:pPr>
              <w:jc w:val="right"/>
              <w:rPr>
                <w:color w:val="000000"/>
                <w:sz w:val="12"/>
                <w:szCs w:val="12"/>
              </w:rPr>
            </w:pPr>
            <w:r>
              <w:rPr>
                <w:color w:val="000000"/>
                <w:sz w:val="12"/>
                <w:szCs w:val="12"/>
              </w:rPr>
              <w:t>3</w:t>
            </w:r>
            <w:r w:rsidRPr="00DC4844">
              <w:rPr>
                <w:color w:val="000000"/>
                <w:sz w:val="12"/>
                <w:szCs w:val="12"/>
              </w:rPr>
              <w:t>.</w:t>
            </w:r>
            <w:r>
              <w:rPr>
                <w:color w:val="000000"/>
                <w:sz w:val="12"/>
                <w:szCs w:val="12"/>
              </w:rPr>
              <w:t>0</w:t>
            </w:r>
          </w:p>
        </w:tc>
        <w:tc>
          <w:tcPr>
            <w:tcW w:w="752" w:type="dxa"/>
            <w:gridSpan w:val="2"/>
            <w:tcBorders>
              <w:top w:val="nil"/>
              <w:left w:val="nil"/>
              <w:bottom w:val="nil"/>
              <w:right w:val="nil"/>
            </w:tcBorders>
            <w:noWrap/>
            <w:vAlign w:val="bottom"/>
          </w:tcPr>
          <w:p w14:paraId="09160F09"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0</w:t>
            </w:r>
          </w:p>
        </w:tc>
      </w:tr>
      <w:tr w:rsidR="005364CA" w:rsidRPr="00DC4844" w14:paraId="1809B822" w14:textId="77777777" w:rsidTr="00F34DCB">
        <w:trPr>
          <w:trHeight w:val="300"/>
          <w:jc w:val="center"/>
        </w:trPr>
        <w:tc>
          <w:tcPr>
            <w:tcW w:w="2268" w:type="dxa"/>
            <w:tcBorders>
              <w:top w:val="nil"/>
              <w:left w:val="nil"/>
              <w:bottom w:val="nil"/>
              <w:right w:val="nil"/>
            </w:tcBorders>
            <w:shd w:val="clear" w:color="auto" w:fill="F2F2F2" w:themeFill="background1" w:themeFillShade="F2"/>
            <w:noWrap/>
            <w:vAlign w:val="bottom"/>
            <w:hideMark/>
          </w:tcPr>
          <w:p w14:paraId="22CF4448" w14:textId="77777777" w:rsidR="005364CA" w:rsidRPr="00DC4844" w:rsidRDefault="005364CA" w:rsidP="00AC3862">
            <w:pPr>
              <w:rPr>
                <w:b/>
                <w:bCs/>
                <w:color w:val="000000"/>
                <w:sz w:val="12"/>
                <w:szCs w:val="12"/>
              </w:rPr>
            </w:pPr>
            <w:r w:rsidRPr="00DC4844">
              <w:rPr>
                <w:b/>
                <w:bCs/>
                <w:color w:val="000000"/>
                <w:sz w:val="12"/>
                <w:szCs w:val="12"/>
              </w:rPr>
              <w:t xml:space="preserve">Tipo de cambio nominal (pesos por dólar) </w:t>
            </w:r>
          </w:p>
        </w:tc>
        <w:tc>
          <w:tcPr>
            <w:tcW w:w="748" w:type="dxa"/>
            <w:tcBorders>
              <w:top w:val="nil"/>
              <w:left w:val="nil"/>
              <w:bottom w:val="nil"/>
              <w:right w:val="nil"/>
            </w:tcBorders>
            <w:shd w:val="clear" w:color="auto" w:fill="F2F2F2" w:themeFill="background1" w:themeFillShade="F2"/>
            <w:noWrap/>
            <w:vAlign w:val="bottom"/>
            <w:hideMark/>
          </w:tcPr>
          <w:p w14:paraId="047B5381" w14:textId="77777777" w:rsidR="005364CA" w:rsidRPr="00DC4844" w:rsidRDefault="005364CA" w:rsidP="00AC3862">
            <w:pPr>
              <w:jc w:val="right"/>
              <w:rPr>
                <w:color w:val="000000"/>
                <w:sz w:val="12"/>
                <w:szCs w:val="12"/>
              </w:rPr>
            </w:pPr>
          </w:p>
        </w:tc>
        <w:tc>
          <w:tcPr>
            <w:tcW w:w="903" w:type="dxa"/>
            <w:tcBorders>
              <w:top w:val="nil"/>
              <w:left w:val="nil"/>
              <w:bottom w:val="nil"/>
              <w:right w:val="nil"/>
            </w:tcBorders>
            <w:shd w:val="clear" w:color="auto" w:fill="F2F2F2" w:themeFill="background1" w:themeFillShade="F2"/>
            <w:vAlign w:val="bottom"/>
          </w:tcPr>
          <w:p w14:paraId="0A3F2B12" w14:textId="77777777" w:rsidR="005364CA" w:rsidRPr="00DC4844" w:rsidRDefault="005364CA" w:rsidP="00AC3862">
            <w:pPr>
              <w:jc w:val="right"/>
              <w:rPr>
                <w:color w:val="000000"/>
                <w:sz w:val="12"/>
                <w:szCs w:val="12"/>
              </w:rPr>
            </w:pPr>
          </w:p>
        </w:tc>
        <w:tc>
          <w:tcPr>
            <w:tcW w:w="759" w:type="dxa"/>
            <w:tcBorders>
              <w:top w:val="nil"/>
              <w:left w:val="nil"/>
              <w:bottom w:val="nil"/>
              <w:right w:val="nil"/>
            </w:tcBorders>
            <w:shd w:val="clear" w:color="auto" w:fill="F2F2F2" w:themeFill="background1" w:themeFillShade="F2"/>
            <w:vAlign w:val="bottom"/>
          </w:tcPr>
          <w:p w14:paraId="346415A6" w14:textId="77777777" w:rsidR="005364CA" w:rsidRPr="00DC4844" w:rsidRDefault="005364CA" w:rsidP="00AC3862">
            <w:pPr>
              <w:jc w:val="right"/>
              <w:rPr>
                <w:color w:val="000000"/>
                <w:sz w:val="12"/>
                <w:szCs w:val="12"/>
              </w:rPr>
            </w:pPr>
          </w:p>
        </w:tc>
        <w:tc>
          <w:tcPr>
            <w:tcW w:w="851" w:type="dxa"/>
            <w:tcBorders>
              <w:top w:val="nil"/>
              <w:left w:val="nil"/>
              <w:bottom w:val="nil"/>
              <w:right w:val="nil"/>
            </w:tcBorders>
            <w:shd w:val="clear" w:color="auto" w:fill="F2F2F2" w:themeFill="background1" w:themeFillShade="F2"/>
            <w:vAlign w:val="bottom"/>
          </w:tcPr>
          <w:p w14:paraId="7E9F5F69" w14:textId="77777777" w:rsidR="005364CA" w:rsidRPr="00DC4844" w:rsidRDefault="005364CA" w:rsidP="00AC3862">
            <w:pPr>
              <w:jc w:val="right"/>
              <w:rPr>
                <w:color w:val="000000"/>
                <w:sz w:val="12"/>
                <w:szCs w:val="12"/>
              </w:rPr>
            </w:pPr>
          </w:p>
        </w:tc>
        <w:tc>
          <w:tcPr>
            <w:tcW w:w="752" w:type="dxa"/>
            <w:tcBorders>
              <w:top w:val="nil"/>
              <w:left w:val="nil"/>
              <w:bottom w:val="nil"/>
              <w:right w:val="nil"/>
            </w:tcBorders>
            <w:shd w:val="clear" w:color="auto" w:fill="F2F2F2" w:themeFill="background1" w:themeFillShade="F2"/>
            <w:vAlign w:val="bottom"/>
          </w:tcPr>
          <w:p w14:paraId="431C44BE" w14:textId="77777777" w:rsidR="005364CA" w:rsidRPr="00DC4844" w:rsidRDefault="005364CA" w:rsidP="00AC3862">
            <w:pPr>
              <w:jc w:val="right"/>
              <w:rPr>
                <w:color w:val="000000"/>
                <w:sz w:val="12"/>
                <w:szCs w:val="12"/>
              </w:rPr>
            </w:pPr>
          </w:p>
        </w:tc>
        <w:tc>
          <w:tcPr>
            <w:tcW w:w="752" w:type="dxa"/>
            <w:tcBorders>
              <w:top w:val="nil"/>
              <w:left w:val="nil"/>
              <w:bottom w:val="nil"/>
              <w:right w:val="nil"/>
            </w:tcBorders>
            <w:shd w:val="clear" w:color="auto" w:fill="F2F2F2" w:themeFill="background1" w:themeFillShade="F2"/>
            <w:vAlign w:val="bottom"/>
          </w:tcPr>
          <w:p w14:paraId="2E8601C5" w14:textId="77777777" w:rsidR="005364CA" w:rsidRPr="00DC4844" w:rsidRDefault="005364CA" w:rsidP="00AC3862">
            <w:pPr>
              <w:jc w:val="right"/>
              <w:rPr>
                <w:color w:val="000000"/>
                <w:sz w:val="12"/>
                <w:szCs w:val="12"/>
              </w:rPr>
            </w:pPr>
          </w:p>
        </w:tc>
        <w:tc>
          <w:tcPr>
            <w:tcW w:w="752" w:type="dxa"/>
            <w:tcBorders>
              <w:top w:val="nil"/>
              <w:left w:val="nil"/>
              <w:bottom w:val="nil"/>
              <w:right w:val="nil"/>
            </w:tcBorders>
            <w:shd w:val="clear" w:color="auto" w:fill="F2F2F2" w:themeFill="background1" w:themeFillShade="F2"/>
            <w:vAlign w:val="bottom"/>
          </w:tcPr>
          <w:p w14:paraId="65FEA6C0" w14:textId="77777777" w:rsidR="005364CA" w:rsidRPr="00DC4844" w:rsidRDefault="005364CA" w:rsidP="00AC3862">
            <w:pPr>
              <w:jc w:val="right"/>
              <w:rPr>
                <w:color w:val="000000"/>
                <w:sz w:val="12"/>
                <w:szCs w:val="12"/>
              </w:rPr>
            </w:pPr>
          </w:p>
        </w:tc>
        <w:tc>
          <w:tcPr>
            <w:tcW w:w="752" w:type="dxa"/>
            <w:gridSpan w:val="2"/>
            <w:tcBorders>
              <w:top w:val="nil"/>
              <w:left w:val="nil"/>
              <w:bottom w:val="nil"/>
              <w:right w:val="nil"/>
            </w:tcBorders>
            <w:shd w:val="clear" w:color="auto" w:fill="F2F2F2" w:themeFill="background1" w:themeFillShade="F2"/>
            <w:noWrap/>
            <w:vAlign w:val="bottom"/>
            <w:hideMark/>
          </w:tcPr>
          <w:p w14:paraId="754FF8D3" w14:textId="77777777" w:rsidR="005364CA" w:rsidRPr="00DC4844" w:rsidRDefault="005364CA" w:rsidP="00AC3862">
            <w:pPr>
              <w:jc w:val="right"/>
              <w:rPr>
                <w:color w:val="000000"/>
                <w:sz w:val="12"/>
                <w:szCs w:val="12"/>
              </w:rPr>
            </w:pPr>
          </w:p>
        </w:tc>
      </w:tr>
      <w:tr w:rsidR="005364CA" w:rsidRPr="00DC4844" w14:paraId="313AB53F" w14:textId="77777777" w:rsidTr="00F34DCB">
        <w:trPr>
          <w:trHeight w:val="300"/>
          <w:jc w:val="center"/>
        </w:trPr>
        <w:tc>
          <w:tcPr>
            <w:tcW w:w="2268" w:type="dxa"/>
            <w:tcBorders>
              <w:top w:val="nil"/>
              <w:left w:val="nil"/>
              <w:bottom w:val="nil"/>
              <w:right w:val="nil"/>
            </w:tcBorders>
            <w:shd w:val="clear" w:color="auto" w:fill="FFFFFF" w:themeFill="background1"/>
            <w:noWrap/>
            <w:vAlign w:val="bottom"/>
            <w:hideMark/>
          </w:tcPr>
          <w:p w14:paraId="47E99F08" w14:textId="77777777" w:rsidR="005364CA" w:rsidRPr="00DC4844" w:rsidRDefault="005364CA" w:rsidP="00AC3862">
            <w:pPr>
              <w:rPr>
                <w:color w:val="000000"/>
                <w:sz w:val="12"/>
                <w:szCs w:val="12"/>
              </w:rPr>
            </w:pPr>
            <w:r w:rsidRPr="00DC4844">
              <w:rPr>
                <w:color w:val="000000"/>
                <w:sz w:val="12"/>
                <w:szCs w:val="12"/>
              </w:rPr>
              <w:t xml:space="preserve">     Fin de periodo </w:t>
            </w:r>
          </w:p>
        </w:tc>
        <w:tc>
          <w:tcPr>
            <w:tcW w:w="748" w:type="dxa"/>
            <w:tcBorders>
              <w:top w:val="nil"/>
              <w:left w:val="nil"/>
              <w:bottom w:val="nil"/>
              <w:right w:val="nil"/>
            </w:tcBorders>
            <w:shd w:val="clear" w:color="auto" w:fill="FFFFFF" w:themeFill="background1"/>
            <w:noWrap/>
            <w:vAlign w:val="bottom"/>
            <w:hideMark/>
          </w:tcPr>
          <w:p w14:paraId="6886D5F6" w14:textId="77777777" w:rsidR="005364CA" w:rsidRPr="00DC4844" w:rsidRDefault="005364CA" w:rsidP="00AC3862">
            <w:pPr>
              <w:jc w:val="right"/>
              <w:rPr>
                <w:color w:val="000000"/>
                <w:sz w:val="12"/>
                <w:szCs w:val="12"/>
              </w:rPr>
            </w:pPr>
            <w:r>
              <w:rPr>
                <w:color w:val="000000"/>
                <w:sz w:val="12"/>
                <w:szCs w:val="12"/>
              </w:rPr>
              <w:t>20</w:t>
            </w:r>
            <w:r w:rsidRPr="00DC4844">
              <w:rPr>
                <w:color w:val="000000"/>
                <w:sz w:val="12"/>
                <w:szCs w:val="12"/>
              </w:rPr>
              <w:t>.</w:t>
            </w:r>
            <w:r>
              <w:rPr>
                <w:color w:val="000000"/>
                <w:sz w:val="12"/>
                <w:szCs w:val="12"/>
              </w:rPr>
              <w:t>3</w:t>
            </w:r>
          </w:p>
        </w:tc>
        <w:tc>
          <w:tcPr>
            <w:tcW w:w="903" w:type="dxa"/>
            <w:tcBorders>
              <w:top w:val="nil"/>
              <w:left w:val="nil"/>
              <w:bottom w:val="nil"/>
              <w:right w:val="nil"/>
            </w:tcBorders>
            <w:shd w:val="clear" w:color="auto" w:fill="FFFFFF" w:themeFill="background1"/>
            <w:vAlign w:val="bottom"/>
          </w:tcPr>
          <w:p w14:paraId="17CB3954" w14:textId="77777777" w:rsidR="005364CA" w:rsidRPr="00DC4844" w:rsidRDefault="005364CA" w:rsidP="00AC3862">
            <w:pPr>
              <w:jc w:val="right"/>
              <w:rPr>
                <w:color w:val="000000"/>
                <w:sz w:val="12"/>
                <w:szCs w:val="12"/>
              </w:rPr>
            </w:pPr>
            <w:r w:rsidRPr="00DC4844">
              <w:rPr>
                <w:color w:val="000000"/>
                <w:sz w:val="12"/>
                <w:szCs w:val="12"/>
              </w:rPr>
              <w:t>19.9</w:t>
            </w:r>
          </w:p>
        </w:tc>
        <w:tc>
          <w:tcPr>
            <w:tcW w:w="759" w:type="dxa"/>
            <w:tcBorders>
              <w:top w:val="nil"/>
              <w:left w:val="nil"/>
              <w:bottom w:val="nil"/>
              <w:right w:val="nil"/>
            </w:tcBorders>
            <w:shd w:val="clear" w:color="auto" w:fill="FFFFFF" w:themeFill="background1"/>
            <w:vAlign w:val="bottom"/>
          </w:tcPr>
          <w:p w14:paraId="6A6301C3"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w:t>
            </w:r>
            <w:r w:rsidRPr="00DC4844">
              <w:rPr>
                <w:color w:val="000000"/>
                <w:sz w:val="12"/>
                <w:szCs w:val="12"/>
              </w:rPr>
              <w:t>.9</w:t>
            </w:r>
          </w:p>
        </w:tc>
        <w:tc>
          <w:tcPr>
            <w:tcW w:w="851" w:type="dxa"/>
            <w:tcBorders>
              <w:top w:val="nil"/>
              <w:left w:val="nil"/>
              <w:bottom w:val="nil"/>
              <w:right w:val="nil"/>
            </w:tcBorders>
            <w:shd w:val="clear" w:color="auto" w:fill="FFFFFF" w:themeFill="background1"/>
            <w:vAlign w:val="bottom"/>
          </w:tcPr>
          <w:p w14:paraId="73478328"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w:t>
            </w:r>
            <w:r w:rsidRPr="00DC4844">
              <w:rPr>
                <w:color w:val="000000"/>
                <w:sz w:val="12"/>
                <w:szCs w:val="12"/>
              </w:rPr>
              <w:t>.</w:t>
            </w:r>
            <w:r>
              <w:rPr>
                <w:color w:val="000000"/>
                <w:sz w:val="12"/>
                <w:szCs w:val="12"/>
              </w:rPr>
              <w:t>2</w:t>
            </w:r>
          </w:p>
        </w:tc>
        <w:tc>
          <w:tcPr>
            <w:tcW w:w="752" w:type="dxa"/>
            <w:tcBorders>
              <w:top w:val="nil"/>
              <w:left w:val="nil"/>
              <w:bottom w:val="nil"/>
              <w:right w:val="nil"/>
            </w:tcBorders>
            <w:shd w:val="clear" w:color="auto" w:fill="FFFFFF" w:themeFill="background1"/>
            <w:vAlign w:val="bottom"/>
          </w:tcPr>
          <w:p w14:paraId="197F9643"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w:t>
            </w:r>
            <w:r w:rsidRPr="00DC4844">
              <w:rPr>
                <w:color w:val="000000"/>
                <w:sz w:val="12"/>
                <w:szCs w:val="12"/>
              </w:rPr>
              <w:t>.</w:t>
            </w:r>
            <w:r>
              <w:rPr>
                <w:color w:val="000000"/>
                <w:sz w:val="12"/>
                <w:szCs w:val="12"/>
              </w:rPr>
              <w:t>2</w:t>
            </w:r>
          </w:p>
        </w:tc>
        <w:tc>
          <w:tcPr>
            <w:tcW w:w="752" w:type="dxa"/>
            <w:tcBorders>
              <w:top w:val="nil"/>
              <w:left w:val="nil"/>
              <w:bottom w:val="nil"/>
              <w:right w:val="nil"/>
            </w:tcBorders>
            <w:shd w:val="clear" w:color="auto" w:fill="FFFFFF" w:themeFill="background1"/>
            <w:vAlign w:val="bottom"/>
          </w:tcPr>
          <w:p w14:paraId="4EB43E36"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w:t>
            </w:r>
            <w:r w:rsidRPr="00DC4844">
              <w:rPr>
                <w:color w:val="000000"/>
                <w:sz w:val="12"/>
                <w:szCs w:val="12"/>
              </w:rPr>
              <w:t>.</w:t>
            </w:r>
            <w:r>
              <w:rPr>
                <w:color w:val="000000"/>
                <w:sz w:val="12"/>
                <w:szCs w:val="12"/>
              </w:rPr>
              <w:t>2</w:t>
            </w:r>
          </w:p>
        </w:tc>
        <w:tc>
          <w:tcPr>
            <w:tcW w:w="752" w:type="dxa"/>
            <w:tcBorders>
              <w:top w:val="nil"/>
              <w:left w:val="nil"/>
              <w:bottom w:val="nil"/>
              <w:right w:val="nil"/>
            </w:tcBorders>
            <w:shd w:val="clear" w:color="auto" w:fill="FFFFFF" w:themeFill="background1"/>
            <w:vAlign w:val="bottom"/>
          </w:tcPr>
          <w:p w14:paraId="73C38E75"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w:t>
            </w:r>
            <w:r w:rsidRPr="00DC4844">
              <w:rPr>
                <w:color w:val="000000"/>
                <w:sz w:val="12"/>
                <w:szCs w:val="12"/>
              </w:rPr>
              <w:t>.</w:t>
            </w:r>
            <w:r>
              <w:rPr>
                <w:color w:val="000000"/>
                <w:sz w:val="12"/>
                <w:szCs w:val="12"/>
              </w:rPr>
              <w:t>3</w:t>
            </w:r>
          </w:p>
        </w:tc>
        <w:tc>
          <w:tcPr>
            <w:tcW w:w="752" w:type="dxa"/>
            <w:gridSpan w:val="2"/>
            <w:tcBorders>
              <w:top w:val="nil"/>
              <w:left w:val="nil"/>
              <w:bottom w:val="nil"/>
              <w:right w:val="nil"/>
            </w:tcBorders>
            <w:shd w:val="clear" w:color="auto" w:fill="FFFFFF" w:themeFill="background1"/>
            <w:noWrap/>
            <w:vAlign w:val="bottom"/>
            <w:hideMark/>
          </w:tcPr>
          <w:p w14:paraId="303D0D79" w14:textId="77777777" w:rsidR="005364CA" w:rsidRPr="00DC4844" w:rsidRDefault="005364CA" w:rsidP="00AC3862">
            <w:pPr>
              <w:jc w:val="right"/>
              <w:rPr>
                <w:color w:val="000000"/>
                <w:sz w:val="12"/>
                <w:szCs w:val="12"/>
              </w:rPr>
            </w:pPr>
            <w:r w:rsidRPr="00DC4844">
              <w:rPr>
                <w:color w:val="000000"/>
                <w:sz w:val="12"/>
                <w:szCs w:val="12"/>
              </w:rPr>
              <w:t>18.</w:t>
            </w:r>
            <w:r>
              <w:rPr>
                <w:color w:val="000000"/>
                <w:sz w:val="12"/>
                <w:szCs w:val="12"/>
              </w:rPr>
              <w:t>3</w:t>
            </w:r>
          </w:p>
        </w:tc>
      </w:tr>
      <w:tr w:rsidR="005364CA" w:rsidRPr="00DC4844" w14:paraId="62F57CBF" w14:textId="77777777" w:rsidTr="00F34DCB">
        <w:trPr>
          <w:trHeight w:val="300"/>
          <w:jc w:val="center"/>
        </w:trPr>
        <w:tc>
          <w:tcPr>
            <w:tcW w:w="2268" w:type="dxa"/>
            <w:tcBorders>
              <w:top w:val="nil"/>
              <w:left w:val="nil"/>
              <w:bottom w:val="nil"/>
              <w:right w:val="nil"/>
            </w:tcBorders>
            <w:shd w:val="clear" w:color="auto" w:fill="F2F2F2" w:themeFill="background1" w:themeFillShade="F2"/>
            <w:noWrap/>
            <w:vAlign w:val="bottom"/>
            <w:hideMark/>
          </w:tcPr>
          <w:p w14:paraId="34480702" w14:textId="77777777" w:rsidR="005364CA" w:rsidRPr="00DC4844" w:rsidRDefault="005364CA" w:rsidP="00AC3862">
            <w:pPr>
              <w:rPr>
                <w:color w:val="000000"/>
                <w:sz w:val="12"/>
                <w:szCs w:val="12"/>
              </w:rPr>
            </w:pPr>
            <w:r w:rsidRPr="00DC4844">
              <w:rPr>
                <w:color w:val="000000"/>
                <w:sz w:val="12"/>
                <w:szCs w:val="12"/>
              </w:rPr>
              <w:t xml:space="preserve">     Promedio  </w:t>
            </w:r>
          </w:p>
        </w:tc>
        <w:tc>
          <w:tcPr>
            <w:tcW w:w="748" w:type="dxa"/>
            <w:tcBorders>
              <w:top w:val="nil"/>
              <w:left w:val="nil"/>
              <w:bottom w:val="nil"/>
              <w:right w:val="nil"/>
            </w:tcBorders>
            <w:shd w:val="clear" w:color="auto" w:fill="F2F2F2" w:themeFill="background1" w:themeFillShade="F2"/>
            <w:noWrap/>
            <w:vAlign w:val="bottom"/>
            <w:hideMark/>
          </w:tcPr>
          <w:p w14:paraId="4A419864" w14:textId="77777777" w:rsidR="005364CA" w:rsidRPr="00DC4844" w:rsidRDefault="005364CA" w:rsidP="00AC3862">
            <w:pPr>
              <w:jc w:val="right"/>
              <w:rPr>
                <w:color w:val="000000"/>
                <w:sz w:val="12"/>
                <w:szCs w:val="12"/>
              </w:rPr>
            </w:pPr>
            <w:r w:rsidRPr="00DC4844">
              <w:rPr>
                <w:color w:val="000000"/>
                <w:sz w:val="12"/>
                <w:szCs w:val="12"/>
              </w:rPr>
              <w:t>18.</w:t>
            </w:r>
            <w:r>
              <w:rPr>
                <w:color w:val="000000"/>
                <w:sz w:val="12"/>
                <w:szCs w:val="12"/>
              </w:rPr>
              <w:t>3</w:t>
            </w:r>
          </w:p>
        </w:tc>
        <w:tc>
          <w:tcPr>
            <w:tcW w:w="903" w:type="dxa"/>
            <w:tcBorders>
              <w:top w:val="nil"/>
              <w:left w:val="nil"/>
              <w:bottom w:val="nil"/>
              <w:right w:val="nil"/>
            </w:tcBorders>
            <w:shd w:val="clear" w:color="auto" w:fill="F2F2F2" w:themeFill="background1" w:themeFillShade="F2"/>
            <w:vAlign w:val="bottom"/>
          </w:tcPr>
          <w:p w14:paraId="518004CD" w14:textId="77777777" w:rsidR="005364CA" w:rsidRPr="00DC4844" w:rsidRDefault="005364CA" w:rsidP="00AC3862">
            <w:pPr>
              <w:jc w:val="right"/>
              <w:rPr>
                <w:color w:val="000000"/>
                <w:sz w:val="12"/>
                <w:szCs w:val="12"/>
              </w:rPr>
            </w:pPr>
            <w:r w:rsidRPr="00DC4844">
              <w:rPr>
                <w:color w:val="000000"/>
                <w:sz w:val="12"/>
                <w:szCs w:val="12"/>
              </w:rPr>
              <w:t>19.6</w:t>
            </w:r>
          </w:p>
        </w:tc>
        <w:tc>
          <w:tcPr>
            <w:tcW w:w="759" w:type="dxa"/>
            <w:tcBorders>
              <w:top w:val="nil"/>
              <w:left w:val="nil"/>
              <w:bottom w:val="nil"/>
              <w:right w:val="nil"/>
            </w:tcBorders>
            <w:shd w:val="clear" w:color="auto" w:fill="F2F2F2" w:themeFill="background1" w:themeFillShade="F2"/>
            <w:vAlign w:val="bottom"/>
          </w:tcPr>
          <w:p w14:paraId="37450976" w14:textId="77777777" w:rsidR="005364CA" w:rsidRPr="00DC4844" w:rsidRDefault="005364CA" w:rsidP="00AC3862">
            <w:pPr>
              <w:jc w:val="right"/>
              <w:rPr>
                <w:color w:val="000000"/>
                <w:sz w:val="12"/>
                <w:szCs w:val="12"/>
              </w:rPr>
            </w:pPr>
            <w:r w:rsidRPr="00DC4844">
              <w:rPr>
                <w:color w:val="000000"/>
                <w:sz w:val="12"/>
                <w:szCs w:val="12"/>
              </w:rPr>
              <w:t>19.</w:t>
            </w:r>
            <w:r>
              <w:rPr>
                <w:color w:val="000000"/>
                <w:sz w:val="12"/>
                <w:szCs w:val="12"/>
              </w:rPr>
              <w:t>3</w:t>
            </w:r>
          </w:p>
        </w:tc>
        <w:tc>
          <w:tcPr>
            <w:tcW w:w="851" w:type="dxa"/>
            <w:tcBorders>
              <w:top w:val="nil"/>
              <w:left w:val="nil"/>
              <w:bottom w:val="nil"/>
              <w:right w:val="nil"/>
            </w:tcBorders>
            <w:shd w:val="clear" w:color="auto" w:fill="F2F2F2" w:themeFill="background1" w:themeFillShade="F2"/>
            <w:vAlign w:val="bottom"/>
          </w:tcPr>
          <w:p w14:paraId="6E88B74D"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w:t>
            </w:r>
            <w:r w:rsidRPr="00DC4844">
              <w:rPr>
                <w:color w:val="000000"/>
                <w:sz w:val="12"/>
                <w:szCs w:val="12"/>
              </w:rPr>
              <w:t>.</w:t>
            </w:r>
            <w:r>
              <w:rPr>
                <w:color w:val="000000"/>
                <w:sz w:val="12"/>
                <w:szCs w:val="12"/>
              </w:rPr>
              <w:t>5</w:t>
            </w:r>
          </w:p>
        </w:tc>
        <w:tc>
          <w:tcPr>
            <w:tcW w:w="752" w:type="dxa"/>
            <w:tcBorders>
              <w:top w:val="nil"/>
              <w:left w:val="nil"/>
              <w:bottom w:val="nil"/>
              <w:right w:val="nil"/>
            </w:tcBorders>
            <w:shd w:val="clear" w:color="auto" w:fill="F2F2F2" w:themeFill="background1" w:themeFillShade="F2"/>
            <w:vAlign w:val="bottom"/>
          </w:tcPr>
          <w:p w14:paraId="0DECF119"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w:t>
            </w:r>
            <w:r w:rsidRPr="00DC4844">
              <w:rPr>
                <w:color w:val="000000"/>
                <w:sz w:val="12"/>
                <w:szCs w:val="12"/>
              </w:rPr>
              <w:t>.</w:t>
            </w:r>
            <w:r>
              <w:rPr>
                <w:color w:val="000000"/>
                <w:sz w:val="12"/>
                <w:szCs w:val="12"/>
              </w:rPr>
              <w:t>2</w:t>
            </w:r>
          </w:p>
        </w:tc>
        <w:tc>
          <w:tcPr>
            <w:tcW w:w="752" w:type="dxa"/>
            <w:tcBorders>
              <w:top w:val="nil"/>
              <w:left w:val="nil"/>
              <w:bottom w:val="nil"/>
              <w:right w:val="nil"/>
            </w:tcBorders>
            <w:shd w:val="clear" w:color="auto" w:fill="F2F2F2" w:themeFill="background1" w:themeFillShade="F2"/>
            <w:vAlign w:val="bottom"/>
          </w:tcPr>
          <w:p w14:paraId="55EA03C1"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w:t>
            </w:r>
            <w:r w:rsidRPr="00DC4844">
              <w:rPr>
                <w:color w:val="000000"/>
                <w:sz w:val="12"/>
                <w:szCs w:val="12"/>
              </w:rPr>
              <w:t>.</w:t>
            </w:r>
            <w:r>
              <w:rPr>
                <w:color w:val="000000"/>
                <w:sz w:val="12"/>
                <w:szCs w:val="12"/>
              </w:rPr>
              <w:t>2</w:t>
            </w:r>
          </w:p>
        </w:tc>
        <w:tc>
          <w:tcPr>
            <w:tcW w:w="752" w:type="dxa"/>
            <w:tcBorders>
              <w:top w:val="nil"/>
              <w:left w:val="nil"/>
              <w:bottom w:val="nil"/>
              <w:right w:val="nil"/>
            </w:tcBorders>
            <w:shd w:val="clear" w:color="auto" w:fill="F2F2F2" w:themeFill="background1" w:themeFillShade="F2"/>
            <w:vAlign w:val="bottom"/>
          </w:tcPr>
          <w:p w14:paraId="0D9EDB62"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w:t>
            </w:r>
            <w:r w:rsidRPr="00DC4844">
              <w:rPr>
                <w:color w:val="000000"/>
                <w:sz w:val="12"/>
                <w:szCs w:val="12"/>
              </w:rPr>
              <w:t>.</w:t>
            </w:r>
            <w:r>
              <w:rPr>
                <w:color w:val="000000"/>
                <w:sz w:val="12"/>
                <w:szCs w:val="12"/>
              </w:rPr>
              <w:t>3</w:t>
            </w:r>
          </w:p>
        </w:tc>
        <w:tc>
          <w:tcPr>
            <w:tcW w:w="752" w:type="dxa"/>
            <w:gridSpan w:val="2"/>
            <w:tcBorders>
              <w:top w:val="nil"/>
              <w:left w:val="nil"/>
              <w:bottom w:val="nil"/>
              <w:right w:val="nil"/>
            </w:tcBorders>
            <w:shd w:val="clear" w:color="auto" w:fill="F2F2F2" w:themeFill="background1" w:themeFillShade="F2"/>
            <w:noWrap/>
            <w:vAlign w:val="bottom"/>
            <w:hideMark/>
          </w:tcPr>
          <w:p w14:paraId="2252F108"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w:t>
            </w:r>
            <w:r w:rsidRPr="00DC4844">
              <w:rPr>
                <w:color w:val="000000"/>
                <w:sz w:val="12"/>
                <w:szCs w:val="12"/>
              </w:rPr>
              <w:t>.3</w:t>
            </w:r>
          </w:p>
        </w:tc>
      </w:tr>
      <w:tr w:rsidR="005364CA" w:rsidRPr="00DC4844" w14:paraId="287DDD8A" w14:textId="77777777" w:rsidTr="00F34DCB">
        <w:trPr>
          <w:trHeight w:val="300"/>
          <w:jc w:val="center"/>
        </w:trPr>
        <w:tc>
          <w:tcPr>
            <w:tcW w:w="2268" w:type="dxa"/>
            <w:tcBorders>
              <w:top w:val="nil"/>
              <w:left w:val="nil"/>
              <w:bottom w:val="nil"/>
              <w:right w:val="nil"/>
            </w:tcBorders>
            <w:shd w:val="clear" w:color="auto" w:fill="FFFFFF" w:themeFill="background1"/>
            <w:noWrap/>
            <w:vAlign w:val="bottom"/>
            <w:hideMark/>
          </w:tcPr>
          <w:p w14:paraId="7EBF981B" w14:textId="77777777" w:rsidR="005364CA" w:rsidRPr="00DC4844" w:rsidRDefault="005364CA" w:rsidP="00AC3862">
            <w:pPr>
              <w:rPr>
                <w:b/>
                <w:bCs/>
                <w:color w:val="000000"/>
                <w:sz w:val="12"/>
                <w:szCs w:val="12"/>
              </w:rPr>
            </w:pPr>
            <w:r w:rsidRPr="00DC4844">
              <w:rPr>
                <w:b/>
                <w:bCs/>
                <w:color w:val="000000"/>
                <w:sz w:val="12"/>
                <w:szCs w:val="12"/>
              </w:rPr>
              <w:t xml:space="preserve">Tasa de interés (Cetes 28 días, %) </w:t>
            </w:r>
          </w:p>
        </w:tc>
        <w:tc>
          <w:tcPr>
            <w:tcW w:w="748" w:type="dxa"/>
            <w:tcBorders>
              <w:top w:val="nil"/>
              <w:left w:val="nil"/>
              <w:bottom w:val="nil"/>
              <w:right w:val="nil"/>
            </w:tcBorders>
            <w:shd w:val="clear" w:color="auto" w:fill="FFFFFF" w:themeFill="background1"/>
            <w:noWrap/>
            <w:vAlign w:val="bottom"/>
            <w:hideMark/>
          </w:tcPr>
          <w:p w14:paraId="173B3328" w14:textId="77777777" w:rsidR="005364CA" w:rsidRPr="00DC4844" w:rsidRDefault="005364CA" w:rsidP="00AC3862">
            <w:pPr>
              <w:rPr>
                <w:b/>
                <w:bCs/>
                <w:color w:val="000000"/>
                <w:sz w:val="12"/>
                <w:szCs w:val="12"/>
              </w:rPr>
            </w:pPr>
            <w:r w:rsidRPr="00DC4844">
              <w:rPr>
                <w:b/>
                <w:bCs/>
                <w:color w:val="000000"/>
                <w:sz w:val="12"/>
                <w:szCs w:val="12"/>
              </w:rPr>
              <w:t> </w:t>
            </w:r>
          </w:p>
        </w:tc>
        <w:tc>
          <w:tcPr>
            <w:tcW w:w="903" w:type="dxa"/>
            <w:tcBorders>
              <w:top w:val="nil"/>
              <w:left w:val="nil"/>
              <w:bottom w:val="nil"/>
              <w:right w:val="nil"/>
            </w:tcBorders>
            <w:shd w:val="clear" w:color="auto" w:fill="FFFFFF" w:themeFill="background1"/>
            <w:vAlign w:val="bottom"/>
          </w:tcPr>
          <w:p w14:paraId="55263602" w14:textId="77777777" w:rsidR="005364CA" w:rsidRPr="00DC4844" w:rsidRDefault="005364CA" w:rsidP="00AC3862">
            <w:pPr>
              <w:rPr>
                <w:b/>
                <w:bCs/>
                <w:color w:val="000000"/>
                <w:sz w:val="12"/>
                <w:szCs w:val="12"/>
              </w:rPr>
            </w:pPr>
            <w:r w:rsidRPr="00DC4844">
              <w:rPr>
                <w:b/>
                <w:bCs/>
                <w:color w:val="000000"/>
                <w:sz w:val="12"/>
                <w:szCs w:val="12"/>
              </w:rPr>
              <w:t> </w:t>
            </w:r>
          </w:p>
        </w:tc>
        <w:tc>
          <w:tcPr>
            <w:tcW w:w="759" w:type="dxa"/>
            <w:tcBorders>
              <w:top w:val="nil"/>
              <w:left w:val="nil"/>
              <w:bottom w:val="nil"/>
              <w:right w:val="nil"/>
            </w:tcBorders>
            <w:shd w:val="clear" w:color="auto" w:fill="FFFFFF" w:themeFill="background1"/>
            <w:vAlign w:val="bottom"/>
          </w:tcPr>
          <w:p w14:paraId="35F2D893" w14:textId="77777777" w:rsidR="005364CA" w:rsidRPr="00DC4844" w:rsidRDefault="005364CA" w:rsidP="00AC3862">
            <w:pPr>
              <w:rPr>
                <w:b/>
                <w:bCs/>
                <w:color w:val="000000"/>
                <w:sz w:val="12"/>
                <w:szCs w:val="12"/>
              </w:rPr>
            </w:pPr>
            <w:r w:rsidRPr="00DC4844">
              <w:rPr>
                <w:b/>
                <w:bCs/>
                <w:color w:val="000000"/>
                <w:sz w:val="12"/>
                <w:szCs w:val="12"/>
              </w:rPr>
              <w:t> </w:t>
            </w:r>
          </w:p>
        </w:tc>
        <w:tc>
          <w:tcPr>
            <w:tcW w:w="851" w:type="dxa"/>
            <w:tcBorders>
              <w:top w:val="nil"/>
              <w:left w:val="nil"/>
              <w:bottom w:val="nil"/>
              <w:right w:val="nil"/>
            </w:tcBorders>
            <w:shd w:val="clear" w:color="auto" w:fill="FFFFFF" w:themeFill="background1"/>
            <w:vAlign w:val="bottom"/>
          </w:tcPr>
          <w:p w14:paraId="406B3DD1" w14:textId="77777777" w:rsidR="005364CA" w:rsidRPr="00DC4844" w:rsidRDefault="005364CA" w:rsidP="00AC3862">
            <w:pPr>
              <w:rPr>
                <w:b/>
                <w:bCs/>
                <w:color w:val="000000"/>
                <w:sz w:val="12"/>
                <w:szCs w:val="12"/>
              </w:rPr>
            </w:pPr>
            <w:r w:rsidRPr="00DC4844">
              <w:rPr>
                <w:b/>
                <w:bCs/>
                <w:color w:val="000000"/>
                <w:sz w:val="12"/>
                <w:szCs w:val="12"/>
              </w:rPr>
              <w:t> </w:t>
            </w:r>
          </w:p>
        </w:tc>
        <w:tc>
          <w:tcPr>
            <w:tcW w:w="752" w:type="dxa"/>
            <w:tcBorders>
              <w:top w:val="nil"/>
              <w:left w:val="nil"/>
              <w:bottom w:val="nil"/>
              <w:right w:val="nil"/>
            </w:tcBorders>
            <w:shd w:val="clear" w:color="auto" w:fill="FFFFFF" w:themeFill="background1"/>
            <w:vAlign w:val="bottom"/>
          </w:tcPr>
          <w:p w14:paraId="6D2F6087" w14:textId="77777777" w:rsidR="005364CA" w:rsidRPr="00DC4844" w:rsidRDefault="005364CA" w:rsidP="00AC3862">
            <w:pPr>
              <w:rPr>
                <w:b/>
                <w:bCs/>
                <w:color w:val="000000"/>
                <w:sz w:val="12"/>
                <w:szCs w:val="12"/>
              </w:rPr>
            </w:pPr>
            <w:r w:rsidRPr="00DC4844">
              <w:rPr>
                <w:b/>
                <w:bCs/>
                <w:color w:val="000000"/>
                <w:sz w:val="12"/>
                <w:szCs w:val="12"/>
              </w:rPr>
              <w:t> </w:t>
            </w:r>
          </w:p>
        </w:tc>
        <w:tc>
          <w:tcPr>
            <w:tcW w:w="752" w:type="dxa"/>
            <w:tcBorders>
              <w:top w:val="nil"/>
              <w:left w:val="nil"/>
              <w:bottom w:val="nil"/>
              <w:right w:val="nil"/>
            </w:tcBorders>
            <w:shd w:val="clear" w:color="auto" w:fill="FFFFFF" w:themeFill="background1"/>
            <w:vAlign w:val="bottom"/>
          </w:tcPr>
          <w:p w14:paraId="4D970092" w14:textId="77777777" w:rsidR="005364CA" w:rsidRPr="00DC4844" w:rsidRDefault="005364CA" w:rsidP="00AC3862">
            <w:pPr>
              <w:rPr>
                <w:b/>
                <w:bCs/>
                <w:color w:val="000000"/>
                <w:sz w:val="12"/>
                <w:szCs w:val="12"/>
              </w:rPr>
            </w:pPr>
            <w:r w:rsidRPr="00DC4844">
              <w:rPr>
                <w:b/>
                <w:bCs/>
                <w:color w:val="000000"/>
                <w:sz w:val="12"/>
                <w:szCs w:val="12"/>
              </w:rPr>
              <w:t> </w:t>
            </w:r>
          </w:p>
        </w:tc>
        <w:tc>
          <w:tcPr>
            <w:tcW w:w="752" w:type="dxa"/>
            <w:tcBorders>
              <w:top w:val="nil"/>
              <w:left w:val="nil"/>
              <w:bottom w:val="nil"/>
              <w:right w:val="nil"/>
            </w:tcBorders>
            <w:shd w:val="clear" w:color="auto" w:fill="FFFFFF" w:themeFill="background1"/>
            <w:vAlign w:val="bottom"/>
          </w:tcPr>
          <w:p w14:paraId="34FDBFAD" w14:textId="77777777" w:rsidR="005364CA" w:rsidRPr="00DC4844" w:rsidRDefault="005364CA" w:rsidP="00AC3862">
            <w:pPr>
              <w:rPr>
                <w:b/>
                <w:bCs/>
                <w:color w:val="000000"/>
                <w:sz w:val="12"/>
                <w:szCs w:val="12"/>
              </w:rPr>
            </w:pPr>
            <w:r w:rsidRPr="00DC4844">
              <w:rPr>
                <w:b/>
                <w:bCs/>
                <w:color w:val="000000"/>
                <w:sz w:val="12"/>
                <w:szCs w:val="12"/>
              </w:rPr>
              <w:t> </w:t>
            </w:r>
          </w:p>
        </w:tc>
        <w:tc>
          <w:tcPr>
            <w:tcW w:w="752" w:type="dxa"/>
            <w:gridSpan w:val="2"/>
            <w:tcBorders>
              <w:top w:val="nil"/>
              <w:left w:val="nil"/>
              <w:bottom w:val="nil"/>
              <w:right w:val="nil"/>
            </w:tcBorders>
            <w:shd w:val="clear" w:color="auto" w:fill="FFFFFF" w:themeFill="background1"/>
            <w:noWrap/>
            <w:vAlign w:val="bottom"/>
            <w:hideMark/>
          </w:tcPr>
          <w:p w14:paraId="05AF1323" w14:textId="77777777" w:rsidR="005364CA" w:rsidRPr="00DC4844" w:rsidRDefault="005364CA" w:rsidP="00AC3862">
            <w:pPr>
              <w:rPr>
                <w:b/>
                <w:bCs/>
                <w:color w:val="000000"/>
                <w:sz w:val="12"/>
                <w:szCs w:val="12"/>
              </w:rPr>
            </w:pPr>
            <w:r w:rsidRPr="00DC4844">
              <w:rPr>
                <w:b/>
                <w:bCs/>
                <w:color w:val="000000"/>
                <w:sz w:val="12"/>
                <w:szCs w:val="12"/>
              </w:rPr>
              <w:t> </w:t>
            </w:r>
          </w:p>
        </w:tc>
      </w:tr>
      <w:tr w:rsidR="005364CA" w:rsidRPr="00DC4844" w14:paraId="0FA74D5E" w14:textId="77777777" w:rsidTr="00F34DCB">
        <w:trPr>
          <w:trHeight w:val="300"/>
          <w:jc w:val="center"/>
        </w:trPr>
        <w:tc>
          <w:tcPr>
            <w:tcW w:w="2268" w:type="dxa"/>
            <w:tcBorders>
              <w:top w:val="nil"/>
              <w:left w:val="nil"/>
              <w:bottom w:val="nil"/>
              <w:right w:val="nil"/>
            </w:tcBorders>
            <w:shd w:val="clear" w:color="auto" w:fill="F2F2F2" w:themeFill="background1" w:themeFillShade="F2"/>
            <w:noWrap/>
            <w:vAlign w:val="bottom"/>
            <w:hideMark/>
          </w:tcPr>
          <w:p w14:paraId="7FA8B6F8" w14:textId="77777777" w:rsidR="005364CA" w:rsidRPr="00DC4844" w:rsidRDefault="005364CA" w:rsidP="00AC3862">
            <w:pPr>
              <w:rPr>
                <w:color w:val="000000"/>
                <w:sz w:val="12"/>
                <w:szCs w:val="12"/>
              </w:rPr>
            </w:pPr>
            <w:r w:rsidRPr="00DC4844">
              <w:rPr>
                <w:color w:val="000000"/>
                <w:sz w:val="12"/>
                <w:szCs w:val="12"/>
              </w:rPr>
              <w:t xml:space="preserve">     Nominal fin de periodo  </w:t>
            </w:r>
          </w:p>
        </w:tc>
        <w:tc>
          <w:tcPr>
            <w:tcW w:w="748" w:type="dxa"/>
            <w:tcBorders>
              <w:top w:val="nil"/>
              <w:left w:val="nil"/>
              <w:bottom w:val="nil"/>
              <w:right w:val="nil"/>
            </w:tcBorders>
            <w:shd w:val="clear" w:color="auto" w:fill="F2F2F2" w:themeFill="background1" w:themeFillShade="F2"/>
            <w:noWrap/>
            <w:vAlign w:val="bottom"/>
            <w:hideMark/>
          </w:tcPr>
          <w:p w14:paraId="06803F02" w14:textId="77777777" w:rsidR="005364CA" w:rsidRPr="00DC4844" w:rsidRDefault="005364CA" w:rsidP="00AC3862">
            <w:pPr>
              <w:jc w:val="right"/>
              <w:rPr>
                <w:color w:val="000000"/>
                <w:sz w:val="12"/>
                <w:szCs w:val="12"/>
              </w:rPr>
            </w:pPr>
            <w:r>
              <w:rPr>
                <w:color w:val="000000"/>
                <w:sz w:val="12"/>
                <w:szCs w:val="12"/>
              </w:rPr>
              <w:t>9</w:t>
            </w:r>
            <w:r w:rsidRPr="00DC4844">
              <w:rPr>
                <w:color w:val="000000"/>
                <w:sz w:val="12"/>
                <w:szCs w:val="12"/>
              </w:rPr>
              <w:t>.</w:t>
            </w:r>
            <w:r>
              <w:rPr>
                <w:color w:val="000000"/>
                <w:sz w:val="12"/>
                <w:szCs w:val="12"/>
              </w:rPr>
              <w:t>7</w:t>
            </w:r>
          </w:p>
        </w:tc>
        <w:tc>
          <w:tcPr>
            <w:tcW w:w="903" w:type="dxa"/>
            <w:tcBorders>
              <w:top w:val="nil"/>
              <w:left w:val="nil"/>
              <w:bottom w:val="nil"/>
              <w:right w:val="nil"/>
            </w:tcBorders>
            <w:shd w:val="clear" w:color="auto" w:fill="F2F2F2" w:themeFill="background1" w:themeFillShade="F2"/>
            <w:vAlign w:val="bottom"/>
          </w:tcPr>
          <w:p w14:paraId="00FDED66" w14:textId="77777777" w:rsidR="005364CA" w:rsidRPr="00DC4844" w:rsidRDefault="005364CA" w:rsidP="00AC3862">
            <w:pPr>
              <w:jc w:val="right"/>
              <w:rPr>
                <w:color w:val="000000"/>
                <w:sz w:val="12"/>
                <w:szCs w:val="12"/>
              </w:rPr>
            </w:pPr>
            <w:r w:rsidRPr="00DC4844">
              <w:rPr>
                <w:color w:val="000000"/>
                <w:sz w:val="12"/>
                <w:szCs w:val="12"/>
              </w:rPr>
              <w:t>7.3</w:t>
            </w:r>
          </w:p>
        </w:tc>
        <w:tc>
          <w:tcPr>
            <w:tcW w:w="759" w:type="dxa"/>
            <w:tcBorders>
              <w:top w:val="nil"/>
              <w:left w:val="nil"/>
              <w:bottom w:val="nil"/>
              <w:right w:val="nil"/>
            </w:tcBorders>
            <w:shd w:val="clear" w:color="auto" w:fill="F2F2F2" w:themeFill="background1" w:themeFillShade="F2"/>
            <w:vAlign w:val="bottom"/>
          </w:tcPr>
          <w:p w14:paraId="288901FA" w14:textId="77777777" w:rsidR="005364CA" w:rsidRPr="00DC4844" w:rsidRDefault="005364CA" w:rsidP="00AC3862">
            <w:pPr>
              <w:jc w:val="right"/>
              <w:rPr>
                <w:color w:val="000000"/>
                <w:sz w:val="12"/>
                <w:szCs w:val="12"/>
              </w:rPr>
            </w:pPr>
            <w:r>
              <w:rPr>
                <w:color w:val="000000"/>
                <w:sz w:val="12"/>
                <w:szCs w:val="12"/>
              </w:rPr>
              <w:t>6</w:t>
            </w:r>
            <w:r w:rsidRPr="00DC4844">
              <w:rPr>
                <w:color w:val="000000"/>
                <w:sz w:val="12"/>
                <w:szCs w:val="12"/>
              </w:rPr>
              <w:t>.</w:t>
            </w:r>
            <w:r>
              <w:rPr>
                <w:color w:val="000000"/>
                <w:sz w:val="12"/>
                <w:szCs w:val="12"/>
              </w:rPr>
              <w:t>0</w:t>
            </w:r>
          </w:p>
        </w:tc>
        <w:tc>
          <w:tcPr>
            <w:tcW w:w="851" w:type="dxa"/>
            <w:tcBorders>
              <w:top w:val="nil"/>
              <w:left w:val="nil"/>
              <w:bottom w:val="nil"/>
              <w:right w:val="nil"/>
            </w:tcBorders>
            <w:shd w:val="clear" w:color="auto" w:fill="F2F2F2" w:themeFill="background1" w:themeFillShade="F2"/>
            <w:vAlign w:val="bottom"/>
          </w:tcPr>
          <w:p w14:paraId="2B1D95D6" w14:textId="77777777" w:rsidR="005364CA" w:rsidRPr="00DC4844" w:rsidRDefault="005364CA" w:rsidP="00AC3862">
            <w:pPr>
              <w:jc w:val="right"/>
              <w:rPr>
                <w:color w:val="000000"/>
                <w:sz w:val="12"/>
                <w:szCs w:val="12"/>
              </w:rPr>
            </w:pPr>
            <w:r>
              <w:rPr>
                <w:color w:val="000000"/>
                <w:sz w:val="12"/>
                <w:szCs w:val="12"/>
              </w:rPr>
              <w:t>5.5</w:t>
            </w:r>
          </w:p>
        </w:tc>
        <w:tc>
          <w:tcPr>
            <w:tcW w:w="752" w:type="dxa"/>
            <w:tcBorders>
              <w:top w:val="nil"/>
              <w:left w:val="nil"/>
              <w:bottom w:val="nil"/>
              <w:right w:val="nil"/>
            </w:tcBorders>
            <w:shd w:val="clear" w:color="auto" w:fill="F2F2F2" w:themeFill="background1" w:themeFillShade="F2"/>
            <w:vAlign w:val="bottom"/>
          </w:tcPr>
          <w:p w14:paraId="2909F2B2" w14:textId="77777777" w:rsidR="005364CA" w:rsidRPr="00DC4844" w:rsidRDefault="005364CA" w:rsidP="00AC3862">
            <w:pPr>
              <w:jc w:val="right"/>
              <w:rPr>
                <w:color w:val="000000"/>
                <w:sz w:val="12"/>
                <w:szCs w:val="12"/>
              </w:rPr>
            </w:pPr>
            <w:r>
              <w:rPr>
                <w:color w:val="000000"/>
                <w:sz w:val="12"/>
                <w:szCs w:val="12"/>
              </w:rPr>
              <w:t>5.5</w:t>
            </w:r>
          </w:p>
        </w:tc>
        <w:tc>
          <w:tcPr>
            <w:tcW w:w="752" w:type="dxa"/>
            <w:tcBorders>
              <w:top w:val="nil"/>
              <w:left w:val="nil"/>
              <w:bottom w:val="nil"/>
              <w:right w:val="nil"/>
            </w:tcBorders>
            <w:shd w:val="clear" w:color="auto" w:fill="F2F2F2" w:themeFill="background1" w:themeFillShade="F2"/>
            <w:vAlign w:val="bottom"/>
          </w:tcPr>
          <w:p w14:paraId="7DB05E7B" w14:textId="77777777" w:rsidR="005364CA" w:rsidRPr="00DC4844" w:rsidRDefault="005364CA" w:rsidP="00AC3862">
            <w:pPr>
              <w:jc w:val="right"/>
              <w:rPr>
                <w:color w:val="000000"/>
                <w:sz w:val="12"/>
                <w:szCs w:val="12"/>
              </w:rPr>
            </w:pPr>
            <w:r>
              <w:rPr>
                <w:color w:val="000000"/>
                <w:sz w:val="12"/>
                <w:szCs w:val="12"/>
              </w:rPr>
              <w:t>5.5</w:t>
            </w:r>
          </w:p>
        </w:tc>
        <w:tc>
          <w:tcPr>
            <w:tcW w:w="752" w:type="dxa"/>
            <w:tcBorders>
              <w:top w:val="nil"/>
              <w:left w:val="nil"/>
              <w:bottom w:val="nil"/>
              <w:right w:val="nil"/>
            </w:tcBorders>
            <w:shd w:val="clear" w:color="auto" w:fill="F2F2F2" w:themeFill="background1" w:themeFillShade="F2"/>
            <w:vAlign w:val="bottom"/>
          </w:tcPr>
          <w:p w14:paraId="722585A3" w14:textId="77777777" w:rsidR="005364CA" w:rsidRPr="00DC4844" w:rsidRDefault="005364CA" w:rsidP="00AC3862">
            <w:pPr>
              <w:jc w:val="right"/>
              <w:rPr>
                <w:color w:val="000000"/>
                <w:sz w:val="12"/>
                <w:szCs w:val="12"/>
              </w:rPr>
            </w:pPr>
            <w:r>
              <w:rPr>
                <w:color w:val="000000"/>
                <w:sz w:val="12"/>
                <w:szCs w:val="12"/>
              </w:rPr>
              <w:t>5.5</w:t>
            </w:r>
          </w:p>
        </w:tc>
        <w:tc>
          <w:tcPr>
            <w:tcW w:w="752" w:type="dxa"/>
            <w:gridSpan w:val="2"/>
            <w:tcBorders>
              <w:top w:val="nil"/>
              <w:left w:val="nil"/>
              <w:bottom w:val="nil"/>
              <w:right w:val="nil"/>
            </w:tcBorders>
            <w:shd w:val="clear" w:color="auto" w:fill="F2F2F2" w:themeFill="background1" w:themeFillShade="F2"/>
            <w:noWrap/>
            <w:vAlign w:val="bottom"/>
            <w:hideMark/>
          </w:tcPr>
          <w:p w14:paraId="2484A47E" w14:textId="77777777" w:rsidR="005364CA" w:rsidRPr="00DC4844" w:rsidRDefault="005364CA" w:rsidP="00AC3862">
            <w:pPr>
              <w:jc w:val="right"/>
              <w:rPr>
                <w:color w:val="000000"/>
                <w:sz w:val="12"/>
                <w:szCs w:val="12"/>
              </w:rPr>
            </w:pPr>
            <w:r>
              <w:rPr>
                <w:color w:val="000000"/>
                <w:sz w:val="12"/>
                <w:szCs w:val="12"/>
              </w:rPr>
              <w:t>5.5</w:t>
            </w:r>
          </w:p>
        </w:tc>
      </w:tr>
      <w:tr w:rsidR="005364CA" w:rsidRPr="00DC4844" w14:paraId="500FA552" w14:textId="77777777" w:rsidTr="00F34DCB">
        <w:trPr>
          <w:trHeight w:val="300"/>
          <w:jc w:val="center"/>
        </w:trPr>
        <w:tc>
          <w:tcPr>
            <w:tcW w:w="2268" w:type="dxa"/>
            <w:tcBorders>
              <w:top w:val="nil"/>
              <w:left w:val="nil"/>
              <w:bottom w:val="nil"/>
              <w:right w:val="nil"/>
            </w:tcBorders>
            <w:shd w:val="clear" w:color="auto" w:fill="FFFFFF" w:themeFill="background1"/>
            <w:noWrap/>
            <w:vAlign w:val="bottom"/>
            <w:hideMark/>
          </w:tcPr>
          <w:p w14:paraId="204FCF97" w14:textId="77777777" w:rsidR="005364CA" w:rsidRPr="00DC4844" w:rsidRDefault="005364CA" w:rsidP="00AC3862">
            <w:pPr>
              <w:rPr>
                <w:color w:val="000000"/>
                <w:sz w:val="12"/>
                <w:szCs w:val="12"/>
              </w:rPr>
            </w:pPr>
            <w:r w:rsidRPr="00DC4844">
              <w:rPr>
                <w:color w:val="000000"/>
                <w:sz w:val="12"/>
                <w:szCs w:val="12"/>
              </w:rPr>
              <w:t xml:space="preserve">     Nominal promedio  </w:t>
            </w:r>
          </w:p>
        </w:tc>
        <w:tc>
          <w:tcPr>
            <w:tcW w:w="748" w:type="dxa"/>
            <w:tcBorders>
              <w:top w:val="nil"/>
              <w:left w:val="nil"/>
              <w:bottom w:val="nil"/>
              <w:right w:val="nil"/>
            </w:tcBorders>
            <w:shd w:val="clear" w:color="auto" w:fill="FFFFFF" w:themeFill="background1"/>
            <w:noWrap/>
            <w:vAlign w:val="bottom"/>
            <w:hideMark/>
          </w:tcPr>
          <w:p w14:paraId="30DB8F6D" w14:textId="77777777" w:rsidR="005364CA" w:rsidRPr="00DC4844" w:rsidRDefault="005364CA" w:rsidP="00AC3862">
            <w:pPr>
              <w:jc w:val="right"/>
              <w:rPr>
                <w:color w:val="000000"/>
                <w:sz w:val="12"/>
                <w:szCs w:val="12"/>
              </w:rPr>
            </w:pPr>
            <w:r>
              <w:rPr>
                <w:color w:val="000000"/>
                <w:sz w:val="12"/>
                <w:szCs w:val="12"/>
              </w:rPr>
              <w:t>10</w:t>
            </w:r>
            <w:r w:rsidRPr="00DC4844">
              <w:rPr>
                <w:color w:val="000000"/>
                <w:sz w:val="12"/>
                <w:szCs w:val="12"/>
              </w:rPr>
              <w:t>.</w:t>
            </w:r>
            <w:r>
              <w:rPr>
                <w:color w:val="000000"/>
                <w:sz w:val="12"/>
                <w:szCs w:val="12"/>
              </w:rPr>
              <w:t>7</w:t>
            </w:r>
          </w:p>
        </w:tc>
        <w:tc>
          <w:tcPr>
            <w:tcW w:w="903" w:type="dxa"/>
            <w:tcBorders>
              <w:top w:val="nil"/>
              <w:left w:val="nil"/>
              <w:bottom w:val="nil"/>
              <w:right w:val="nil"/>
            </w:tcBorders>
            <w:shd w:val="clear" w:color="auto" w:fill="FFFFFF" w:themeFill="background1"/>
            <w:vAlign w:val="bottom"/>
          </w:tcPr>
          <w:p w14:paraId="721A0B95" w14:textId="77777777" w:rsidR="005364CA" w:rsidRPr="00DC4844" w:rsidRDefault="005364CA" w:rsidP="00AC3862">
            <w:pPr>
              <w:jc w:val="right"/>
              <w:rPr>
                <w:color w:val="000000"/>
                <w:sz w:val="12"/>
                <w:szCs w:val="12"/>
              </w:rPr>
            </w:pPr>
            <w:r w:rsidRPr="00DC4844">
              <w:rPr>
                <w:color w:val="000000"/>
                <w:sz w:val="12"/>
                <w:szCs w:val="12"/>
              </w:rPr>
              <w:t>8.4</w:t>
            </w:r>
          </w:p>
        </w:tc>
        <w:tc>
          <w:tcPr>
            <w:tcW w:w="759" w:type="dxa"/>
            <w:tcBorders>
              <w:top w:val="nil"/>
              <w:left w:val="nil"/>
              <w:bottom w:val="nil"/>
              <w:right w:val="nil"/>
            </w:tcBorders>
            <w:shd w:val="clear" w:color="auto" w:fill="FFFFFF" w:themeFill="background1"/>
            <w:vAlign w:val="bottom"/>
          </w:tcPr>
          <w:p w14:paraId="6C3B3BCD" w14:textId="77777777" w:rsidR="005364CA" w:rsidRPr="00DC4844" w:rsidRDefault="005364CA" w:rsidP="00AC3862">
            <w:pPr>
              <w:jc w:val="right"/>
              <w:rPr>
                <w:color w:val="000000"/>
                <w:sz w:val="12"/>
                <w:szCs w:val="12"/>
              </w:rPr>
            </w:pPr>
            <w:r>
              <w:rPr>
                <w:color w:val="000000"/>
                <w:sz w:val="12"/>
                <w:szCs w:val="12"/>
              </w:rPr>
              <w:t>6.6</w:t>
            </w:r>
          </w:p>
        </w:tc>
        <w:tc>
          <w:tcPr>
            <w:tcW w:w="851" w:type="dxa"/>
            <w:tcBorders>
              <w:top w:val="nil"/>
              <w:left w:val="nil"/>
              <w:bottom w:val="nil"/>
              <w:right w:val="nil"/>
            </w:tcBorders>
            <w:shd w:val="clear" w:color="auto" w:fill="FFFFFF" w:themeFill="background1"/>
            <w:vAlign w:val="bottom"/>
          </w:tcPr>
          <w:p w14:paraId="37721E3C" w14:textId="77777777" w:rsidR="005364CA" w:rsidRPr="00DC4844" w:rsidRDefault="005364CA" w:rsidP="00AC3862">
            <w:pPr>
              <w:jc w:val="right"/>
              <w:rPr>
                <w:color w:val="000000"/>
                <w:sz w:val="12"/>
                <w:szCs w:val="12"/>
              </w:rPr>
            </w:pPr>
            <w:r>
              <w:rPr>
                <w:color w:val="000000"/>
                <w:sz w:val="12"/>
                <w:szCs w:val="12"/>
              </w:rPr>
              <w:t>5.7</w:t>
            </w:r>
          </w:p>
        </w:tc>
        <w:tc>
          <w:tcPr>
            <w:tcW w:w="752" w:type="dxa"/>
            <w:tcBorders>
              <w:top w:val="nil"/>
              <w:left w:val="nil"/>
              <w:bottom w:val="nil"/>
              <w:right w:val="nil"/>
            </w:tcBorders>
            <w:shd w:val="clear" w:color="auto" w:fill="FFFFFF" w:themeFill="background1"/>
            <w:vAlign w:val="bottom"/>
          </w:tcPr>
          <w:p w14:paraId="2FFEB9E4" w14:textId="77777777" w:rsidR="005364CA" w:rsidRPr="00DC4844" w:rsidRDefault="005364CA" w:rsidP="00AC3862">
            <w:pPr>
              <w:jc w:val="right"/>
              <w:rPr>
                <w:color w:val="000000"/>
                <w:sz w:val="12"/>
                <w:szCs w:val="12"/>
              </w:rPr>
            </w:pPr>
            <w:r>
              <w:rPr>
                <w:color w:val="000000"/>
                <w:sz w:val="12"/>
                <w:szCs w:val="12"/>
              </w:rPr>
              <w:t>5.5</w:t>
            </w:r>
          </w:p>
        </w:tc>
        <w:tc>
          <w:tcPr>
            <w:tcW w:w="752" w:type="dxa"/>
            <w:tcBorders>
              <w:top w:val="nil"/>
              <w:left w:val="nil"/>
              <w:bottom w:val="nil"/>
              <w:right w:val="nil"/>
            </w:tcBorders>
            <w:shd w:val="clear" w:color="auto" w:fill="FFFFFF" w:themeFill="background1"/>
            <w:vAlign w:val="bottom"/>
          </w:tcPr>
          <w:p w14:paraId="5A2E2E5A" w14:textId="77777777" w:rsidR="005364CA" w:rsidRPr="00DC4844" w:rsidRDefault="005364CA" w:rsidP="00AC3862">
            <w:pPr>
              <w:jc w:val="right"/>
              <w:rPr>
                <w:color w:val="000000"/>
                <w:sz w:val="12"/>
                <w:szCs w:val="12"/>
              </w:rPr>
            </w:pPr>
            <w:r>
              <w:rPr>
                <w:color w:val="000000"/>
                <w:sz w:val="12"/>
                <w:szCs w:val="12"/>
              </w:rPr>
              <w:t>5.5</w:t>
            </w:r>
          </w:p>
        </w:tc>
        <w:tc>
          <w:tcPr>
            <w:tcW w:w="752" w:type="dxa"/>
            <w:tcBorders>
              <w:top w:val="nil"/>
              <w:left w:val="nil"/>
              <w:bottom w:val="nil"/>
              <w:right w:val="nil"/>
            </w:tcBorders>
            <w:shd w:val="clear" w:color="auto" w:fill="FFFFFF" w:themeFill="background1"/>
            <w:vAlign w:val="bottom"/>
          </w:tcPr>
          <w:p w14:paraId="38B51A52" w14:textId="77777777" w:rsidR="005364CA" w:rsidRPr="00DC4844" w:rsidRDefault="005364CA" w:rsidP="00AC3862">
            <w:pPr>
              <w:jc w:val="right"/>
              <w:rPr>
                <w:color w:val="000000"/>
                <w:sz w:val="12"/>
                <w:szCs w:val="12"/>
              </w:rPr>
            </w:pPr>
            <w:r>
              <w:rPr>
                <w:color w:val="000000"/>
                <w:sz w:val="12"/>
                <w:szCs w:val="12"/>
              </w:rPr>
              <w:t>5.5</w:t>
            </w:r>
          </w:p>
        </w:tc>
        <w:tc>
          <w:tcPr>
            <w:tcW w:w="752" w:type="dxa"/>
            <w:gridSpan w:val="2"/>
            <w:tcBorders>
              <w:top w:val="nil"/>
              <w:left w:val="nil"/>
              <w:bottom w:val="nil"/>
              <w:right w:val="nil"/>
            </w:tcBorders>
            <w:shd w:val="clear" w:color="auto" w:fill="FFFFFF" w:themeFill="background1"/>
            <w:noWrap/>
            <w:vAlign w:val="bottom"/>
            <w:hideMark/>
          </w:tcPr>
          <w:p w14:paraId="16BF9DA6" w14:textId="77777777" w:rsidR="005364CA" w:rsidRPr="00DC4844" w:rsidRDefault="005364CA" w:rsidP="00AC3862">
            <w:pPr>
              <w:jc w:val="right"/>
              <w:rPr>
                <w:color w:val="000000"/>
                <w:sz w:val="12"/>
                <w:szCs w:val="12"/>
              </w:rPr>
            </w:pPr>
            <w:r>
              <w:rPr>
                <w:color w:val="000000"/>
                <w:sz w:val="12"/>
                <w:szCs w:val="12"/>
              </w:rPr>
              <w:t>5.5</w:t>
            </w:r>
          </w:p>
        </w:tc>
      </w:tr>
      <w:tr w:rsidR="005364CA" w:rsidRPr="00DC4844" w14:paraId="28FD5A5B" w14:textId="77777777" w:rsidTr="00F34DCB">
        <w:trPr>
          <w:trHeight w:val="300"/>
          <w:jc w:val="center"/>
        </w:trPr>
        <w:tc>
          <w:tcPr>
            <w:tcW w:w="2268" w:type="dxa"/>
            <w:tcBorders>
              <w:top w:val="nil"/>
              <w:left w:val="nil"/>
              <w:bottom w:val="nil"/>
              <w:right w:val="nil"/>
            </w:tcBorders>
            <w:shd w:val="clear" w:color="auto" w:fill="F2F2F2" w:themeFill="background1" w:themeFillShade="F2"/>
            <w:noWrap/>
            <w:vAlign w:val="bottom"/>
            <w:hideMark/>
          </w:tcPr>
          <w:p w14:paraId="03462797" w14:textId="77777777" w:rsidR="005364CA" w:rsidRPr="00DC4844" w:rsidRDefault="005364CA" w:rsidP="00AC3862">
            <w:pPr>
              <w:rPr>
                <w:color w:val="000000"/>
                <w:sz w:val="12"/>
                <w:szCs w:val="12"/>
              </w:rPr>
            </w:pPr>
            <w:r w:rsidRPr="00DC4844">
              <w:rPr>
                <w:color w:val="000000"/>
                <w:sz w:val="12"/>
                <w:szCs w:val="12"/>
              </w:rPr>
              <w:t xml:space="preserve">     Real acumulada </w:t>
            </w:r>
          </w:p>
        </w:tc>
        <w:tc>
          <w:tcPr>
            <w:tcW w:w="748" w:type="dxa"/>
            <w:tcBorders>
              <w:top w:val="nil"/>
              <w:left w:val="nil"/>
              <w:bottom w:val="nil"/>
              <w:right w:val="nil"/>
            </w:tcBorders>
            <w:shd w:val="clear" w:color="auto" w:fill="F2F2F2" w:themeFill="background1" w:themeFillShade="F2"/>
            <w:noWrap/>
            <w:vAlign w:val="bottom"/>
            <w:hideMark/>
          </w:tcPr>
          <w:p w14:paraId="35697571" w14:textId="77777777" w:rsidR="005364CA" w:rsidRPr="00DC4844" w:rsidRDefault="005364CA" w:rsidP="00AC3862">
            <w:pPr>
              <w:jc w:val="right"/>
              <w:rPr>
                <w:color w:val="000000"/>
                <w:sz w:val="12"/>
                <w:szCs w:val="12"/>
              </w:rPr>
            </w:pPr>
            <w:r w:rsidRPr="00DC4844">
              <w:rPr>
                <w:color w:val="000000"/>
                <w:sz w:val="12"/>
                <w:szCs w:val="12"/>
              </w:rPr>
              <w:t>6</w:t>
            </w:r>
            <w:r>
              <w:rPr>
                <w:color w:val="000000"/>
                <w:sz w:val="12"/>
                <w:szCs w:val="12"/>
              </w:rPr>
              <w:t>.8</w:t>
            </w:r>
          </w:p>
        </w:tc>
        <w:tc>
          <w:tcPr>
            <w:tcW w:w="903" w:type="dxa"/>
            <w:tcBorders>
              <w:top w:val="nil"/>
              <w:left w:val="nil"/>
              <w:bottom w:val="nil"/>
              <w:right w:val="nil"/>
            </w:tcBorders>
            <w:shd w:val="clear" w:color="auto" w:fill="F2F2F2" w:themeFill="background1" w:themeFillShade="F2"/>
            <w:vAlign w:val="bottom"/>
          </w:tcPr>
          <w:p w14:paraId="29CB42A0" w14:textId="77777777" w:rsidR="005364CA" w:rsidRPr="00DC4844" w:rsidRDefault="005364CA" w:rsidP="00AC3862">
            <w:pPr>
              <w:jc w:val="right"/>
              <w:rPr>
                <w:color w:val="000000"/>
                <w:sz w:val="12"/>
                <w:szCs w:val="12"/>
              </w:rPr>
            </w:pPr>
            <w:r w:rsidRPr="00DC4844">
              <w:rPr>
                <w:color w:val="000000"/>
                <w:sz w:val="12"/>
                <w:szCs w:val="12"/>
              </w:rPr>
              <w:t>4.8</w:t>
            </w:r>
          </w:p>
        </w:tc>
        <w:tc>
          <w:tcPr>
            <w:tcW w:w="759" w:type="dxa"/>
            <w:tcBorders>
              <w:top w:val="nil"/>
              <w:left w:val="nil"/>
              <w:bottom w:val="nil"/>
              <w:right w:val="nil"/>
            </w:tcBorders>
            <w:shd w:val="clear" w:color="auto" w:fill="F2F2F2" w:themeFill="background1" w:themeFillShade="F2"/>
            <w:vAlign w:val="bottom"/>
          </w:tcPr>
          <w:p w14:paraId="75C7C50B" w14:textId="77777777" w:rsidR="005364CA" w:rsidRPr="00DC4844" w:rsidRDefault="005364CA" w:rsidP="00AC3862">
            <w:pPr>
              <w:jc w:val="right"/>
              <w:rPr>
                <w:color w:val="000000"/>
                <w:sz w:val="12"/>
                <w:szCs w:val="12"/>
              </w:rPr>
            </w:pPr>
            <w:r>
              <w:rPr>
                <w:color w:val="000000"/>
                <w:sz w:val="12"/>
                <w:szCs w:val="12"/>
              </w:rPr>
              <w:t>3.6</w:t>
            </w:r>
          </w:p>
        </w:tc>
        <w:tc>
          <w:tcPr>
            <w:tcW w:w="851" w:type="dxa"/>
            <w:tcBorders>
              <w:top w:val="nil"/>
              <w:left w:val="nil"/>
              <w:bottom w:val="nil"/>
              <w:right w:val="nil"/>
            </w:tcBorders>
            <w:shd w:val="clear" w:color="auto" w:fill="F2F2F2" w:themeFill="background1" w:themeFillShade="F2"/>
            <w:vAlign w:val="bottom"/>
          </w:tcPr>
          <w:p w14:paraId="0BDF3DCC" w14:textId="77777777" w:rsidR="005364CA" w:rsidRPr="00DC4844" w:rsidRDefault="005364CA" w:rsidP="00AC3862">
            <w:pPr>
              <w:jc w:val="right"/>
              <w:rPr>
                <w:color w:val="000000"/>
                <w:sz w:val="12"/>
                <w:szCs w:val="12"/>
              </w:rPr>
            </w:pPr>
            <w:r>
              <w:rPr>
                <w:color w:val="000000"/>
                <w:sz w:val="12"/>
                <w:szCs w:val="12"/>
              </w:rPr>
              <w:t>2</w:t>
            </w:r>
            <w:r w:rsidRPr="00DC4844">
              <w:rPr>
                <w:color w:val="000000"/>
                <w:sz w:val="12"/>
                <w:szCs w:val="12"/>
              </w:rPr>
              <w:t>.8</w:t>
            </w:r>
          </w:p>
        </w:tc>
        <w:tc>
          <w:tcPr>
            <w:tcW w:w="752" w:type="dxa"/>
            <w:tcBorders>
              <w:top w:val="nil"/>
              <w:left w:val="nil"/>
              <w:bottom w:val="nil"/>
              <w:right w:val="nil"/>
            </w:tcBorders>
            <w:shd w:val="clear" w:color="auto" w:fill="F2F2F2" w:themeFill="background1" w:themeFillShade="F2"/>
            <w:vAlign w:val="bottom"/>
          </w:tcPr>
          <w:p w14:paraId="0E5265E6" w14:textId="77777777" w:rsidR="005364CA" w:rsidRPr="00DC4844" w:rsidRDefault="005364CA" w:rsidP="00AC3862">
            <w:pPr>
              <w:jc w:val="right"/>
              <w:rPr>
                <w:color w:val="000000"/>
                <w:sz w:val="12"/>
                <w:szCs w:val="12"/>
              </w:rPr>
            </w:pPr>
            <w:r>
              <w:rPr>
                <w:color w:val="000000"/>
                <w:sz w:val="12"/>
                <w:szCs w:val="12"/>
              </w:rPr>
              <w:t>2.6</w:t>
            </w:r>
          </w:p>
        </w:tc>
        <w:tc>
          <w:tcPr>
            <w:tcW w:w="752" w:type="dxa"/>
            <w:tcBorders>
              <w:top w:val="nil"/>
              <w:left w:val="nil"/>
              <w:bottom w:val="nil"/>
              <w:right w:val="nil"/>
            </w:tcBorders>
            <w:shd w:val="clear" w:color="auto" w:fill="F2F2F2" w:themeFill="background1" w:themeFillShade="F2"/>
            <w:vAlign w:val="bottom"/>
          </w:tcPr>
          <w:p w14:paraId="0A1BD12B" w14:textId="77777777" w:rsidR="005364CA" w:rsidRPr="00DC4844" w:rsidRDefault="005364CA" w:rsidP="00AC3862">
            <w:pPr>
              <w:jc w:val="right"/>
              <w:rPr>
                <w:color w:val="000000"/>
                <w:sz w:val="12"/>
                <w:szCs w:val="12"/>
              </w:rPr>
            </w:pPr>
            <w:r>
              <w:rPr>
                <w:color w:val="000000"/>
                <w:sz w:val="12"/>
                <w:szCs w:val="12"/>
              </w:rPr>
              <w:t>2.6</w:t>
            </w:r>
          </w:p>
        </w:tc>
        <w:tc>
          <w:tcPr>
            <w:tcW w:w="752" w:type="dxa"/>
            <w:tcBorders>
              <w:top w:val="nil"/>
              <w:left w:val="nil"/>
              <w:bottom w:val="nil"/>
              <w:right w:val="nil"/>
            </w:tcBorders>
            <w:shd w:val="clear" w:color="auto" w:fill="F2F2F2" w:themeFill="background1" w:themeFillShade="F2"/>
            <w:vAlign w:val="bottom"/>
          </w:tcPr>
          <w:p w14:paraId="68342354" w14:textId="77777777" w:rsidR="005364CA" w:rsidRPr="00DC4844" w:rsidRDefault="005364CA" w:rsidP="00AC3862">
            <w:pPr>
              <w:jc w:val="right"/>
              <w:rPr>
                <w:color w:val="000000"/>
                <w:sz w:val="12"/>
                <w:szCs w:val="12"/>
              </w:rPr>
            </w:pPr>
            <w:r>
              <w:rPr>
                <w:color w:val="000000"/>
                <w:sz w:val="12"/>
                <w:szCs w:val="12"/>
              </w:rPr>
              <w:t>2.6</w:t>
            </w:r>
          </w:p>
        </w:tc>
        <w:tc>
          <w:tcPr>
            <w:tcW w:w="752" w:type="dxa"/>
            <w:gridSpan w:val="2"/>
            <w:tcBorders>
              <w:top w:val="nil"/>
              <w:left w:val="nil"/>
              <w:bottom w:val="nil"/>
              <w:right w:val="nil"/>
            </w:tcBorders>
            <w:shd w:val="clear" w:color="auto" w:fill="F2F2F2" w:themeFill="background1" w:themeFillShade="F2"/>
            <w:noWrap/>
            <w:vAlign w:val="bottom"/>
            <w:hideMark/>
          </w:tcPr>
          <w:p w14:paraId="333C3D03" w14:textId="77777777" w:rsidR="005364CA" w:rsidRPr="00DC4844" w:rsidRDefault="005364CA" w:rsidP="00AC3862">
            <w:pPr>
              <w:jc w:val="right"/>
              <w:rPr>
                <w:color w:val="000000"/>
                <w:sz w:val="12"/>
                <w:szCs w:val="12"/>
              </w:rPr>
            </w:pPr>
            <w:r>
              <w:rPr>
                <w:color w:val="000000"/>
                <w:sz w:val="12"/>
                <w:szCs w:val="12"/>
              </w:rPr>
              <w:t>2</w:t>
            </w:r>
            <w:r w:rsidRPr="00DC4844">
              <w:rPr>
                <w:color w:val="000000"/>
                <w:sz w:val="12"/>
                <w:szCs w:val="12"/>
              </w:rPr>
              <w:t>.6</w:t>
            </w:r>
          </w:p>
        </w:tc>
      </w:tr>
      <w:tr w:rsidR="005364CA" w:rsidRPr="00DC4844" w14:paraId="1455F166" w14:textId="77777777" w:rsidTr="00F34DCB">
        <w:trPr>
          <w:trHeight w:val="300"/>
          <w:jc w:val="center"/>
        </w:trPr>
        <w:tc>
          <w:tcPr>
            <w:tcW w:w="2268" w:type="dxa"/>
            <w:tcBorders>
              <w:top w:val="nil"/>
              <w:left w:val="nil"/>
              <w:bottom w:val="nil"/>
              <w:right w:val="nil"/>
            </w:tcBorders>
            <w:shd w:val="clear" w:color="auto" w:fill="FFFFFF" w:themeFill="background1"/>
            <w:noWrap/>
            <w:vAlign w:val="bottom"/>
          </w:tcPr>
          <w:p w14:paraId="1A802CBA" w14:textId="77777777" w:rsidR="005364CA" w:rsidRPr="00DC4844" w:rsidRDefault="005364CA" w:rsidP="00AC3862">
            <w:pPr>
              <w:rPr>
                <w:color w:val="000000"/>
                <w:sz w:val="12"/>
                <w:szCs w:val="12"/>
              </w:rPr>
            </w:pPr>
            <w:r>
              <w:rPr>
                <w:color w:val="000000"/>
                <w:sz w:val="12"/>
                <w:szCs w:val="12"/>
              </w:rPr>
              <w:t>Real fin del periodo, %</w:t>
            </w:r>
          </w:p>
        </w:tc>
        <w:tc>
          <w:tcPr>
            <w:tcW w:w="748" w:type="dxa"/>
            <w:tcBorders>
              <w:top w:val="nil"/>
              <w:left w:val="nil"/>
              <w:bottom w:val="nil"/>
              <w:right w:val="nil"/>
            </w:tcBorders>
            <w:shd w:val="clear" w:color="auto" w:fill="FFFFFF" w:themeFill="background1"/>
            <w:noWrap/>
            <w:vAlign w:val="bottom"/>
          </w:tcPr>
          <w:p w14:paraId="4240A2FA" w14:textId="77777777" w:rsidR="005364CA" w:rsidRPr="00DC4844" w:rsidRDefault="005364CA" w:rsidP="00AC3862">
            <w:pPr>
              <w:jc w:val="right"/>
              <w:rPr>
                <w:color w:val="000000"/>
                <w:sz w:val="12"/>
                <w:szCs w:val="12"/>
              </w:rPr>
            </w:pPr>
            <w:r>
              <w:rPr>
                <w:color w:val="000000"/>
                <w:sz w:val="12"/>
                <w:szCs w:val="12"/>
              </w:rPr>
              <w:t>5.4</w:t>
            </w:r>
          </w:p>
        </w:tc>
        <w:tc>
          <w:tcPr>
            <w:tcW w:w="903" w:type="dxa"/>
            <w:tcBorders>
              <w:top w:val="nil"/>
              <w:left w:val="nil"/>
              <w:bottom w:val="nil"/>
              <w:right w:val="nil"/>
            </w:tcBorders>
            <w:shd w:val="clear" w:color="auto" w:fill="FFFFFF" w:themeFill="background1"/>
            <w:vAlign w:val="bottom"/>
          </w:tcPr>
          <w:p w14:paraId="44B92EA1" w14:textId="77777777" w:rsidR="005364CA" w:rsidRPr="00DC4844" w:rsidRDefault="005364CA" w:rsidP="00AC3862">
            <w:pPr>
              <w:jc w:val="right"/>
              <w:rPr>
                <w:color w:val="000000"/>
                <w:sz w:val="12"/>
                <w:szCs w:val="12"/>
              </w:rPr>
            </w:pPr>
            <w:r>
              <w:rPr>
                <w:color w:val="000000"/>
                <w:sz w:val="12"/>
                <w:szCs w:val="12"/>
              </w:rPr>
              <w:t>3.3</w:t>
            </w:r>
          </w:p>
        </w:tc>
        <w:tc>
          <w:tcPr>
            <w:tcW w:w="759" w:type="dxa"/>
            <w:tcBorders>
              <w:top w:val="nil"/>
              <w:left w:val="nil"/>
              <w:bottom w:val="nil"/>
              <w:right w:val="nil"/>
            </w:tcBorders>
            <w:shd w:val="clear" w:color="auto" w:fill="FFFFFF" w:themeFill="background1"/>
            <w:vAlign w:val="bottom"/>
          </w:tcPr>
          <w:p w14:paraId="0F3EC037" w14:textId="77777777" w:rsidR="005364CA" w:rsidRPr="00DC4844" w:rsidRDefault="005364CA" w:rsidP="00AC3862">
            <w:pPr>
              <w:jc w:val="right"/>
              <w:rPr>
                <w:color w:val="000000"/>
                <w:sz w:val="12"/>
                <w:szCs w:val="12"/>
              </w:rPr>
            </w:pPr>
            <w:r>
              <w:rPr>
                <w:color w:val="000000"/>
                <w:sz w:val="12"/>
                <w:szCs w:val="12"/>
              </w:rPr>
              <w:t>2.9</w:t>
            </w:r>
          </w:p>
        </w:tc>
        <w:tc>
          <w:tcPr>
            <w:tcW w:w="851" w:type="dxa"/>
            <w:tcBorders>
              <w:top w:val="nil"/>
              <w:left w:val="nil"/>
              <w:bottom w:val="nil"/>
              <w:right w:val="nil"/>
            </w:tcBorders>
            <w:shd w:val="clear" w:color="auto" w:fill="FFFFFF" w:themeFill="background1"/>
            <w:vAlign w:val="bottom"/>
          </w:tcPr>
          <w:p w14:paraId="7560BCC4" w14:textId="77777777" w:rsidR="005364CA" w:rsidRPr="00DC4844" w:rsidRDefault="005364CA" w:rsidP="00AC3862">
            <w:pPr>
              <w:jc w:val="right"/>
              <w:rPr>
                <w:color w:val="000000"/>
                <w:sz w:val="12"/>
                <w:szCs w:val="12"/>
              </w:rPr>
            </w:pPr>
            <w:r>
              <w:rPr>
                <w:color w:val="000000"/>
                <w:sz w:val="12"/>
                <w:szCs w:val="12"/>
              </w:rPr>
              <w:t>2.4</w:t>
            </w:r>
          </w:p>
        </w:tc>
        <w:tc>
          <w:tcPr>
            <w:tcW w:w="752" w:type="dxa"/>
            <w:tcBorders>
              <w:top w:val="nil"/>
              <w:left w:val="nil"/>
              <w:bottom w:val="nil"/>
              <w:right w:val="nil"/>
            </w:tcBorders>
            <w:shd w:val="clear" w:color="auto" w:fill="FFFFFF" w:themeFill="background1"/>
            <w:vAlign w:val="bottom"/>
          </w:tcPr>
          <w:p w14:paraId="1B36B3A6" w14:textId="77777777" w:rsidR="005364CA" w:rsidRPr="00DC4844" w:rsidRDefault="005364CA" w:rsidP="00AC3862">
            <w:pPr>
              <w:jc w:val="right"/>
              <w:rPr>
                <w:color w:val="000000"/>
                <w:sz w:val="12"/>
                <w:szCs w:val="12"/>
              </w:rPr>
            </w:pPr>
            <w:r>
              <w:rPr>
                <w:color w:val="000000"/>
                <w:sz w:val="12"/>
                <w:szCs w:val="12"/>
              </w:rPr>
              <w:t>2.4</w:t>
            </w:r>
          </w:p>
        </w:tc>
        <w:tc>
          <w:tcPr>
            <w:tcW w:w="752" w:type="dxa"/>
            <w:tcBorders>
              <w:top w:val="nil"/>
              <w:left w:val="nil"/>
              <w:bottom w:val="nil"/>
              <w:right w:val="nil"/>
            </w:tcBorders>
            <w:shd w:val="clear" w:color="auto" w:fill="FFFFFF" w:themeFill="background1"/>
            <w:vAlign w:val="bottom"/>
          </w:tcPr>
          <w:p w14:paraId="1C96B84E" w14:textId="77777777" w:rsidR="005364CA" w:rsidRPr="00DC4844" w:rsidRDefault="005364CA" w:rsidP="00AC3862">
            <w:pPr>
              <w:jc w:val="right"/>
              <w:rPr>
                <w:color w:val="000000"/>
                <w:sz w:val="12"/>
                <w:szCs w:val="12"/>
              </w:rPr>
            </w:pPr>
            <w:r>
              <w:rPr>
                <w:color w:val="000000"/>
                <w:sz w:val="12"/>
                <w:szCs w:val="12"/>
              </w:rPr>
              <w:t>2.4</w:t>
            </w:r>
          </w:p>
        </w:tc>
        <w:tc>
          <w:tcPr>
            <w:tcW w:w="752" w:type="dxa"/>
            <w:tcBorders>
              <w:top w:val="nil"/>
              <w:left w:val="nil"/>
              <w:bottom w:val="nil"/>
              <w:right w:val="nil"/>
            </w:tcBorders>
            <w:shd w:val="clear" w:color="auto" w:fill="FFFFFF" w:themeFill="background1"/>
            <w:vAlign w:val="bottom"/>
          </w:tcPr>
          <w:p w14:paraId="5D29495F" w14:textId="77777777" w:rsidR="005364CA" w:rsidRPr="00DC4844" w:rsidRDefault="005364CA" w:rsidP="00AC3862">
            <w:pPr>
              <w:jc w:val="right"/>
              <w:rPr>
                <w:color w:val="000000"/>
                <w:sz w:val="12"/>
                <w:szCs w:val="12"/>
              </w:rPr>
            </w:pPr>
            <w:r>
              <w:rPr>
                <w:color w:val="000000"/>
                <w:sz w:val="12"/>
                <w:szCs w:val="12"/>
              </w:rPr>
              <w:t>2.4</w:t>
            </w:r>
          </w:p>
        </w:tc>
        <w:tc>
          <w:tcPr>
            <w:tcW w:w="752" w:type="dxa"/>
            <w:gridSpan w:val="2"/>
            <w:tcBorders>
              <w:top w:val="nil"/>
              <w:left w:val="nil"/>
              <w:bottom w:val="nil"/>
              <w:right w:val="nil"/>
            </w:tcBorders>
            <w:shd w:val="clear" w:color="auto" w:fill="FFFFFF" w:themeFill="background1"/>
            <w:noWrap/>
            <w:vAlign w:val="bottom"/>
          </w:tcPr>
          <w:p w14:paraId="13F0B4D4" w14:textId="77777777" w:rsidR="005364CA" w:rsidRPr="00DC4844" w:rsidRDefault="005364CA" w:rsidP="00AC3862">
            <w:pPr>
              <w:jc w:val="right"/>
              <w:rPr>
                <w:color w:val="000000"/>
                <w:sz w:val="12"/>
                <w:szCs w:val="12"/>
              </w:rPr>
            </w:pPr>
            <w:r>
              <w:rPr>
                <w:color w:val="000000"/>
                <w:sz w:val="12"/>
                <w:szCs w:val="12"/>
              </w:rPr>
              <w:t>2.4</w:t>
            </w:r>
          </w:p>
        </w:tc>
      </w:tr>
      <w:tr w:rsidR="005364CA" w:rsidRPr="00DC4844" w14:paraId="1A93707A" w14:textId="77777777" w:rsidTr="00F34DCB">
        <w:trPr>
          <w:trHeight w:val="300"/>
          <w:jc w:val="center"/>
        </w:trPr>
        <w:tc>
          <w:tcPr>
            <w:tcW w:w="2268" w:type="dxa"/>
            <w:tcBorders>
              <w:top w:val="nil"/>
              <w:left w:val="nil"/>
              <w:bottom w:val="nil"/>
              <w:right w:val="nil"/>
            </w:tcBorders>
            <w:shd w:val="clear" w:color="auto" w:fill="F2F2F2" w:themeFill="background1" w:themeFillShade="F2"/>
            <w:noWrap/>
            <w:vAlign w:val="bottom"/>
          </w:tcPr>
          <w:p w14:paraId="401A9B5D" w14:textId="77777777" w:rsidR="005364CA" w:rsidRPr="00DC4844" w:rsidRDefault="005364CA" w:rsidP="00AC3862">
            <w:pPr>
              <w:rPr>
                <w:color w:val="000000"/>
                <w:sz w:val="12"/>
                <w:szCs w:val="12"/>
              </w:rPr>
            </w:pPr>
            <w:r>
              <w:rPr>
                <w:color w:val="000000"/>
                <w:sz w:val="12"/>
                <w:szCs w:val="12"/>
              </w:rPr>
              <w:t>Real promedio, %</w:t>
            </w:r>
          </w:p>
        </w:tc>
        <w:tc>
          <w:tcPr>
            <w:tcW w:w="748" w:type="dxa"/>
            <w:tcBorders>
              <w:top w:val="nil"/>
              <w:left w:val="nil"/>
              <w:bottom w:val="nil"/>
              <w:right w:val="nil"/>
            </w:tcBorders>
            <w:shd w:val="clear" w:color="auto" w:fill="F2F2F2" w:themeFill="background1" w:themeFillShade="F2"/>
            <w:noWrap/>
            <w:vAlign w:val="bottom"/>
          </w:tcPr>
          <w:p w14:paraId="57C7194C" w14:textId="77777777" w:rsidR="005364CA" w:rsidRPr="00DC4844" w:rsidRDefault="005364CA" w:rsidP="00AC3862">
            <w:pPr>
              <w:jc w:val="right"/>
              <w:rPr>
                <w:color w:val="000000"/>
                <w:sz w:val="12"/>
                <w:szCs w:val="12"/>
              </w:rPr>
            </w:pPr>
            <w:r>
              <w:rPr>
                <w:color w:val="000000"/>
                <w:sz w:val="12"/>
                <w:szCs w:val="12"/>
              </w:rPr>
              <w:t>5.7</w:t>
            </w:r>
          </w:p>
        </w:tc>
        <w:tc>
          <w:tcPr>
            <w:tcW w:w="903" w:type="dxa"/>
            <w:tcBorders>
              <w:top w:val="nil"/>
              <w:left w:val="nil"/>
              <w:bottom w:val="nil"/>
              <w:right w:val="nil"/>
            </w:tcBorders>
            <w:shd w:val="clear" w:color="auto" w:fill="F2F2F2" w:themeFill="background1" w:themeFillShade="F2"/>
            <w:vAlign w:val="bottom"/>
          </w:tcPr>
          <w:p w14:paraId="0C2262A3" w14:textId="77777777" w:rsidR="005364CA" w:rsidRPr="00DC4844" w:rsidRDefault="005364CA" w:rsidP="00AC3862">
            <w:pPr>
              <w:jc w:val="right"/>
              <w:rPr>
                <w:color w:val="000000"/>
                <w:sz w:val="12"/>
                <w:szCs w:val="12"/>
              </w:rPr>
            </w:pPr>
            <w:r>
              <w:rPr>
                <w:color w:val="000000"/>
                <w:sz w:val="12"/>
                <w:szCs w:val="12"/>
              </w:rPr>
              <w:t>4.1</w:t>
            </w:r>
          </w:p>
        </w:tc>
        <w:tc>
          <w:tcPr>
            <w:tcW w:w="759" w:type="dxa"/>
            <w:tcBorders>
              <w:top w:val="nil"/>
              <w:left w:val="nil"/>
              <w:bottom w:val="nil"/>
              <w:right w:val="nil"/>
            </w:tcBorders>
            <w:shd w:val="clear" w:color="auto" w:fill="F2F2F2" w:themeFill="background1" w:themeFillShade="F2"/>
            <w:vAlign w:val="bottom"/>
          </w:tcPr>
          <w:p w14:paraId="1E2EBB84" w14:textId="77777777" w:rsidR="005364CA" w:rsidRPr="00DC4844" w:rsidRDefault="005364CA" w:rsidP="00AC3862">
            <w:pPr>
              <w:jc w:val="right"/>
              <w:rPr>
                <w:color w:val="000000"/>
                <w:sz w:val="12"/>
                <w:szCs w:val="12"/>
              </w:rPr>
            </w:pPr>
            <w:r>
              <w:rPr>
                <w:color w:val="000000"/>
                <w:sz w:val="12"/>
                <w:szCs w:val="12"/>
              </w:rPr>
              <w:t>3.0</w:t>
            </w:r>
          </w:p>
        </w:tc>
        <w:tc>
          <w:tcPr>
            <w:tcW w:w="851" w:type="dxa"/>
            <w:tcBorders>
              <w:top w:val="nil"/>
              <w:left w:val="nil"/>
              <w:bottom w:val="nil"/>
              <w:right w:val="nil"/>
            </w:tcBorders>
            <w:shd w:val="clear" w:color="auto" w:fill="F2F2F2" w:themeFill="background1" w:themeFillShade="F2"/>
            <w:vAlign w:val="bottom"/>
          </w:tcPr>
          <w:p w14:paraId="01DC888E" w14:textId="77777777" w:rsidR="005364CA" w:rsidRPr="00DC4844" w:rsidRDefault="005364CA" w:rsidP="00AC3862">
            <w:pPr>
              <w:jc w:val="right"/>
              <w:rPr>
                <w:color w:val="000000"/>
                <w:sz w:val="12"/>
                <w:szCs w:val="12"/>
              </w:rPr>
            </w:pPr>
            <w:r>
              <w:rPr>
                <w:color w:val="000000"/>
                <w:sz w:val="12"/>
                <w:szCs w:val="12"/>
              </w:rPr>
              <w:t>2.6</w:t>
            </w:r>
          </w:p>
        </w:tc>
        <w:tc>
          <w:tcPr>
            <w:tcW w:w="752" w:type="dxa"/>
            <w:tcBorders>
              <w:top w:val="nil"/>
              <w:left w:val="nil"/>
              <w:bottom w:val="nil"/>
              <w:right w:val="nil"/>
            </w:tcBorders>
            <w:shd w:val="clear" w:color="auto" w:fill="F2F2F2" w:themeFill="background1" w:themeFillShade="F2"/>
            <w:vAlign w:val="bottom"/>
          </w:tcPr>
          <w:p w14:paraId="046F5BA6" w14:textId="77777777" w:rsidR="005364CA" w:rsidRPr="00DC4844" w:rsidRDefault="005364CA" w:rsidP="00AC3862">
            <w:pPr>
              <w:jc w:val="right"/>
              <w:rPr>
                <w:color w:val="000000"/>
                <w:sz w:val="12"/>
                <w:szCs w:val="12"/>
              </w:rPr>
            </w:pPr>
            <w:r>
              <w:rPr>
                <w:color w:val="000000"/>
                <w:sz w:val="12"/>
                <w:szCs w:val="12"/>
              </w:rPr>
              <w:t>2.4</w:t>
            </w:r>
          </w:p>
        </w:tc>
        <w:tc>
          <w:tcPr>
            <w:tcW w:w="752" w:type="dxa"/>
            <w:tcBorders>
              <w:top w:val="nil"/>
              <w:left w:val="nil"/>
              <w:bottom w:val="nil"/>
              <w:right w:val="nil"/>
            </w:tcBorders>
            <w:shd w:val="clear" w:color="auto" w:fill="F2F2F2" w:themeFill="background1" w:themeFillShade="F2"/>
            <w:vAlign w:val="bottom"/>
          </w:tcPr>
          <w:p w14:paraId="3F1B9B4A" w14:textId="77777777" w:rsidR="005364CA" w:rsidRPr="00DC4844" w:rsidRDefault="005364CA" w:rsidP="00AC3862">
            <w:pPr>
              <w:jc w:val="right"/>
              <w:rPr>
                <w:color w:val="000000"/>
                <w:sz w:val="12"/>
                <w:szCs w:val="12"/>
              </w:rPr>
            </w:pPr>
            <w:r>
              <w:rPr>
                <w:color w:val="000000"/>
                <w:sz w:val="12"/>
                <w:szCs w:val="12"/>
              </w:rPr>
              <w:t>2.4</w:t>
            </w:r>
          </w:p>
        </w:tc>
        <w:tc>
          <w:tcPr>
            <w:tcW w:w="752" w:type="dxa"/>
            <w:tcBorders>
              <w:top w:val="nil"/>
              <w:left w:val="nil"/>
              <w:bottom w:val="nil"/>
              <w:right w:val="nil"/>
            </w:tcBorders>
            <w:shd w:val="clear" w:color="auto" w:fill="F2F2F2" w:themeFill="background1" w:themeFillShade="F2"/>
            <w:vAlign w:val="bottom"/>
          </w:tcPr>
          <w:p w14:paraId="21214842" w14:textId="77777777" w:rsidR="005364CA" w:rsidRPr="00DC4844" w:rsidRDefault="005364CA" w:rsidP="00AC3862">
            <w:pPr>
              <w:jc w:val="right"/>
              <w:rPr>
                <w:color w:val="000000"/>
                <w:sz w:val="12"/>
                <w:szCs w:val="12"/>
              </w:rPr>
            </w:pPr>
            <w:r>
              <w:rPr>
                <w:color w:val="000000"/>
                <w:sz w:val="12"/>
                <w:szCs w:val="12"/>
              </w:rPr>
              <w:t>2.4</w:t>
            </w:r>
          </w:p>
        </w:tc>
        <w:tc>
          <w:tcPr>
            <w:tcW w:w="752" w:type="dxa"/>
            <w:gridSpan w:val="2"/>
            <w:tcBorders>
              <w:top w:val="nil"/>
              <w:left w:val="nil"/>
              <w:bottom w:val="nil"/>
              <w:right w:val="nil"/>
            </w:tcBorders>
            <w:shd w:val="clear" w:color="auto" w:fill="F2F2F2" w:themeFill="background1" w:themeFillShade="F2"/>
            <w:noWrap/>
            <w:vAlign w:val="bottom"/>
          </w:tcPr>
          <w:p w14:paraId="14DDC320" w14:textId="77777777" w:rsidR="005364CA" w:rsidRPr="00DC4844" w:rsidRDefault="005364CA" w:rsidP="00AC3862">
            <w:pPr>
              <w:jc w:val="right"/>
              <w:rPr>
                <w:color w:val="000000"/>
                <w:sz w:val="12"/>
                <w:szCs w:val="12"/>
              </w:rPr>
            </w:pPr>
            <w:r>
              <w:rPr>
                <w:color w:val="000000"/>
                <w:sz w:val="12"/>
                <w:szCs w:val="12"/>
              </w:rPr>
              <w:t>2.4</w:t>
            </w:r>
          </w:p>
        </w:tc>
      </w:tr>
      <w:tr w:rsidR="005364CA" w:rsidRPr="00DC4844" w14:paraId="471B3A45" w14:textId="77777777" w:rsidTr="00F34DCB">
        <w:trPr>
          <w:trHeight w:val="300"/>
          <w:jc w:val="center"/>
        </w:trPr>
        <w:tc>
          <w:tcPr>
            <w:tcW w:w="2268" w:type="dxa"/>
            <w:tcBorders>
              <w:top w:val="nil"/>
              <w:left w:val="nil"/>
              <w:bottom w:val="nil"/>
              <w:right w:val="nil"/>
            </w:tcBorders>
            <w:shd w:val="clear" w:color="auto" w:fill="FFFFFF" w:themeFill="background1"/>
            <w:noWrap/>
            <w:vAlign w:val="bottom"/>
            <w:hideMark/>
          </w:tcPr>
          <w:p w14:paraId="254EC799" w14:textId="77777777" w:rsidR="005364CA" w:rsidRPr="00DC4844" w:rsidRDefault="005364CA" w:rsidP="00AC3862">
            <w:pPr>
              <w:rPr>
                <w:b/>
                <w:bCs/>
                <w:color w:val="000000"/>
                <w:sz w:val="12"/>
                <w:szCs w:val="12"/>
              </w:rPr>
            </w:pPr>
            <w:r w:rsidRPr="00DC4844">
              <w:rPr>
                <w:b/>
                <w:bCs/>
                <w:color w:val="000000"/>
                <w:sz w:val="12"/>
                <w:szCs w:val="12"/>
              </w:rPr>
              <w:t xml:space="preserve">Cuenta Corriente </w:t>
            </w:r>
          </w:p>
        </w:tc>
        <w:tc>
          <w:tcPr>
            <w:tcW w:w="748" w:type="dxa"/>
            <w:tcBorders>
              <w:top w:val="nil"/>
              <w:left w:val="nil"/>
              <w:bottom w:val="nil"/>
              <w:right w:val="nil"/>
            </w:tcBorders>
            <w:shd w:val="clear" w:color="auto" w:fill="FFFFFF" w:themeFill="background1"/>
            <w:noWrap/>
            <w:vAlign w:val="bottom"/>
            <w:hideMark/>
          </w:tcPr>
          <w:p w14:paraId="5A4BF2CD" w14:textId="77777777" w:rsidR="005364CA" w:rsidRPr="00DC4844" w:rsidRDefault="005364CA" w:rsidP="00AC3862">
            <w:pPr>
              <w:rPr>
                <w:b/>
                <w:bCs/>
                <w:color w:val="000000"/>
                <w:sz w:val="12"/>
                <w:szCs w:val="12"/>
              </w:rPr>
            </w:pPr>
            <w:r w:rsidRPr="00DC4844">
              <w:rPr>
                <w:b/>
                <w:bCs/>
                <w:color w:val="000000"/>
                <w:sz w:val="12"/>
                <w:szCs w:val="12"/>
              </w:rPr>
              <w:t> </w:t>
            </w:r>
          </w:p>
        </w:tc>
        <w:tc>
          <w:tcPr>
            <w:tcW w:w="903" w:type="dxa"/>
            <w:tcBorders>
              <w:top w:val="nil"/>
              <w:left w:val="nil"/>
              <w:bottom w:val="nil"/>
              <w:right w:val="nil"/>
            </w:tcBorders>
            <w:shd w:val="clear" w:color="auto" w:fill="FFFFFF" w:themeFill="background1"/>
            <w:vAlign w:val="bottom"/>
          </w:tcPr>
          <w:p w14:paraId="2EAE817C" w14:textId="77777777" w:rsidR="005364CA" w:rsidRPr="00DC4844" w:rsidRDefault="005364CA" w:rsidP="00AC3862">
            <w:pPr>
              <w:rPr>
                <w:b/>
                <w:bCs/>
                <w:color w:val="000000"/>
                <w:sz w:val="12"/>
                <w:szCs w:val="12"/>
              </w:rPr>
            </w:pPr>
            <w:r w:rsidRPr="00DC4844">
              <w:rPr>
                <w:b/>
                <w:bCs/>
                <w:color w:val="000000"/>
                <w:sz w:val="12"/>
                <w:szCs w:val="12"/>
              </w:rPr>
              <w:t> </w:t>
            </w:r>
          </w:p>
        </w:tc>
        <w:tc>
          <w:tcPr>
            <w:tcW w:w="759" w:type="dxa"/>
            <w:tcBorders>
              <w:top w:val="nil"/>
              <w:left w:val="nil"/>
              <w:bottom w:val="nil"/>
              <w:right w:val="nil"/>
            </w:tcBorders>
            <w:shd w:val="clear" w:color="auto" w:fill="FFFFFF" w:themeFill="background1"/>
            <w:vAlign w:val="bottom"/>
          </w:tcPr>
          <w:p w14:paraId="77AA31CF" w14:textId="77777777" w:rsidR="005364CA" w:rsidRPr="00DC4844" w:rsidRDefault="005364CA" w:rsidP="00AC3862">
            <w:pPr>
              <w:jc w:val="right"/>
              <w:rPr>
                <w:color w:val="000000"/>
                <w:sz w:val="12"/>
                <w:szCs w:val="12"/>
              </w:rPr>
            </w:pPr>
            <w:r w:rsidRPr="00DC4844">
              <w:rPr>
                <w:b/>
                <w:bCs/>
                <w:color w:val="000000"/>
                <w:sz w:val="12"/>
                <w:szCs w:val="12"/>
              </w:rPr>
              <w:t> </w:t>
            </w:r>
          </w:p>
        </w:tc>
        <w:tc>
          <w:tcPr>
            <w:tcW w:w="851" w:type="dxa"/>
            <w:tcBorders>
              <w:top w:val="nil"/>
              <w:left w:val="nil"/>
              <w:bottom w:val="nil"/>
              <w:right w:val="nil"/>
            </w:tcBorders>
            <w:shd w:val="clear" w:color="auto" w:fill="FFFFFF" w:themeFill="background1"/>
            <w:vAlign w:val="bottom"/>
          </w:tcPr>
          <w:p w14:paraId="5745C224" w14:textId="77777777" w:rsidR="005364CA" w:rsidRPr="00DC4844" w:rsidRDefault="005364CA" w:rsidP="00AC3862">
            <w:pPr>
              <w:jc w:val="right"/>
              <w:rPr>
                <w:color w:val="000000"/>
                <w:sz w:val="12"/>
                <w:szCs w:val="12"/>
              </w:rPr>
            </w:pPr>
            <w:r w:rsidRPr="00DC4844">
              <w:rPr>
                <w:b/>
                <w:bCs/>
                <w:color w:val="000000"/>
                <w:sz w:val="12"/>
                <w:szCs w:val="12"/>
              </w:rPr>
              <w:t> </w:t>
            </w:r>
          </w:p>
        </w:tc>
        <w:tc>
          <w:tcPr>
            <w:tcW w:w="752" w:type="dxa"/>
            <w:tcBorders>
              <w:top w:val="nil"/>
              <w:left w:val="nil"/>
              <w:bottom w:val="nil"/>
              <w:right w:val="nil"/>
            </w:tcBorders>
            <w:shd w:val="clear" w:color="auto" w:fill="FFFFFF" w:themeFill="background1"/>
            <w:vAlign w:val="bottom"/>
          </w:tcPr>
          <w:p w14:paraId="2A35C74E" w14:textId="77777777" w:rsidR="005364CA" w:rsidRPr="00DC4844" w:rsidRDefault="005364CA" w:rsidP="00AC3862">
            <w:pPr>
              <w:jc w:val="right"/>
              <w:rPr>
                <w:color w:val="000000"/>
                <w:sz w:val="12"/>
                <w:szCs w:val="12"/>
              </w:rPr>
            </w:pPr>
            <w:r w:rsidRPr="00DC4844">
              <w:rPr>
                <w:b/>
                <w:bCs/>
                <w:color w:val="000000"/>
                <w:sz w:val="12"/>
                <w:szCs w:val="12"/>
              </w:rPr>
              <w:t> </w:t>
            </w:r>
          </w:p>
        </w:tc>
        <w:tc>
          <w:tcPr>
            <w:tcW w:w="752" w:type="dxa"/>
            <w:tcBorders>
              <w:top w:val="nil"/>
              <w:left w:val="nil"/>
              <w:bottom w:val="nil"/>
              <w:right w:val="nil"/>
            </w:tcBorders>
            <w:shd w:val="clear" w:color="auto" w:fill="FFFFFF" w:themeFill="background1"/>
            <w:vAlign w:val="bottom"/>
          </w:tcPr>
          <w:p w14:paraId="6C2BC836" w14:textId="77777777" w:rsidR="005364CA" w:rsidRPr="00DC4844" w:rsidRDefault="005364CA" w:rsidP="00AC3862">
            <w:pPr>
              <w:jc w:val="right"/>
              <w:rPr>
                <w:color w:val="000000"/>
                <w:sz w:val="12"/>
                <w:szCs w:val="12"/>
              </w:rPr>
            </w:pPr>
            <w:r w:rsidRPr="00DC4844">
              <w:rPr>
                <w:b/>
                <w:bCs/>
                <w:color w:val="000000"/>
                <w:sz w:val="12"/>
                <w:szCs w:val="12"/>
              </w:rPr>
              <w:t> </w:t>
            </w:r>
          </w:p>
        </w:tc>
        <w:tc>
          <w:tcPr>
            <w:tcW w:w="752" w:type="dxa"/>
            <w:tcBorders>
              <w:top w:val="nil"/>
              <w:left w:val="nil"/>
              <w:bottom w:val="nil"/>
              <w:right w:val="nil"/>
            </w:tcBorders>
            <w:shd w:val="clear" w:color="auto" w:fill="FFFFFF" w:themeFill="background1"/>
            <w:vAlign w:val="bottom"/>
          </w:tcPr>
          <w:p w14:paraId="66ACA764" w14:textId="77777777" w:rsidR="005364CA" w:rsidRPr="00DC4844" w:rsidRDefault="005364CA" w:rsidP="00AC3862">
            <w:pPr>
              <w:jc w:val="right"/>
              <w:rPr>
                <w:color w:val="000000"/>
                <w:sz w:val="12"/>
                <w:szCs w:val="12"/>
              </w:rPr>
            </w:pPr>
            <w:r w:rsidRPr="00DC4844">
              <w:rPr>
                <w:b/>
                <w:bCs/>
                <w:color w:val="000000"/>
                <w:sz w:val="12"/>
                <w:szCs w:val="12"/>
              </w:rPr>
              <w:t> </w:t>
            </w:r>
          </w:p>
        </w:tc>
        <w:tc>
          <w:tcPr>
            <w:tcW w:w="752" w:type="dxa"/>
            <w:gridSpan w:val="2"/>
            <w:tcBorders>
              <w:top w:val="nil"/>
              <w:left w:val="nil"/>
              <w:bottom w:val="nil"/>
              <w:right w:val="nil"/>
            </w:tcBorders>
            <w:shd w:val="clear" w:color="auto" w:fill="FFFFFF" w:themeFill="background1"/>
            <w:noWrap/>
            <w:vAlign w:val="bottom"/>
            <w:hideMark/>
          </w:tcPr>
          <w:p w14:paraId="089E9733" w14:textId="77777777" w:rsidR="005364CA" w:rsidRPr="00DC4844" w:rsidRDefault="005364CA" w:rsidP="00AC3862">
            <w:pPr>
              <w:rPr>
                <w:b/>
                <w:bCs/>
                <w:color w:val="000000"/>
                <w:sz w:val="12"/>
                <w:szCs w:val="12"/>
              </w:rPr>
            </w:pPr>
            <w:r w:rsidRPr="00DC4844">
              <w:rPr>
                <w:b/>
                <w:bCs/>
                <w:color w:val="000000"/>
                <w:sz w:val="12"/>
                <w:szCs w:val="12"/>
              </w:rPr>
              <w:t> </w:t>
            </w:r>
          </w:p>
        </w:tc>
      </w:tr>
      <w:tr w:rsidR="005364CA" w:rsidRPr="00DC4844" w14:paraId="48613CB0" w14:textId="77777777" w:rsidTr="00F34DCB">
        <w:trPr>
          <w:trHeight w:val="300"/>
          <w:jc w:val="center"/>
        </w:trPr>
        <w:tc>
          <w:tcPr>
            <w:tcW w:w="2268" w:type="dxa"/>
            <w:tcBorders>
              <w:top w:val="nil"/>
              <w:left w:val="nil"/>
              <w:right w:val="nil"/>
            </w:tcBorders>
            <w:shd w:val="clear" w:color="auto" w:fill="F2F2F2" w:themeFill="background1" w:themeFillShade="F2"/>
            <w:noWrap/>
            <w:vAlign w:val="bottom"/>
            <w:hideMark/>
          </w:tcPr>
          <w:p w14:paraId="7A97527D" w14:textId="77777777" w:rsidR="005364CA" w:rsidRPr="00DC4844" w:rsidRDefault="005364CA" w:rsidP="00AC3862">
            <w:pPr>
              <w:rPr>
                <w:color w:val="000000"/>
                <w:sz w:val="12"/>
                <w:szCs w:val="12"/>
              </w:rPr>
            </w:pPr>
            <w:r w:rsidRPr="00DC4844">
              <w:rPr>
                <w:color w:val="000000"/>
                <w:sz w:val="12"/>
                <w:szCs w:val="12"/>
              </w:rPr>
              <w:t xml:space="preserve">     Millones de dólares </w:t>
            </w:r>
          </w:p>
        </w:tc>
        <w:tc>
          <w:tcPr>
            <w:tcW w:w="748" w:type="dxa"/>
            <w:tcBorders>
              <w:top w:val="nil"/>
              <w:left w:val="nil"/>
              <w:right w:val="nil"/>
            </w:tcBorders>
            <w:shd w:val="clear" w:color="auto" w:fill="F2F2F2" w:themeFill="background1" w:themeFillShade="F2"/>
            <w:noWrap/>
            <w:vAlign w:val="bottom"/>
            <w:hideMark/>
          </w:tcPr>
          <w:p w14:paraId="1A44750E" w14:textId="316161F5" w:rsidR="005364CA" w:rsidRPr="00DC4844" w:rsidRDefault="005364CA" w:rsidP="00AC3862">
            <w:pPr>
              <w:jc w:val="right"/>
              <w:rPr>
                <w:color w:val="000000"/>
                <w:sz w:val="12"/>
                <w:szCs w:val="12"/>
              </w:rPr>
            </w:pPr>
            <w:r w:rsidRPr="00DC4844">
              <w:rPr>
                <w:color w:val="000000"/>
                <w:sz w:val="12"/>
                <w:szCs w:val="12"/>
              </w:rPr>
              <w:t>-</w:t>
            </w:r>
            <w:r>
              <w:rPr>
                <w:color w:val="000000"/>
                <w:sz w:val="12"/>
                <w:szCs w:val="12"/>
              </w:rPr>
              <w:t>16</w:t>
            </w:r>
            <w:r w:rsidRPr="00DC4844">
              <w:rPr>
                <w:color w:val="000000"/>
                <w:sz w:val="12"/>
                <w:szCs w:val="12"/>
              </w:rPr>
              <w:t>,</w:t>
            </w:r>
            <w:r>
              <w:rPr>
                <w:color w:val="000000"/>
                <w:sz w:val="12"/>
                <w:szCs w:val="12"/>
              </w:rPr>
              <w:t>740</w:t>
            </w:r>
          </w:p>
        </w:tc>
        <w:tc>
          <w:tcPr>
            <w:tcW w:w="903" w:type="dxa"/>
            <w:tcBorders>
              <w:top w:val="nil"/>
              <w:left w:val="nil"/>
              <w:right w:val="nil"/>
            </w:tcBorders>
            <w:shd w:val="clear" w:color="auto" w:fill="F2F2F2" w:themeFill="background1" w:themeFillShade="F2"/>
            <w:vAlign w:val="bottom"/>
          </w:tcPr>
          <w:p w14:paraId="4F4B6670" w14:textId="77777777" w:rsidR="005364CA" w:rsidRPr="00DC4844" w:rsidRDefault="005364CA" w:rsidP="00AC3862">
            <w:pPr>
              <w:jc w:val="right"/>
              <w:rPr>
                <w:color w:val="000000"/>
                <w:sz w:val="12"/>
                <w:szCs w:val="12"/>
              </w:rPr>
            </w:pPr>
            <w:r w:rsidRPr="00DC4844">
              <w:rPr>
                <w:color w:val="000000"/>
                <w:sz w:val="12"/>
                <w:szCs w:val="12"/>
              </w:rPr>
              <w:t>-5,53</w:t>
            </w:r>
            <w:r>
              <w:rPr>
                <w:color w:val="000000"/>
                <w:sz w:val="12"/>
                <w:szCs w:val="12"/>
              </w:rPr>
              <w:t>1</w:t>
            </w:r>
          </w:p>
        </w:tc>
        <w:tc>
          <w:tcPr>
            <w:tcW w:w="759" w:type="dxa"/>
            <w:tcBorders>
              <w:top w:val="nil"/>
              <w:left w:val="nil"/>
              <w:right w:val="nil"/>
            </w:tcBorders>
            <w:shd w:val="clear" w:color="auto" w:fill="F2F2F2" w:themeFill="background1" w:themeFillShade="F2"/>
            <w:vAlign w:val="bottom"/>
          </w:tcPr>
          <w:p w14:paraId="1AA5B40D" w14:textId="77777777" w:rsidR="005364CA" w:rsidRPr="00DC4844" w:rsidRDefault="005364CA" w:rsidP="00AC3862">
            <w:pPr>
              <w:jc w:val="right"/>
              <w:rPr>
                <w:color w:val="000000"/>
                <w:sz w:val="12"/>
                <w:szCs w:val="12"/>
              </w:rPr>
            </w:pPr>
            <w:r w:rsidRPr="00DC4844">
              <w:rPr>
                <w:color w:val="000000"/>
                <w:sz w:val="12"/>
                <w:szCs w:val="12"/>
              </w:rPr>
              <w:t>-</w:t>
            </w:r>
            <w:r>
              <w:rPr>
                <w:color w:val="000000"/>
                <w:sz w:val="12"/>
                <w:szCs w:val="12"/>
              </w:rPr>
              <w:t>12</w:t>
            </w:r>
            <w:r w:rsidRPr="00DC4844">
              <w:rPr>
                <w:color w:val="000000"/>
                <w:sz w:val="12"/>
                <w:szCs w:val="12"/>
              </w:rPr>
              <w:t>,</w:t>
            </w:r>
            <w:r>
              <w:rPr>
                <w:color w:val="000000"/>
                <w:sz w:val="12"/>
                <w:szCs w:val="12"/>
              </w:rPr>
              <w:t>018</w:t>
            </w:r>
          </w:p>
        </w:tc>
        <w:tc>
          <w:tcPr>
            <w:tcW w:w="851" w:type="dxa"/>
            <w:tcBorders>
              <w:top w:val="nil"/>
              <w:left w:val="nil"/>
              <w:right w:val="nil"/>
            </w:tcBorders>
            <w:shd w:val="clear" w:color="auto" w:fill="F2F2F2" w:themeFill="background1" w:themeFillShade="F2"/>
            <w:vAlign w:val="bottom"/>
          </w:tcPr>
          <w:p w14:paraId="61F916A2" w14:textId="77777777" w:rsidR="005364CA" w:rsidRPr="00DC4844" w:rsidRDefault="005364CA" w:rsidP="00AC3862">
            <w:pPr>
              <w:jc w:val="right"/>
              <w:rPr>
                <w:color w:val="000000"/>
                <w:sz w:val="12"/>
                <w:szCs w:val="12"/>
              </w:rPr>
            </w:pPr>
            <w:r w:rsidRPr="00DC4844">
              <w:rPr>
                <w:color w:val="000000"/>
                <w:sz w:val="12"/>
                <w:szCs w:val="12"/>
              </w:rPr>
              <w:t>-</w:t>
            </w:r>
            <w:r>
              <w:rPr>
                <w:color w:val="000000"/>
                <w:sz w:val="12"/>
                <w:szCs w:val="12"/>
              </w:rPr>
              <w:t>11,136</w:t>
            </w:r>
          </w:p>
        </w:tc>
        <w:tc>
          <w:tcPr>
            <w:tcW w:w="752" w:type="dxa"/>
            <w:tcBorders>
              <w:top w:val="nil"/>
              <w:left w:val="nil"/>
              <w:right w:val="nil"/>
            </w:tcBorders>
            <w:shd w:val="clear" w:color="auto" w:fill="F2F2F2" w:themeFill="background1" w:themeFillShade="F2"/>
            <w:vAlign w:val="bottom"/>
          </w:tcPr>
          <w:p w14:paraId="2BE642BC" w14:textId="77777777" w:rsidR="005364CA" w:rsidRPr="00DC4844" w:rsidRDefault="005364CA" w:rsidP="00AC3862">
            <w:pPr>
              <w:jc w:val="right"/>
              <w:rPr>
                <w:color w:val="000000"/>
                <w:sz w:val="12"/>
                <w:szCs w:val="12"/>
              </w:rPr>
            </w:pPr>
            <w:r w:rsidRPr="00DC4844">
              <w:rPr>
                <w:color w:val="000000"/>
                <w:sz w:val="12"/>
                <w:szCs w:val="12"/>
              </w:rPr>
              <w:t>-</w:t>
            </w:r>
            <w:r>
              <w:rPr>
                <w:color w:val="000000"/>
                <w:sz w:val="12"/>
                <w:szCs w:val="12"/>
              </w:rPr>
              <w:t>9,111</w:t>
            </w:r>
          </w:p>
        </w:tc>
        <w:tc>
          <w:tcPr>
            <w:tcW w:w="752" w:type="dxa"/>
            <w:tcBorders>
              <w:top w:val="nil"/>
              <w:left w:val="nil"/>
              <w:right w:val="nil"/>
            </w:tcBorders>
            <w:shd w:val="clear" w:color="auto" w:fill="F2F2F2" w:themeFill="background1" w:themeFillShade="F2"/>
            <w:vAlign w:val="bottom"/>
          </w:tcPr>
          <w:p w14:paraId="3B9ADFC4" w14:textId="77777777" w:rsidR="005364CA" w:rsidRPr="00DC4844" w:rsidRDefault="005364CA" w:rsidP="00AC3862">
            <w:pPr>
              <w:jc w:val="right"/>
              <w:rPr>
                <w:color w:val="000000"/>
                <w:sz w:val="12"/>
                <w:szCs w:val="12"/>
              </w:rPr>
            </w:pPr>
            <w:r w:rsidRPr="00DC4844">
              <w:rPr>
                <w:color w:val="000000"/>
                <w:sz w:val="12"/>
                <w:szCs w:val="12"/>
              </w:rPr>
              <w:t>-</w:t>
            </w:r>
            <w:r>
              <w:rPr>
                <w:color w:val="000000"/>
                <w:sz w:val="12"/>
                <w:szCs w:val="12"/>
              </w:rPr>
              <w:t>10,712</w:t>
            </w:r>
          </w:p>
        </w:tc>
        <w:tc>
          <w:tcPr>
            <w:tcW w:w="752" w:type="dxa"/>
            <w:tcBorders>
              <w:top w:val="nil"/>
              <w:left w:val="nil"/>
              <w:right w:val="nil"/>
            </w:tcBorders>
            <w:shd w:val="clear" w:color="auto" w:fill="F2F2F2" w:themeFill="background1" w:themeFillShade="F2"/>
            <w:vAlign w:val="bottom"/>
          </w:tcPr>
          <w:p w14:paraId="3F874841" w14:textId="77777777" w:rsidR="005364CA" w:rsidRPr="00DC4844" w:rsidRDefault="005364CA" w:rsidP="00AC3862">
            <w:pPr>
              <w:jc w:val="right"/>
              <w:rPr>
                <w:color w:val="000000"/>
                <w:sz w:val="12"/>
                <w:szCs w:val="12"/>
              </w:rPr>
            </w:pPr>
            <w:r w:rsidRPr="00DC4844">
              <w:rPr>
                <w:color w:val="000000"/>
                <w:sz w:val="12"/>
                <w:szCs w:val="12"/>
              </w:rPr>
              <w:t>-</w:t>
            </w:r>
            <w:r>
              <w:rPr>
                <w:color w:val="000000"/>
                <w:sz w:val="12"/>
                <w:szCs w:val="12"/>
              </w:rPr>
              <w:t>11,703</w:t>
            </w:r>
          </w:p>
        </w:tc>
        <w:tc>
          <w:tcPr>
            <w:tcW w:w="752" w:type="dxa"/>
            <w:gridSpan w:val="2"/>
            <w:tcBorders>
              <w:top w:val="nil"/>
              <w:left w:val="nil"/>
              <w:right w:val="nil"/>
            </w:tcBorders>
            <w:shd w:val="clear" w:color="auto" w:fill="F2F2F2" w:themeFill="background1" w:themeFillShade="F2"/>
            <w:noWrap/>
            <w:vAlign w:val="bottom"/>
            <w:hideMark/>
          </w:tcPr>
          <w:p w14:paraId="43EBCE97"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1,056</w:t>
            </w:r>
          </w:p>
        </w:tc>
      </w:tr>
      <w:tr w:rsidR="005364CA" w:rsidRPr="00DC4844" w14:paraId="31488535" w14:textId="77777777" w:rsidTr="00F34DCB">
        <w:trPr>
          <w:trHeight w:val="300"/>
          <w:jc w:val="center"/>
        </w:trPr>
        <w:tc>
          <w:tcPr>
            <w:tcW w:w="2268" w:type="dxa"/>
            <w:tcBorders>
              <w:top w:val="nil"/>
              <w:left w:val="nil"/>
              <w:bottom w:val="single" w:sz="4" w:space="0" w:color="auto"/>
              <w:right w:val="nil"/>
            </w:tcBorders>
            <w:shd w:val="clear" w:color="auto" w:fill="FFFFFF" w:themeFill="background1"/>
            <w:noWrap/>
            <w:vAlign w:val="bottom"/>
            <w:hideMark/>
          </w:tcPr>
          <w:p w14:paraId="556210DD" w14:textId="77777777" w:rsidR="005364CA" w:rsidRPr="00DC4844" w:rsidRDefault="005364CA" w:rsidP="00AC3862">
            <w:pPr>
              <w:rPr>
                <w:color w:val="000000"/>
                <w:sz w:val="12"/>
                <w:szCs w:val="12"/>
              </w:rPr>
            </w:pPr>
            <w:r w:rsidRPr="00DC4844">
              <w:rPr>
                <w:color w:val="000000"/>
                <w:sz w:val="12"/>
                <w:szCs w:val="12"/>
              </w:rPr>
              <w:t xml:space="preserve">     % del PIB </w:t>
            </w:r>
          </w:p>
        </w:tc>
        <w:tc>
          <w:tcPr>
            <w:tcW w:w="748" w:type="dxa"/>
            <w:tcBorders>
              <w:top w:val="nil"/>
              <w:left w:val="nil"/>
              <w:bottom w:val="single" w:sz="4" w:space="0" w:color="auto"/>
              <w:right w:val="nil"/>
            </w:tcBorders>
            <w:shd w:val="clear" w:color="auto" w:fill="FFFFFF" w:themeFill="background1"/>
            <w:noWrap/>
            <w:vAlign w:val="bottom"/>
            <w:hideMark/>
          </w:tcPr>
          <w:p w14:paraId="2E2DE1D3" w14:textId="77777777" w:rsidR="005364CA" w:rsidRPr="00DC4844" w:rsidRDefault="005364CA" w:rsidP="00AC3862">
            <w:pPr>
              <w:jc w:val="right"/>
              <w:rPr>
                <w:color w:val="000000"/>
                <w:sz w:val="12"/>
                <w:szCs w:val="12"/>
              </w:rPr>
            </w:pPr>
            <w:r w:rsidRPr="00DC4844">
              <w:rPr>
                <w:color w:val="000000"/>
                <w:sz w:val="12"/>
                <w:szCs w:val="12"/>
              </w:rPr>
              <w:t>-0.</w:t>
            </w:r>
            <w:r>
              <w:rPr>
                <w:color w:val="000000"/>
                <w:sz w:val="12"/>
                <w:szCs w:val="12"/>
              </w:rPr>
              <w:t>9</w:t>
            </w:r>
          </w:p>
        </w:tc>
        <w:tc>
          <w:tcPr>
            <w:tcW w:w="903" w:type="dxa"/>
            <w:tcBorders>
              <w:top w:val="nil"/>
              <w:left w:val="nil"/>
              <w:bottom w:val="single" w:sz="4" w:space="0" w:color="auto"/>
              <w:right w:val="nil"/>
            </w:tcBorders>
            <w:shd w:val="clear" w:color="auto" w:fill="FFFFFF" w:themeFill="background1"/>
            <w:vAlign w:val="bottom"/>
          </w:tcPr>
          <w:p w14:paraId="313D38F0" w14:textId="77777777" w:rsidR="005364CA" w:rsidRPr="00DC4844" w:rsidRDefault="005364CA" w:rsidP="00AC3862">
            <w:pPr>
              <w:jc w:val="right"/>
              <w:rPr>
                <w:color w:val="000000"/>
                <w:sz w:val="12"/>
                <w:szCs w:val="12"/>
              </w:rPr>
            </w:pPr>
            <w:r w:rsidRPr="00DC4844">
              <w:rPr>
                <w:color w:val="000000"/>
                <w:sz w:val="12"/>
                <w:szCs w:val="12"/>
              </w:rPr>
              <w:t>-0.3</w:t>
            </w:r>
          </w:p>
        </w:tc>
        <w:tc>
          <w:tcPr>
            <w:tcW w:w="759" w:type="dxa"/>
            <w:tcBorders>
              <w:top w:val="nil"/>
              <w:left w:val="nil"/>
              <w:bottom w:val="single" w:sz="4" w:space="0" w:color="auto"/>
              <w:right w:val="nil"/>
            </w:tcBorders>
            <w:shd w:val="clear" w:color="auto" w:fill="FFFFFF" w:themeFill="background1"/>
            <w:vAlign w:val="bottom"/>
          </w:tcPr>
          <w:p w14:paraId="14BE2E80" w14:textId="77777777" w:rsidR="005364CA" w:rsidRPr="00DC4844" w:rsidRDefault="005364CA" w:rsidP="00AC3862">
            <w:pPr>
              <w:jc w:val="right"/>
              <w:rPr>
                <w:color w:val="000000"/>
                <w:sz w:val="12"/>
                <w:szCs w:val="12"/>
              </w:rPr>
            </w:pPr>
            <w:r w:rsidRPr="00DC4844">
              <w:rPr>
                <w:color w:val="000000"/>
                <w:sz w:val="12"/>
                <w:szCs w:val="12"/>
              </w:rPr>
              <w:t>-0.</w:t>
            </w:r>
            <w:r>
              <w:rPr>
                <w:color w:val="000000"/>
                <w:sz w:val="12"/>
                <w:szCs w:val="12"/>
              </w:rPr>
              <w:t>6</w:t>
            </w:r>
          </w:p>
        </w:tc>
        <w:tc>
          <w:tcPr>
            <w:tcW w:w="851" w:type="dxa"/>
            <w:tcBorders>
              <w:top w:val="nil"/>
              <w:left w:val="nil"/>
              <w:bottom w:val="single" w:sz="4" w:space="0" w:color="auto"/>
              <w:right w:val="nil"/>
            </w:tcBorders>
            <w:shd w:val="clear" w:color="auto" w:fill="FFFFFF" w:themeFill="background1"/>
            <w:vAlign w:val="bottom"/>
          </w:tcPr>
          <w:p w14:paraId="5F0A99C6" w14:textId="77777777" w:rsidR="005364CA" w:rsidRPr="00DC4844" w:rsidRDefault="005364CA" w:rsidP="00AC3862">
            <w:pPr>
              <w:jc w:val="right"/>
              <w:rPr>
                <w:color w:val="000000"/>
                <w:sz w:val="12"/>
                <w:szCs w:val="12"/>
              </w:rPr>
            </w:pPr>
            <w:r w:rsidRPr="00DC4844">
              <w:rPr>
                <w:color w:val="000000"/>
                <w:sz w:val="12"/>
                <w:szCs w:val="12"/>
              </w:rPr>
              <w:t>-0.</w:t>
            </w:r>
            <w:r>
              <w:rPr>
                <w:color w:val="000000"/>
                <w:sz w:val="12"/>
                <w:szCs w:val="12"/>
              </w:rPr>
              <w:t>5</w:t>
            </w:r>
          </w:p>
        </w:tc>
        <w:tc>
          <w:tcPr>
            <w:tcW w:w="752" w:type="dxa"/>
            <w:tcBorders>
              <w:top w:val="nil"/>
              <w:left w:val="nil"/>
              <w:bottom w:val="single" w:sz="4" w:space="0" w:color="auto"/>
              <w:right w:val="nil"/>
            </w:tcBorders>
            <w:shd w:val="clear" w:color="auto" w:fill="FFFFFF" w:themeFill="background1"/>
            <w:vAlign w:val="bottom"/>
          </w:tcPr>
          <w:p w14:paraId="34BA2064" w14:textId="77777777" w:rsidR="005364CA" w:rsidRPr="00DC4844" w:rsidRDefault="005364CA" w:rsidP="00AC3862">
            <w:pPr>
              <w:jc w:val="right"/>
              <w:rPr>
                <w:color w:val="000000"/>
                <w:sz w:val="12"/>
                <w:szCs w:val="12"/>
              </w:rPr>
            </w:pPr>
            <w:r w:rsidRPr="00DC4844">
              <w:rPr>
                <w:color w:val="000000"/>
                <w:sz w:val="12"/>
                <w:szCs w:val="12"/>
              </w:rPr>
              <w:t>-0.</w:t>
            </w:r>
            <w:r>
              <w:rPr>
                <w:color w:val="000000"/>
                <w:sz w:val="12"/>
                <w:szCs w:val="12"/>
              </w:rPr>
              <w:t>4</w:t>
            </w:r>
          </w:p>
        </w:tc>
        <w:tc>
          <w:tcPr>
            <w:tcW w:w="752" w:type="dxa"/>
            <w:tcBorders>
              <w:top w:val="nil"/>
              <w:left w:val="nil"/>
              <w:bottom w:val="single" w:sz="4" w:space="0" w:color="auto"/>
              <w:right w:val="nil"/>
            </w:tcBorders>
            <w:shd w:val="clear" w:color="auto" w:fill="FFFFFF" w:themeFill="background1"/>
            <w:vAlign w:val="bottom"/>
          </w:tcPr>
          <w:p w14:paraId="63795F89" w14:textId="77777777" w:rsidR="005364CA" w:rsidRPr="00DC4844" w:rsidRDefault="005364CA" w:rsidP="00AC3862">
            <w:pPr>
              <w:jc w:val="right"/>
              <w:rPr>
                <w:color w:val="000000"/>
                <w:sz w:val="12"/>
                <w:szCs w:val="12"/>
              </w:rPr>
            </w:pPr>
            <w:r w:rsidRPr="00DC4844">
              <w:rPr>
                <w:color w:val="000000"/>
                <w:sz w:val="12"/>
                <w:szCs w:val="12"/>
              </w:rPr>
              <w:t>-0.</w:t>
            </w:r>
            <w:r>
              <w:rPr>
                <w:color w:val="000000"/>
                <w:sz w:val="12"/>
                <w:szCs w:val="12"/>
              </w:rPr>
              <w:t>4</w:t>
            </w:r>
          </w:p>
        </w:tc>
        <w:tc>
          <w:tcPr>
            <w:tcW w:w="752" w:type="dxa"/>
            <w:tcBorders>
              <w:top w:val="nil"/>
              <w:left w:val="nil"/>
              <w:bottom w:val="single" w:sz="4" w:space="0" w:color="auto"/>
              <w:right w:val="nil"/>
            </w:tcBorders>
            <w:shd w:val="clear" w:color="auto" w:fill="FFFFFF" w:themeFill="background1"/>
            <w:vAlign w:val="bottom"/>
          </w:tcPr>
          <w:p w14:paraId="42530859" w14:textId="77777777" w:rsidR="005364CA" w:rsidRPr="00DC4844" w:rsidRDefault="005364CA" w:rsidP="00AC3862">
            <w:pPr>
              <w:jc w:val="right"/>
              <w:rPr>
                <w:color w:val="000000"/>
                <w:sz w:val="12"/>
                <w:szCs w:val="12"/>
              </w:rPr>
            </w:pPr>
            <w:r w:rsidRPr="00DC4844">
              <w:rPr>
                <w:color w:val="000000"/>
                <w:sz w:val="12"/>
                <w:szCs w:val="12"/>
              </w:rPr>
              <w:t>-0.</w:t>
            </w:r>
            <w:r>
              <w:rPr>
                <w:color w:val="000000"/>
                <w:sz w:val="12"/>
                <w:szCs w:val="12"/>
              </w:rPr>
              <w:t>4</w:t>
            </w:r>
          </w:p>
        </w:tc>
        <w:tc>
          <w:tcPr>
            <w:tcW w:w="752" w:type="dxa"/>
            <w:gridSpan w:val="2"/>
            <w:tcBorders>
              <w:top w:val="nil"/>
              <w:left w:val="nil"/>
              <w:bottom w:val="single" w:sz="4" w:space="0" w:color="auto"/>
              <w:right w:val="nil"/>
            </w:tcBorders>
            <w:shd w:val="clear" w:color="auto" w:fill="FFFFFF" w:themeFill="background1"/>
            <w:noWrap/>
            <w:vAlign w:val="bottom"/>
            <w:hideMark/>
          </w:tcPr>
          <w:p w14:paraId="067428A9" w14:textId="77777777" w:rsidR="005364CA" w:rsidRPr="00DC4844" w:rsidRDefault="005364CA" w:rsidP="00AC3862">
            <w:pPr>
              <w:jc w:val="right"/>
              <w:rPr>
                <w:color w:val="000000"/>
                <w:sz w:val="12"/>
                <w:szCs w:val="12"/>
              </w:rPr>
            </w:pPr>
            <w:r w:rsidRPr="00DC4844">
              <w:rPr>
                <w:color w:val="000000"/>
                <w:sz w:val="12"/>
                <w:szCs w:val="12"/>
              </w:rPr>
              <w:t>-0.</w:t>
            </w:r>
            <w:r>
              <w:rPr>
                <w:color w:val="000000"/>
                <w:sz w:val="12"/>
                <w:szCs w:val="12"/>
              </w:rPr>
              <w:t>4</w:t>
            </w:r>
          </w:p>
        </w:tc>
      </w:tr>
      <w:tr w:rsidR="005364CA" w:rsidRPr="00DC4844" w14:paraId="6AA077A9" w14:textId="77777777" w:rsidTr="00F34DCB">
        <w:trPr>
          <w:trHeight w:val="300"/>
          <w:jc w:val="center"/>
        </w:trPr>
        <w:tc>
          <w:tcPr>
            <w:tcW w:w="2268" w:type="dxa"/>
            <w:tcBorders>
              <w:top w:val="single" w:sz="4" w:space="0" w:color="auto"/>
              <w:left w:val="nil"/>
              <w:right w:val="nil"/>
            </w:tcBorders>
            <w:shd w:val="clear" w:color="auto" w:fill="F2F2F2" w:themeFill="background1" w:themeFillShade="F2"/>
            <w:noWrap/>
            <w:vAlign w:val="bottom"/>
          </w:tcPr>
          <w:p w14:paraId="462B035E" w14:textId="77777777" w:rsidR="005364CA" w:rsidRPr="00DC4844" w:rsidRDefault="005364CA" w:rsidP="00AC3862">
            <w:pPr>
              <w:rPr>
                <w:color w:val="000000"/>
                <w:sz w:val="12"/>
                <w:szCs w:val="12"/>
              </w:rPr>
            </w:pPr>
            <w:r w:rsidRPr="00DC4844">
              <w:rPr>
                <w:color w:val="000000"/>
                <w:sz w:val="12"/>
                <w:szCs w:val="12"/>
              </w:rPr>
              <w:t>Variables de apoyo:</w:t>
            </w:r>
          </w:p>
        </w:tc>
        <w:tc>
          <w:tcPr>
            <w:tcW w:w="748" w:type="dxa"/>
            <w:tcBorders>
              <w:top w:val="single" w:sz="4" w:space="0" w:color="auto"/>
              <w:left w:val="nil"/>
              <w:right w:val="nil"/>
            </w:tcBorders>
            <w:shd w:val="clear" w:color="auto" w:fill="F2F2F2" w:themeFill="background1" w:themeFillShade="F2"/>
            <w:noWrap/>
            <w:vAlign w:val="bottom"/>
          </w:tcPr>
          <w:p w14:paraId="7B2D0111" w14:textId="77777777" w:rsidR="005364CA" w:rsidRPr="00DC4844" w:rsidRDefault="005364CA" w:rsidP="00AC3862">
            <w:pPr>
              <w:jc w:val="right"/>
              <w:rPr>
                <w:color w:val="000000"/>
                <w:sz w:val="12"/>
                <w:szCs w:val="12"/>
              </w:rPr>
            </w:pPr>
          </w:p>
        </w:tc>
        <w:tc>
          <w:tcPr>
            <w:tcW w:w="903" w:type="dxa"/>
            <w:tcBorders>
              <w:top w:val="single" w:sz="4" w:space="0" w:color="auto"/>
              <w:left w:val="nil"/>
              <w:right w:val="nil"/>
            </w:tcBorders>
            <w:shd w:val="clear" w:color="auto" w:fill="F2F2F2" w:themeFill="background1" w:themeFillShade="F2"/>
            <w:vAlign w:val="bottom"/>
          </w:tcPr>
          <w:p w14:paraId="088ED3CD" w14:textId="77777777" w:rsidR="005364CA" w:rsidRPr="00DC4844" w:rsidRDefault="005364CA" w:rsidP="00AC3862">
            <w:pPr>
              <w:jc w:val="right"/>
              <w:rPr>
                <w:color w:val="000000"/>
                <w:sz w:val="12"/>
                <w:szCs w:val="12"/>
              </w:rPr>
            </w:pPr>
          </w:p>
        </w:tc>
        <w:tc>
          <w:tcPr>
            <w:tcW w:w="759" w:type="dxa"/>
            <w:tcBorders>
              <w:top w:val="single" w:sz="4" w:space="0" w:color="auto"/>
              <w:left w:val="nil"/>
              <w:right w:val="nil"/>
            </w:tcBorders>
            <w:shd w:val="clear" w:color="auto" w:fill="F2F2F2" w:themeFill="background1" w:themeFillShade="F2"/>
            <w:vAlign w:val="bottom"/>
          </w:tcPr>
          <w:p w14:paraId="6A60253B" w14:textId="77777777" w:rsidR="005364CA" w:rsidRPr="00DC4844" w:rsidRDefault="005364CA" w:rsidP="00AC3862">
            <w:pPr>
              <w:jc w:val="right"/>
              <w:rPr>
                <w:color w:val="000000"/>
                <w:sz w:val="12"/>
                <w:szCs w:val="12"/>
              </w:rPr>
            </w:pPr>
          </w:p>
        </w:tc>
        <w:tc>
          <w:tcPr>
            <w:tcW w:w="851" w:type="dxa"/>
            <w:tcBorders>
              <w:top w:val="single" w:sz="4" w:space="0" w:color="auto"/>
              <w:left w:val="nil"/>
              <w:right w:val="nil"/>
            </w:tcBorders>
            <w:shd w:val="clear" w:color="auto" w:fill="F2F2F2" w:themeFill="background1" w:themeFillShade="F2"/>
            <w:vAlign w:val="bottom"/>
          </w:tcPr>
          <w:p w14:paraId="05812666" w14:textId="77777777" w:rsidR="005364CA" w:rsidRPr="00DC4844" w:rsidRDefault="005364CA" w:rsidP="00AC3862">
            <w:pPr>
              <w:jc w:val="right"/>
              <w:rPr>
                <w:color w:val="000000"/>
                <w:sz w:val="12"/>
                <w:szCs w:val="12"/>
              </w:rPr>
            </w:pPr>
          </w:p>
        </w:tc>
        <w:tc>
          <w:tcPr>
            <w:tcW w:w="752" w:type="dxa"/>
            <w:tcBorders>
              <w:top w:val="single" w:sz="4" w:space="0" w:color="auto"/>
              <w:left w:val="nil"/>
              <w:right w:val="nil"/>
            </w:tcBorders>
            <w:shd w:val="clear" w:color="auto" w:fill="F2F2F2" w:themeFill="background1" w:themeFillShade="F2"/>
            <w:vAlign w:val="bottom"/>
          </w:tcPr>
          <w:p w14:paraId="46AAC1FD" w14:textId="77777777" w:rsidR="005364CA" w:rsidRPr="00DC4844" w:rsidRDefault="005364CA" w:rsidP="00AC3862">
            <w:pPr>
              <w:jc w:val="right"/>
              <w:rPr>
                <w:color w:val="000000"/>
                <w:sz w:val="12"/>
                <w:szCs w:val="12"/>
              </w:rPr>
            </w:pPr>
          </w:p>
        </w:tc>
        <w:tc>
          <w:tcPr>
            <w:tcW w:w="752" w:type="dxa"/>
            <w:tcBorders>
              <w:top w:val="single" w:sz="4" w:space="0" w:color="auto"/>
              <w:left w:val="nil"/>
              <w:right w:val="nil"/>
            </w:tcBorders>
            <w:shd w:val="clear" w:color="auto" w:fill="F2F2F2" w:themeFill="background1" w:themeFillShade="F2"/>
            <w:vAlign w:val="bottom"/>
          </w:tcPr>
          <w:p w14:paraId="1FE0E3D3" w14:textId="77777777" w:rsidR="005364CA" w:rsidRPr="00DC4844" w:rsidRDefault="005364CA" w:rsidP="00AC3862">
            <w:pPr>
              <w:jc w:val="right"/>
              <w:rPr>
                <w:color w:val="000000"/>
                <w:sz w:val="12"/>
                <w:szCs w:val="12"/>
              </w:rPr>
            </w:pPr>
          </w:p>
        </w:tc>
        <w:tc>
          <w:tcPr>
            <w:tcW w:w="752" w:type="dxa"/>
            <w:tcBorders>
              <w:top w:val="single" w:sz="4" w:space="0" w:color="auto"/>
              <w:left w:val="nil"/>
              <w:right w:val="nil"/>
            </w:tcBorders>
            <w:shd w:val="clear" w:color="auto" w:fill="F2F2F2" w:themeFill="background1" w:themeFillShade="F2"/>
            <w:vAlign w:val="bottom"/>
          </w:tcPr>
          <w:p w14:paraId="1190D21F" w14:textId="77777777" w:rsidR="005364CA" w:rsidRPr="00DC4844" w:rsidRDefault="005364CA" w:rsidP="00AC3862">
            <w:pPr>
              <w:jc w:val="right"/>
              <w:rPr>
                <w:color w:val="000000"/>
                <w:sz w:val="12"/>
                <w:szCs w:val="12"/>
              </w:rPr>
            </w:pPr>
          </w:p>
        </w:tc>
        <w:tc>
          <w:tcPr>
            <w:tcW w:w="752" w:type="dxa"/>
            <w:gridSpan w:val="2"/>
            <w:tcBorders>
              <w:top w:val="single" w:sz="4" w:space="0" w:color="auto"/>
              <w:left w:val="nil"/>
              <w:right w:val="nil"/>
            </w:tcBorders>
            <w:shd w:val="clear" w:color="auto" w:fill="F2F2F2" w:themeFill="background1" w:themeFillShade="F2"/>
            <w:noWrap/>
            <w:vAlign w:val="bottom"/>
          </w:tcPr>
          <w:p w14:paraId="7BD9B923" w14:textId="77777777" w:rsidR="005364CA" w:rsidRPr="00DC4844" w:rsidRDefault="005364CA" w:rsidP="00AC3862">
            <w:pPr>
              <w:jc w:val="right"/>
              <w:rPr>
                <w:color w:val="000000"/>
                <w:sz w:val="12"/>
                <w:szCs w:val="12"/>
              </w:rPr>
            </w:pPr>
          </w:p>
        </w:tc>
      </w:tr>
      <w:tr w:rsidR="005364CA" w:rsidRPr="00DC4844" w14:paraId="02E61603" w14:textId="77777777" w:rsidTr="00F34DCB">
        <w:trPr>
          <w:trHeight w:val="300"/>
          <w:jc w:val="center"/>
        </w:trPr>
        <w:tc>
          <w:tcPr>
            <w:tcW w:w="2268" w:type="dxa"/>
            <w:tcBorders>
              <w:left w:val="nil"/>
              <w:bottom w:val="nil"/>
              <w:right w:val="nil"/>
            </w:tcBorders>
            <w:noWrap/>
            <w:vAlign w:val="bottom"/>
          </w:tcPr>
          <w:p w14:paraId="291B89A7" w14:textId="77777777" w:rsidR="005364CA" w:rsidRPr="00DC4844" w:rsidRDefault="005364CA" w:rsidP="00AC3862">
            <w:pPr>
              <w:rPr>
                <w:b/>
                <w:bCs/>
                <w:color w:val="000000"/>
                <w:sz w:val="12"/>
                <w:szCs w:val="12"/>
              </w:rPr>
            </w:pPr>
            <w:r w:rsidRPr="00DC4844">
              <w:rPr>
                <w:b/>
                <w:bCs/>
                <w:color w:val="000000"/>
                <w:sz w:val="12"/>
                <w:szCs w:val="12"/>
              </w:rPr>
              <w:t>PIB EE.UU.</w:t>
            </w:r>
          </w:p>
        </w:tc>
        <w:tc>
          <w:tcPr>
            <w:tcW w:w="748" w:type="dxa"/>
            <w:tcBorders>
              <w:left w:val="nil"/>
              <w:bottom w:val="nil"/>
              <w:right w:val="nil"/>
            </w:tcBorders>
            <w:noWrap/>
            <w:vAlign w:val="bottom"/>
            <w:hideMark/>
          </w:tcPr>
          <w:p w14:paraId="207C9DCB" w14:textId="77777777" w:rsidR="005364CA" w:rsidRPr="00DC4844" w:rsidRDefault="005364CA" w:rsidP="00AC3862">
            <w:pPr>
              <w:jc w:val="right"/>
              <w:rPr>
                <w:color w:val="000000"/>
                <w:sz w:val="12"/>
                <w:szCs w:val="12"/>
              </w:rPr>
            </w:pPr>
          </w:p>
        </w:tc>
        <w:tc>
          <w:tcPr>
            <w:tcW w:w="903" w:type="dxa"/>
            <w:tcBorders>
              <w:left w:val="nil"/>
              <w:bottom w:val="nil"/>
              <w:right w:val="nil"/>
            </w:tcBorders>
            <w:vAlign w:val="bottom"/>
          </w:tcPr>
          <w:p w14:paraId="67BE2B38" w14:textId="77777777" w:rsidR="005364CA" w:rsidRPr="00DC4844" w:rsidRDefault="005364CA" w:rsidP="00AC3862">
            <w:pPr>
              <w:jc w:val="right"/>
              <w:rPr>
                <w:color w:val="000000"/>
                <w:sz w:val="12"/>
                <w:szCs w:val="12"/>
              </w:rPr>
            </w:pPr>
          </w:p>
        </w:tc>
        <w:tc>
          <w:tcPr>
            <w:tcW w:w="759" w:type="dxa"/>
            <w:tcBorders>
              <w:left w:val="nil"/>
              <w:bottom w:val="nil"/>
              <w:right w:val="nil"/>
            </w:tcBorders>
            <w:vAlign w:val="bottom"/>
          </w:tcPr>
          <w:p w14:paraId="058CDF36" w14:textId="77777777" w:rsidR="005364CA" w:rsidRPr="00DC4844" w:rsidRDefault="005364CA" w:rsidP="00AC3862">
            <w:pPr>
              <w:jc w:val="right"/>
              <w:rPr>
                <w:color w:val="000000"/>
                <w:sz w:val="12"/>
                <w:szCs w:val="12"/>
              </w:rPr>
            </w:pPr>
          </w:p>
        </w:tc>
        <w:tc>
          <w:tcPr>
            <w:tcW w:w="851" w:type="dxa"/>
            <w:tcBorders>
              <w:left w:val="nil"/>
              <w:bottom w:val="nil"/>
              <w:right w:val="nil"/>
            </w:tcBorders>
            <w:vAlign w:val="bottom"/>
          </w:tcPr>
          <w:p w14:paraId="085BC242" w14:textId="77777777" w:rsidR="005364CA" w:rsidRPr="00DC4844" w:rsidRDefault="005364CA" w:rsidP="00AC3862">
            <w:pPr>
              <w:jc w:val="right"/>
              <w:rPr>
                <w:color w:val="000000"/>
                <w:sz w:val="12"/>
                <w:szCs w:val="12"/>
              </w:rPr>
            </w:pPr>
          </w:p>
        </w:tc>
        <w:tc>
          <w:tcPr>
            <w:tcW w:w="752" w:type="dxa"/>
            <w:tcBorders>
              <w:left w:val="nil"/>
              <w:bottom w:val="nil"/>
              <w:right w:val="nil"/>
            </w:tcBorders>
            <w:vAlign w:val="bottom"/>
          </w:tcPr>
          <w:p w14:paraId="433814D3" w14:textId="77777777" w:rsidR="005364CA" w:rsidRPr="00DC4844" w:rsidRDefault="005364CA" w:rsidP="00AC3862">
            <w:pPr>
              <w:jc w:val="right"/>
              <w:rPr>
                <w:color w:val="000000"/>
                <w:sz w:val="12"/>
                <w:szCs w:val="12"/>
              </w:rPr>
            </w:pPr>
          </w:p>
        </w:tc>
        <w:tc>
          <w:tcPr>
            <w:tcW w:w="752" w:type="dxa"/>
            <w:tcBorders>
              <w:left w:val="nil"/>
              <w:bottom w:val="nil"/>
              <w:right w:val="nil"/>
            </w:tcBorders>
            <w:vAlign w:val="bottom"/>
          </w:tcPr>
          <w:p w14:paraId="5983BAFE" w14:textId="77777777" w:rsidR="005364CA" w:rsidRPr="00DC4844" w:rsidRDefault="005364CA" w:rsidP="00AC3862">
            <w:pPr>
              <w:jc w:val="right"/>
              <w:rPr>
                <w:color w:val="000000"/>
                <w:sz w:val="12"/>
                <w:szCs w:val="12"/>
              </w:rPr>
            </w:pPr>
          </w:p>
        </w:tc>
        <w:tc>
          <w:tcPr>
            <w:tcW w:w="752" w:type="dxa"/>
            <w:tcBorders>
              <w:left w:val="nil"/>
              <w:bottom w:val="nil"/>
              <w:right w:val="nil"/>
            </w:tcBorders>
            <w:vAlign w:val="bottom"/>
          </w:tcPr>
          <w:p w14:paraId="2DA98209" w14:textId="77777777" w:rsidR="005364CA" w:rsidRPr="00DC4844" w:rsidRDefault="005364CA" w:rsidP="00AC3862">
            <w:pPr>
              <w:jc w:val="right"/>
              <w:rPr>
                <w:color w:val="000000"/>
                <w:sz w:val="12"/>
                <w:szCs w:val="12"/>
              </w:rPr>
            </w:pPr>
          </w:p>
        </w:tc>
        <w:tc>
          <w:tcPr>
            <w:tcW w:w="752" w:type="dxa"/>
            <w:gridSpan w:val="2"/>
            <w:tcBorders>
              <w:left w:val="nil"/>
              <w:bottom w:val="nil"/>
              <w:right w:val="nil"/>
            </w:tcBorders>
            <w:noWrap/>
            <w:vAlign w:val="bottom"/>
            <w:hideMark/>
          </w:tcPr>
          <w:p w14:paraId="5AEE4BFD" w14:textId="77777777" w:rsidR="005364CA" w:rsidRPr="00DC4844" w:rsidRDefault="005364CA" w:rsidP="00AC3862">
            <w:pPr>
              <w:jc w:val="right"/>
              <w:rPr>
                <w:color w:val="000000"/>
                <w:sz w:val="12"/>
                <w:szCs w:val="12"/>
              </w:rPr>
            </w:pPr>
          </w:p>
        </w:tc>
      </w:tr>
      <w:tr w:rsidR="005364CA" w:rsidRPr="00DC4844" w14:paraId="6DA210BA" w14:textId="77777777" w:rsidTr="00F34DCB">
        <w:trPr>
          <w:trHeight w:val="300"/>
          <w:jc w:val="center"/>
        </w:trPr>
        <w:tc>
          <w:tcPr>
            <w:tcW w:w="2268" w:type="dxa"/>
            <w:tcBorders>
              <w:left w:val="nil"/>
              <w:bottom w:val="nil"/>
              <w:right w:val="nil"/>
            </w:tcBorders>
            <w:shd w:val="clear" w:color="auto" w:fill="F2F2F2" w:themeFill="background1" w:themeFillShade="F2"/>
            <w:noWrap/>
            <w:vAlign w:val="bottom"/>
          </w:tcPr>
          <w:p w14:paraId="4FE7102F" w14:textId="77777777" w:rsidR="005364CA" w:rsidRPr="00DC4844" w:rsidRDefault="005364CA" w:rsidP="00AC3862">
            <w:pPr>
              <w:rPr>
                <w:color w:val="000000"/>
                <w:sz w:val="12"/>
                <w:szCs w:val="12"/>
              </w:rPr>
            </w:pPr>
            <w:r w:rsidRPr="00DC4844">
              <w:rPr>
                <w:color w:val="000000"/>
                <w:sz w:val="12"/>
                <w:szCs w:val="12"/>
              </w:rPr>
              <w:t xml:space="preserve">     Crecimiento % real</w:t>
            </w:r>
          </w:p>
        </w:tc>
        <w:tc>
          <w:tcPr>
            <w:tcW w:w="748" w:type="dxa"/>
            <w:tcBorders>
              <w:left w:val="nil"/>
              <w:bottom w:val="nil"/>
              <w:right w:val="nil"/>
            </w:tcBorders>
            <w:shd w:val="clear" w:color="auto" w:fill="F2F2F2" w:themeFill="background1" w:themeFillShade="F2"/>
            <w:noWrap/>
            <w:vAlign w:val="bottom"/>
          </w:tcPr>
          <w:p w14:paraId="6E64C386" w14:textId="77777777" w:rsidR="005364CA" w:rsidRPr="00DC4844" w:rsidRDefault="005364CA" w:rsidP="00AC3862">
            <w:pPr>
              <w:jc w:val="right"/>
              <w:rPr>
                <w:color w:val="000000"/>
                <w:sz w:val="12"/>
                <w:szCs w:val="12"/>
              </w:rPr>
            </w:pPr>
            <w:r w:rsidRPr="00DC4844">
              <w:rPr>
                <w:color w:val="000000"/>
                <w:sz w:val="12"/>
                <w:szCs w:val="12"/>
              </w:rPr>
              <w:t>2.</w:t>
            </w:r>
            <w:r>
              <w:rPr>
                <w:color w:val="000000"/>
                <w:sz w:val="12"/>
                <w:szCs w:val="12"/>
              </w:rPr>
              <w:t>9</w:t>
            </w:r>
          </w:p>
        </w:tc>
        <w:tc>
          <w:tcPr>
            <w:tcW w:w="903" w:type="dxa"/>
            <w:tcBorders>
              <w:left w:val="nil"/>
              <w:bottom w:val="nil"/>
              <w:right w:val="nil"/>
            </w:tcBorders>
            <w:shd w:val="clear" w:color="auto" w:fill="F2F2F2" w:themeFill="background1" w:themeFillShade="F2"/>
            <w:vAlign w:val="bottom"/>
          </w:tcPr>
          <w:p w14:paraId="2AADE477" w14:textId="77777777" w:rsidR="005364CA" w:rsidRPr="00DC4844" w:rsidRDefault="005364CA" w:rsidP="00AC3862">
            <w:pPr>
              <w:jc w:val="right"/>
              <w:rPr>
                <w:color w:val="000000"/>
                <w:sz w:val="12"/>
                <w:szCs w:val="12"/>
              </w:rPr>
            </w:pPr>
            <w:r w:rsidRPr="00DC4844">
              <w:rPr>
                <w:color w:val="000000"/>
                <w:sz w:val="12"/>
                <w:szCs w:val="12"/>
              </w:rPr>
              <w:t>1.6</w:t>
            </w:r>
          </w:p>
        </w:tc>
        <w:tc>
          <w:tcPr>
            <w:tcW w:w="759" w:type="dxa"/>
            <w:tcBorders>
              <w:left w:val="nil"/>
              <w:bottom w:val="nil"/>
              <w:right w:val="nil"/>
            </w:tcBorders>
            <w:shd w:val="clear" w:color="auto" w:fill="F2F2F2" w:themeFill="background1" w:themeFillShade="F2"/>
            <w:vAlign w:val="bottom"/>
          </w:tcPr>
          <w:p w14:paraId="6C227B93"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9</w:t>
            </w:r>
          </w:p>
        </w:tc>
        <w:tc>
          <w:tcPr>
            <w:tcW w:w="851" w:type="dxa"/>
            <w:tcBorders>
              <w:left w:val="nil"/>
              <w:bottom w:val="nil"/>
              <w:right w:val="nil"/>
            </w:tcBorders>
            <w:shd w:val="clear" w:color="auto" w:fill="F2F2F2" w:themeFill="background1" w:themeFillShade="F2"/>
            <w:vAlign w:val="bottom"/>
          </w:tcPr>
          <w:p w14:paraId="01EBA826" w14:textId="77777777" w:rsidR="005364CA" w:rsidRPr="00DC4844" w:rsidRDefault="005364CA" w:rsidP="00AC3862">
            <w:pPr>
              <w:jc w:val="right"/>
              <w:rPr>
                <w:color w:val="000000"/>
                <w:sz w:val="12"/>
                <w:szCs w:val="12"/>
              </w:rPr>
            </w:pPr>
            <w:r>
              <w:rPr>
                <w:color w:val="000000"/>
                <w:sz w:val="12"/>
                <w:szCs w:val="12"/>
              </w:rPr>
              <w:t>2.0</w:t>
            </w:r>
          </w:p>
        </w:tc>
        <w:tc>
          <w:tcPr>
            <w:tcW w:w="752" w:type="dxa"/>
            <w:tcBorders>
              <w:left w:val="nil"/>
              <w:bottom w:val="nil"/>
              <w:right w:val="nil"/>
            </w:tcBorders>
            <w:shd w:val="clear" w:color="auto" w:fill="F2F2F2" w:themeFill="background1" w:themeFillShade="F2"/>
            <w:vAlign w:val="bottom"/>
          </w:tcPr>
          <w:p w14:paraId="489E6317" w14:textId="77777777" w:rsidR="005364CA" w:rsidRPr="00DC4844" w:rsidRDefault="005364CA" w:rsidP="00AC3862">
            <w:pPr>
              <w:jc w:val="right"/>
              <w:rPr>
                <w:color w:val="000000"/>
                <w:sz w:val="12"/>
                <w:szCs w:val="12"/>
              </w:rPr>
            </w:pPr>
            <w:r>
              <w:rPr>
                <w:color w:val="000000"/>
                <w:sz w:val="12"/>
                <w:szCs w:val="12"/>
              </w:rPr>
              <w:t>2.0</w:t>
            </w:r>
          </w:p>
        </w:tc>
        <w:tc>
          <w:tcPr>
            <w:tcW w:w="752" w:type="dxa"/>
            <w:tcBorders>
              <w:left w:val="nil"/>
              <w:bottom w:val="nil"/>
              <w:right w:val="nil"/>
            </w:tcBorders>
            <w:shd w:val="clear" w:color="auto" w:fill="F2F2F2" w:themeFill="background1" w:themeFillShade="F2"/>
            <w:vAlign w:val="bottom"/>
          </w:tcPr>
          <w:p w14:paraId="7F4C466A" w14:textId="77777777" w:rsidR="005364CA" w:rsidRPr="00DC4844" w:rsidRDefault="005364CA" w:rsidP="00AC3862">
            <w:pPr>
              <w:jc w:val="right"/>
              <w:rPr>
                <w:color w:val="000000"/>
                <w:sz w:val="12"/>
                <w:szCs w:val="12"/>
              </w:rPr>
            </w:pPr>
            <w:r>
              <w:rPr>
                <w:color w:val="000000"/>
                <w:sz w:val="12"/>
                <w:szCs w:val="12"/>
              </w:rPr>
              <w:t>2.0</w:t>
            </w:r>
          </w:p>
        </w:tc>
        <w:tc>
          <w:tcPr>
            <w:tcW w:w="752" w:type="dxa"/>
            <w:tcBorders>
              <w:left w:val="nil"/>
              <w:bottom w:val="nil"/>
              <w:right w:val="nil"/>
            </w:tcBorders>
            <w:shd w:val="clear" w:color="auto" w:fill="F2F2F2" w:themeFill="background1" w:themeFillShade="F2"/>
            <w:vAlign w:val="bottom"/>
          </w:tcPr>
          <w:p w14:paraId="2C365848" w14:textId="77777777" w:rsidR="005364CA" w:rsidRPr="00DC4844" w:rsidRDefault="005364CA" w:rsidP="00AC3862">
            <w:pPr>
              <w:jc w:val="right"/>
              <w:rPr>
                <w:color w:val="000000"/>
                <w:sz w:val="12"/>
                <w:szCs w:val="12"/>
              </w:rPr>
            </w:pPr>
            <w:r>
              <w:rPr>
                <w:color w:val="000000"/>
                <w:sz w:val="12"/>
                <w:szCs w:val="12"/>
              </w:rPr>
              <w:t>2.0</w:t>
            </w:r>
          </w:p>
        </w:tc>
        <w:tc>
          <w:tcPr>
            <w:tcW w:w="752" w:type="dxa"/>
            <w:gridSpan w:val="2"/>
            <w:tcBorders>
              <w:left w:val="nil"/>
              <w:bottom w:val="nil"/>
              <w:right w:val="nil"/>
            </w:tcBorders>
            <w:shd w:val="clear" w:color="auto" w:fill="F2F2F2" w:themeFill="background1" w:themeFillShade="F2"/>
            <w:noWrap/>
            <w:vAlign w:val="bottom"/>
          </w:tcPr>
          <w:p w14:paraId="3BE57ABA" w14:textId="77777777" w:rsidR="005364CA" w:rsidRPr="00DC4844" w:rsidRDefault="005364CA" w:rsidP="00AC3862">
            <w:pPr>
              <w:jc w:val="right"/>
              <w:rPr>
                <w:color w:val="000000"/>
                <w:sz w:val="12"/>
                <w:szCs w:val="12"/>
              </w:rPr>
            </w:pPr>
            <w:r>
              <w:rPr>
                <w:color w:val="000000"/>
                <w:sz w:val="12"/>
                <w:szCs w:val="12"/>
              </w:rPr>
              <w:t>2.0</w:t>
            </w:r>
          </w:p>
        </w:tc>
      </w:tr>
      <w:tr w:rsidR="005364CA" w:rsidRPr="00DC4844" w14:paraId="3CF0E60F" w14:textId="77777777" w:rsidTr="00F34DCB">
        <w:trPr>
          <w:trHeight w:val="300"/>
          <w:jc w:val="center"/>
        </w:trPr>
        <w:tc>
          <w:tcPr>
            <w:tcW w:w="2268" w:type="dxa"/>
            <w:tcBorders>
              <w:left w:val="nil"/>
              <w:bottom w:val="nil"/>
              <w:right w:val="nil"/>
            </w:tcBorders>
            <w:shd w:val="clear" w:color="auto" w:fill="FFFFFF" w:themeFill="background1"/>
            <w:noWrap/>
            <w:vAlign w:val="bottom"/>
          </w:tcPr>
          <w:p w14:paraId="7D68A3A1" w14:textId="77777777" w:rsidR="005364CA" w:rsidRPr="00DC4844" w:rsidRDefault="005364CA" w:rsidP="00AC3862">
            <w:pPr>
              <w:rPr>
                <w:b/>
                <w:bCs/>
                <w:color w:val="000000"/>
                <w:sz w:val="12"/>
                <w:szCs w:val="12"/>
              </w:rPr>
            </w:pPr>
            <w:r w:rsidRPr="00DC4844">
              <w:rPr>
                <w:b/>
                <w:bCs/>
                <w:color w:val="000000"/>
                <w:sz w:val="12"/>
                <w:szCs w:val="12"/>
              </w:rPr>
              <w:t>Producción Industrial EE.UU.</w:t>
            </w:r>
          </w:p>
        </w:tc>
        <w:tc>
          <w:tcPr>
            <w:tcW w:w="748" w:type="dxa"/>
            <w:tcBorders>
              <w:left w:val="nil"/>
              <w:bottom w:val="nil"/>
              <w:right w:val="nil"/>
            </w:tcBorders>
            <w:shd w:val="clear" w:color="auto" w:fill="FFFFFF" w:themeFill="background1"/>
            <w:noWrap/>
            <w:vAlign w:val="bottom"/>
          </w:tcPr>
          <w:p w14:paraId="325A65A1" w14:textId="77777777" w:rsidR="005364CA" w:rsidRPr="00DC4844" w:rsidRDefault="005364CA" w:rsidP="00AC3862">
            <w:pPr>
              <w:jc w:val="right"/>
              <w:rPr>
                <w:color w:val="000000"/>
                <w:sz w:val="12"/>
                <w:szCs w:val="12"/>
              </w:rPr>
            </w:pPr>
          </w:p>
        </w:tc>
        <w:tc>
          <w:tcPr>
            <w:tcW w:w="903" w:type="dxa"/>
            <w:tcBorders>
              <w:left w:val="nil"/>
              <w:bottom w:val="nil"/>
              <w:right w:val="nil"/>
            </w:tcBorders>
            <w:shd w:val="clear" w:color="auto" w:fill="FFFFFF" w:themeFill="background1"/>
            <w:vAlign w:val="bottom"/>
          </w:tcPr>
          <w:p w14:paraId="50F99AFE" w14:textId="77777777" w:rsidR="005364CA" w:rsidRPr="00DC4844" w:rsidRDefault="005364CA" w:rsidP="00AC3862">
            <w:pPr>
              <w:jc w:val="right"/>
              <w:rPr>
                <w:color w:val="000000"/>
                <w:sz w:val="12"/>
                <w:szCs w:val="12"/>
              </w:rPr>
            </w:pPr>
          </w:p>
        </w:tc>
        <w:tc>
          <w:tcPr>
            <w:tcW w:w="759" w:type="dxa"/>
            <w:tcBorders>
              <w:left w:val="nil"/>
              <w:bottom w:val="nil"/>
              <w:right w:val="nil"/>
            </w:tcBorders>
            <w:shd w:val="clear" w:color="auto" w:fill="FFFFFF" w:themeFill="background1"/>
            <w:vAlign w:val="bottom"/>
          </w:tcPr>
          <w:p w14:paraId="12BBE362" w14:textId="77777777" w:rsidR="005364CA" w:rsidRPr="00DC4844" w:rsidRDefault="005364CA" w:rsidP="00AC3862">
            <w:pPr>
              <w:jc w:val="right"/>
              <w:rPr>
                <w:color w:val="000000"/>
                <w:sz w:val="12"/>
                <w:szCs w:val="12"/>
              </w:rPr>
            </w:pPr>
          </w:p>
        </w:tc>
        <w:tc>
          <w:tcPr>
            <w:tcW w:w="851" w:type="dxa"/>
            <w:tcBorders>
              <w:left w:val="nil"/>
              <w:bottom w:val="nil"/>
              <w:right w:val="nil"/>
            </w:tcBorders>
            <w:shd w:val="clear" w:color="auto" w:fill="FFFFFF" w:themeFill="background1"/>
            <w:vAlign w:val="bottom"/>
          </w:tcPr>
          <w:p w14:paraId="4D0EE9A9" w14:textId="77777777" w:rsidR="005364CA" w:rsidRPr="00DC4844" w:rsidRDefault="005364CA" w:rsidP="00AC3862">
            <w:pPr>
              <w:jc w:val="right"/>
              <w:rPr>
                <w:color w:val="000000"/>
                <w:sz w:val="12"/>
                <w:szCs w:val="12"/>
              </w:rPr>
            </w:pPr>
          </w:p>
        </w:tc>
        <w:tc>
          <w:tcPr>
            <w:tcW w:w="752" w:type="dxa"/>
            <w:tcBorders>
              <w:left w:val="nil"/>
              <w:bottom w:val="nil"/>
              <w:right w:val="nil"/>
            </w:tcBorders>
            <w:shd w:val="clear" w:color="auto" w:fill="FFFFFF" w:themeFill="background1"/>
            <w:vAlign w:val="bottom"/>
          </w:tcPr>
          <w:p w14:paraId="5026E809" w14:textId="77777777" w:rsidR="005364CA" w:rsidRPr="00DC4844" w:rsidRDefault="005364CA" w:rsidP="00AC3862">
            <w:pPr>
              <w:jc w:val="right"/>
              <w:rPr>
                <w:color w:val="000000"/>
                <w:sz w:val="12"/>
                <w:szCs w:val="12"/>
              </w:rPr>
            </w:pPr>
          </w:p>
        </w:tc>
        <w:tc>
          <w:tcPr>
            <w:tcW w:w="752" w:type="dxa"/>
            <w:tcBorders>
              <w:left w:val="nil"/>
              <w:bottom w:val="nil"/>
              <w:right w:val="nil"/>
            </w:tcBorders>
            <w:shd w:val="clear" w:color="auto" w:fill="FFFFFF" w:themeFill="background1"/>
            <w:vAlign w:val="bottom"/>
          </w:tcPr>
          <w:p w14:paraId="7FA093D5" w14:textId="77777777" w:rsidR="005364CA" w:rsidRPr="00DC4844" w:rsidRDefault="005364CA" w:rsidP="00AC3862">
            <w:pPr>
              <w:jc w:val="right"/>
              <w:rPr>
                <w:color w:val="000000"/>
                <w:sz w:val="12"/>
                <w:szCs w:val="12"/>
              </w:rPr>
            </w:pPr>
          </w:p>
        </w:tc>
        <w:tc>
          <w:tcPr>
            <w:tcW w:w="752" w:type="dxa"/>
            <w:tcBorders>
              <w:left w:val="nil"/>
              <w:bottom w:val="nil"/>
              <w:right w:val="nil"/>
            </w:tcBorders>
            <w:shd w:val="clear" w:color="auto" w:fill="FFFFFF" w:themeFill="background1"/>
            <w:vAlign w:val="bottom"/>
          </w:tcPr>
          <w:p w14:paraId="4E54482A" w14:textId="77777777" w:rsidR="005364CA" w:rsidRPr="00DC4844" w:rsidRDefault="005364CA" w:rsidP="00AC3862">
            <w:pPr>
              <w:jc w:val="right"/>
              <w:rPr>
                <w:color w:val="000000"/>
                <w:sz w:val="12"/>
                <w:szCs w:val="12"/>
              </w:rPr>
            </w:pPr>
          </w:p>
        </w:tc>
        <w:tc>
          <w:tcPr>
            <w:tcW w:w="752" w:type="dxa"/>
            <w:gridSpan w:val="2"/>
            <w:tcBorders>
              <w:left w:val="nil"/>
              <w:bottom w:val="nil"/>
              <w:right w:val="nil"/>
            </w:tcBorders>
            <w:shd w:val="clear" w:color="auto" w:fill="FFFFFF" w:themeFill="background1"/>
            <w:noWrap/>
            <w:vAlign w:val="bottom"/>
          </w:tcPr>
          <w:p w14:paraId="126161C8" w14:textId="77777777" w:rsidR="005364CA" w:rsidRPr="00DC4844" w:rsidRDefault="005364CA" w:rsidP="00AC3862">
            <w:pPr>
              <w:jc w:val="right"/>
              <w:rPr>
                <w:color w:val="000000"/>
                <w:sz w:val="12"/>
                <w:szCs w:val="12"/>
              </w:rPr>
            </w:pPr>
          </w:p>
        </w:tc>
      </w:tr>
      <w:tr w:rsidR="005364CA" w:rsidRPr="00DC4844" w14:paraId="49AB8961" w14:textId="77777777" w:rsidTr="00F34DCB">
        <w:trPr>
          <w:trHeight w:val="300"/>
          <w:jc w:val="center"/>
        </w:trPr>
        <w:tc>
          <w:tcPr>
            <w:tcW w:w="2268" w:type="dxa"/>
            <w:tcBorders>
              <w:left w:val="nil"/>
              <w:bottom w:val="nil"/>
              <w:right w:val="nil"/>
            </w:tcBorders>
            <w:shd w:val="clear" w:color="auto" w:fill="F2F2F2" w:themeFill="background1" w:themeFillShade="F2"/>
            <w:noWrap/>
            <w:vAlign w:val="bottom"/>
          </w:tcPr>
          <w:p w14:paraId="00B6B454" w14:textId="77777777" w:rsidR="005364CA" w:rsidRPr="00DC4844" w:rsidRDefault="005364CA" w:rsidP="00AC3862">
            <w:pPr>
              <w:rPr>
                <w:color w:val="000000"/>
                <w:sz w:val="12"/>
                <w:szCs w:val="12"/>
              </w:rPr>
            </w:pPr>
            <w:r w:rsidRPr="00DC4844">
              <w:rPr>
                <w:color w:val="000000"/>
                <w:sz w:val="12"/>
                <w:szCs w:val="12"/>
              </w:rPr>
              <w:t xml:space="preserve">     Crecimiento % real</w:t>
            </w:r>
          </w:p>
        </w:tc>
        <w:tc>
          <w:tcPr>
            <w:tcW w:w="748" w:type="dxa"/>
            <w:tcBorders>
              <w:left w:val="nil"/>
              <w:bottom w:val="nil"/>
              <w:right w:val="nil"/>
            </w:tcBorders>
            <w:shd w:val="clear" w:color="auto" w:fill="F2F2F2" w:themeFill="background1" w:themeFillShade="F2"/>
            <w:noWrap/>
            <w:vAlign w:val="bottom"/>
          </w:tcPr>
          <w:p w14:paraId="7C30BD0C" w14:textId="77777777" w:rsidR="005364CA" w:rsidRPr="00DC4844" w:rsidRDefault="005364CA" w:rsidP="00AC3862">
            <w:pPr>
              <w:jc w:val="right"/>
              <w:rPr>
                <w:color w:val="000000"/>
                <w:sz w:val="12"/>
                <w:szCs w:val="12"/>
              </w:rPr>
            </w:pPr>
            <w:r>
              <w:rPr>
                <w:color w:val="000000"/>
                <w:sz w:val="12"/>
                <w:szCs w:val="12"/>
              </w:rPr>
              <w:t>-</w:t>
            </w:r>
            <w:r w:rsidRPr="00DC4844">
              <w:rPr>
                <w:color w:val="000000"/>
                <w:sz w:val="12"/>
                <w:szCs w:val="12"/>
              </w:rPr>
              <w:t>0</w:t>
            </w:r>
            <w:r>
              <w:rPr>
                <w:color w:val="000000"/>
                <w:sz w:val="12"/>
                <w:szCs w:val="12"/>
              </w:rPr>
              <w:t>.3</w:t>
            </w:r>
          </w:p>
        </w:tc>
        <w:tc>
          <w:tcPr>
            <w:tcW w:w="903" w:type="dxa"/>
            <w:tcBorders>
              <w:left w:val="nil"/>
              <w:bottom w:val="nil"/>
              <w:right w:val="nil"/>
            </w:tcBorders>
            <w:shd w:val="clear" w:color="auto" w:fill="F2F2F2" w:themeFill="background1" w:themeFillShade="F2"/>
            <w:vAlign w:val="bottom"/>
          </w:tcPr>
          <w:p w14:paraId="74D180F3" w14:textId="77777777" w:rsidR="005364CA" w:rsidRPr="00DC4844" w:rsidRDefault="005364CA" w:rsidP="00AC3862">
            <w:pPr>
              <w:jc w:val="right"/>
              <w:rPr>
                <w:color w:val="000000"/>
                <w:sz w:val="12"/>
                <w:szCs w:val="12"/>
              </w:rPr>
            </w:pPr>
            <w:r w:rsidRPr="00DC4844">
              <w:rPr>
                <w:color w:val="000000"/>
                <w:sz w:val="12"/>
                <w:szCs w:val="12"/>
              </w:rPr>
              <w:t>1.0</w:t>
            </w:r>
          </w:p>
        </w:tc>
        <w:tc>
          <w:tcPr>
            <w:tcW w:w="759" w:type="dxa"/>
            <w:tcBorders>
              <w:left w:val="nil"/>
              <w:bottom w:val="nil"/>
              <w:right w:val="nil"/>
            </w:tcBorders>
            <w:shd w:val="clear" w:color="auto" w:fill="F2F2F2" w:themeFill="background1" w:themeFillShade="F2"/>
            <w:vAlign w:val="bottom"/>
          </w:tcPr>
          <w:p w14:paraId="244CDEF1"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1</w:t>
            </w:r>
          </w:p>
        </w:tc>
        <w:tc>
          <w:tcPr>
            <w:tcW w:w="851" w:type="dxa"/>
            <w:tcBorders>
              <w:left w:val="nil"/>
              <w:bottom w:val="nil"/>
              <w:right w:val="nil"/>
            </w:tcBorders>
            <w:shd w:val="clear" w:color="auto" w:fill="F2F2F2" w:themeFill="background1" w:themeFillShade="F2"/>
            <w:vAlign w:val="bottom"/>
          </w:tcPr>
          <w:p w14:paraId="34119659" w14:textId="77777777" w:rsidR="005364CA" w:rsidRPr="00DC4844" w:rsidRDefault="005364CA" w:rsidP="00AC3862">
            <w:pPr>
              <w:jc w:val="right"/>
              <w:rPr>
                <w:color w:val="000000"/>
                <w:sz w:val="12"/>
                <w:szCs w:val="12"/>
              </w:rPr>
            </w:pPr>
            <w:r>
              <w:rPr>
                <w:color w:val="000000"/>
                <w:sz w:val="12"/>
                <w:szCs w:val="12"/>
              </w:rPr>
              <w:t>2</w:t>
            </w:r>
            <w:r w:rsidRPr="00DC4844">
              <w:rPr>
                <w:color w:val="000000"/>
                <w:sz w:val="12"/>
                <w:szCs w:val="12"/>
              </w:rPr>
              <w:t>.</w:t>
            </w:r>
            <w:r>
              <w:rPr>
                <w:color w:val="000000"/>
                <w:sz w:val="12"/>
                <w:szCs w:val="12"/>
              </w:rPr>
              <w:t>2</w:t>
            </w:r>
          </w:p>
        </w:tc>
        <w:tc>
          <w:tcPr>
            <w:tcW w:w="752" w:type="dxa"/>
            <w:tcBorders>
              <w:left w:val="nil"/>
              <w:bottom w:val="nil"/>
              <w:right w:val="nil"/>
            </w:tcBorders>
            <w:shd w:val="clear" w:color="auto" w:fill="F2F2F2" w:themeFill="background1" w:themeFillShade="F2"/>
            <w:vAlign w:val="bottom"/>
          </w:tcPr>
          <w:p w14:paraId="21C1A329" w14:textId="77777777" w:rsidR="005364CA" w:rsidRPr="00DC4844" w:rsidRDefault="005364CA" w:rsidP="00AC3862">
            <w:pPr>
              <w:jc w:val="right"/>
              <w:rPr>
                <w:color w:val="000000"/>
                <w:sz w:val="12"/>
                <w:szCs w:val="12"/>
              </w:rPr>
            </w:pPr>
            <w:r>
              <w:rPr>
                <w:color w:val="000000"/>
                <w:sz w:val="12"/>
                <w:szCs w:val="12"/>
              </w:rPr>
              <w:t>2.2</w:t>
            </w:r>
          </w:p>
        </w:tc>
        <w:tc>
          <w:tcPr>
            <w:tcW w:w="752" w:type="dxa"/>
            <w:tcBorders>
              <w:left w:val="nil"/>
              <w:bottom w:val="nil"/>
              <w:right w:val="nil"/>
            </w:tcBorders>
            <w:shd w:val="clear" w:color="auto" w:fill="F2F2F2" w:themeFill="background1" w:themeFillShade="F2"/>
            <w:vAlign w:val="bottom"/>
          </w:tcPr>
          <w:p w14:paraId="1C9D12AB" w14:textId="77777777" w:rsidR="005364CA" w:rsidRPr="00DC4844" w:rsidRDefault="005364CA" w:rsidP="00AC3862">
            <w:pPr>
              <w:jc w:val="right"/>
              <w:rPr>
                <w:color w:val="000000"/>
                <w:sz w:val="12"/>
                <w:szCs w:val="12"/>
              </w:rPr>
            </w:pPr>
            <w:r>
              <w:rPr>
                <w:color w:val="000000"/>
                <w:sz w:val="12"/>
                <w:szCs w:val="12"/>
              </w:rPr>
              <w:t>2.2</w:t>
            </w:r>
          </w:p>
        </w:tc>
        <w:tc>
          <w:tcPr>
            <w:tcW w:w="752" w:type="dxa"/>
            <w:tcBorders>
              <w:left w:val="nil"/>
              <w:bottom w:val="nil"/>
              <w:right w:val="nil"/>
            </w:tcBorders>
            <w:shd w:val="clear" w:color="auto" w:fill="F2F2F2" w:themeFill="background1" w:themeFillShade="F2"/>
            <w:vAlign w:val="bottom"/>
          </w:tcPr>
          <w:p w14:paraId="50E1FB7E" w14:textId="77777777" w:rsidR="005364CA" w:rsidRPr="00DC4844" w:rsidRDefault="005364CA" w:rsidP="00AC3862">
            <w:pPr>
              <w:jc w:val="right"/>
              <w:rPr>
                <w:color w:val="000000"/>
                <w:sz w:val="12"/>
                <w:szCs w:val="12"/>
              </w:rPr>
            </w:pPr>
            <w:r>
              <w:rPr>
                <w:color w:val="000000"/>
                <w:sz w:val="12"/>
                <w:szCs w:val="12"/>
              </w:rPr>
              <w:t>2.2</w:t>
            </w:r>
          </w:p>
        </w:tc>
        <w:tc>
          <w:tcPr>
            <w:tcW w:w="752" w:type="dxa"/>
            <w:gridSpan w:val="2"/>
            <w:tcBorders>
              <w:left w:val="nil"/>
              <w:bottom w:val="nil"/>
              <w:right w:val="nil"/>
            </w:tcBorders>
            <w:shd w:val="clear" w:color="auto" w:fill="F2F2F2" w:themeFill="background1" w:themeFillShade="F2"/>
            <w:noWrap/>
            <w:vAlign w:val="bottom"/>
          </w:tcPr>
          <w:p w14:paraId="0879F4A8" w14:textId="77777777" w:rsidR="005364CA" w:rsidRPr="00DC4844" w:rsidRDefault="005364CA" w:rsidP="00AC3862">
            <w:pPr>
              <w:jc w:val="right"/>
              <w:rPr>
                <w:color w:val="000000"/>
                <w:sz w:val="12"/>
                <w:szCs w:val="12"/>
              </w:rPr>
            </w:pPr>
            <w:r>
              <w:rPr>
                <w:color w:val="000000"/>
                <w:sz w:val="12"/>
                <w:szCs w:val="12"/>
              </w:rPr>
              <w:t>2.2</w:t>
            </w:r>
          </w:p>
        </w:tc>
      </w:tr>
      <w:tr w:rsidR="005364CA" w:rsidRPr="00DC4844" w14:paraId="7BF08ADE" w14:textId="77777777" w:rsidTr="00F34DCB">
        <w:trPr>
          <w:trHeight w:val="300"/>
          <w:jc w:val="center"/>
        </w:trPr>
        <w:tc>
          <w:tcPr>
            <w:tcW w:w="2268" w:type="dxa"/>
            <w:tcBorders>
              <w:left w:val="nil"/>
              <w:bottom w:val="nil"/>
              <w:right w:val="nil"/>
            </w:tcBorders>
            <w:shd w:val="clear" w:color="auto" w:fill="FFFFFF" w:themeFill="background1"/>
            <w:noWrap/>
            <w:vAlign w:val="bottom"/>
          </w:tcPr>
          <w:p w14:paraId="54C2187E" w14:textId="77777777" w:rsidR="005364CA" w:rsidRPr="00DC4844" w:rsidRDefault="005364CA" w:rsidP="00AC3862">
            <w:pPr>
              <w:rPr>
                <w:b/>
                <w:bCs/>
                <w:color w:val="000000"/>
                <w:sz w:val="12"/>
                <w:szCs w:val="12"/>
              </w:rPr>
            </w:pPr>
            <w:r w:rsidRPr="00DC4844">
              <w:rPr>
                <w:b/>
                <w:bCs/>
                <w:color w:val="000000"/>
                <w:sz w:val="12"/>
                <w:szCs w:val="12"/>
              </w:rPr>
              <w:t>Inflación EE.UU.</w:t>
            </w:r>
          </w:p>
        </w:tc>
        <w:tc>
          <w:tcPr>
            <w:tcW w:w="748" w:type="dxa"/>
            <w:tcBorders>
              <w:left w:val="nil"/>
              <w:bottom w:val="nil"/>
              <w:right w:val="nil"/>
            </w:tcBorders>
            <w:shd w:val="clear" w:color="auto" w:fill="FFFFFF" w:themeFill="background1"/>
            <w:noWrap/>
            <w:vAlign w:val="bottom"/>
          </w:tcPr>
          <w:p w14:paraId="353273D7" w14:textId="77777777" w:rsidR="005364CA" w:rsidRPr="00DC4844" w:rsidRDefault="005364CA" w:rsidP="00AC3862">
            <w:pPr>
              <w:jc w:val="right"/>
              <w:rPr>
                <w:color w:val="000000"/>
                <w:sz w:val="12"/>
                <w:szCs w:val="12"/>
              </w:rPr>
            </w:pPr>
          </w:p>
        </w:tc>
        <w:tc>
          <w:tcPr>
            <w:tcW w:w="903" w:type="dxa"/>
            <w:tcBorders>
              <w:left w:val="nil"/>
              <w:bottom w:val="nil"/>
              <w:right w:val="nil"/>
            </w:tcBorders>
            <w:shd w:val="clear" w:color="auto" w:fill="FFFFFF" w:themeFill="background1"/>
            <w:vAlign w:val="bottom"/>
          </w:tcPr>
          <w:p w14:paraId="6B92BF51" w14:textId="77777777" w:rsidR="005364CA" w:rsidRPr="00DC4844" w:rsidRDefault="005364CA" w:rsidP="00AC3862">
            <w:pPr>
              <w:jc w:val="right"/>
              <w:rPr>
                <w:color w:val="000000"/>
                <w:sz w:val="12"/>
                <w:szCs w:val="12"/>
              </w:rPr>
            </w:pPr>
          </w:p>
        </w:tc>
        <w:tc>
          <w:tcPr>
            <w:tcW w:w="759" w:type="dxa"/>
            <w:tcBorders>
              <w:left w:val="nil"/>
              <w:bottom w:val="nil"/>
              <w:right w:val="nil"/>
            </w:tcBorders>
            <w:shd w:val="clear" w:color="auto" w:fill="FFFFFF" w:themeFill="background1"/>
            <w:vAlign w:val="bottom"/>
          </w:tcPr>
          <w:p w14:paraId="77C279D0" w14:textId="77777777" w:rsidR="005364CA" w:rsidRPr="00DC4844" w:rsidRDefault="005364CA" w:rsidP="00AC3862">
            <w:pPr>
              <w:jc w:val="right"/>
              <w:rPr>
                <w:color w:val="000000"/>
                <w:sz w:val="12"/>
                <w:szCs w:val="12"/>
              </w:rPr>
            </w:pPr>
          </w:p>
        </w:tc>
        <w:tc>
          <w:tcPr>
            <w:tcW w:w="851" w:type="dxa"/>
            <w:tcBorders>
              <w:left w:val="nil"/>
              <w:bottom w:val="nil"/>
              <w:right w:val="nil"/>
            </w:tcBorders>
            <w:shd w:val="clear" w:color="auto" w:fill="FFFFFF" w:themeFill="background1"/>
            <w:vAlign w:val="bottom"/>
          </w:tcPr>
          <w:p w14:paraId="7AC81646" w14:textId="77777777" w:rsidR="005364CA" w:rsidRPr="00DC4844" w:rsidRDefault="005364CA" w:rsidP="00AC3862">
            <w:pPr>
              <w:jc w:val="right"/>
              <w:rPr>
                <w:color w:val="000000"/>
                <w:sz w:val="12"/>
                <w:szCs w:val="12"/>
              </w:rPr>
            </w:pPr>
          </w:p>
        </w:tc>
        <w:tc>
          <w:tcPr>
            <w:tcW w:w="752" w:type="dxa"/>
            <w:tcBorders>
              <w:left w:val="nil"/>
              <w:bottom w:val="nil"/>
              <w:right w:val="nil"/>
            </w:tcBorders>
            <w:shd w:val="clear" w:color="auto" w:fill="FFFFFF" w:themeFill="background1"/>
            <w:vAlign w:val="bottom"/>
          </w:tcPr>
          <w:p w14:paraId="690B630E" w14:textId="77777777" w:rsidR="005364CA" w:rsidRPr="00DC4844" w:rsidRDefault="005364CA" w:rsidP="00AC3862">
            <w:pPr>
              <w:jc w:val="right"/>
              <w:rPr>
                <w:color w:val="000000"/>
                <w:sz w:val="12"/>
                <w:szCs w:val="12"/>
              </w:rPr>
            </w:pPr>
          </w:p>
        </w:tc>
        <w:tc>
          <w:tcPr>
            <w:tcW w:w="752" w:type="dxa"/>
            <w:tcBorders>
              <w:left w:val="nil"/>
              <w:bottom w:val="nil"/>
              <w:right w:val="nil"/>
            </w:tcBorders>
            <w:shd w:val="clear" w:color="auto" w:fill="FFFFFF" w:themeFill="background1"/>
            <w:vAlign w:val="bottom"/>
          </w:tcPr>
          <w:p w14:paraId="74E3F204" w14:textId="77777777" w:rsidR="005364CA" w:rsidRPr="00DC4844" w:rsidRDefault="005364CA" w:rsidP="00AC3862">
            <w:pPr>
              <w:jc w:val="right"/>
              <w:rPr>
                <w:color w:val="000000"/>
                <w:sz w:val="12"/>
                <w:szCs w:val="12"/>
              </w:rPr>
            </w:pPr>
          </w:p>
        </w:tc>
        <w:tc>
          <w:tcPr>
            <w:tcW w:w="752" w:type="dxa"/>
            <w:tcBorders>
              <w:left w:val="nil"/>
              <w:bottom w:val="nil"/>
              <w:right w:val="nil"/>
            </w:tcBorders>
            <w:shd w:val="clear" w:color="auto" w:fill="FFFFFF" w:themeFill="background1"/>
            <w:vAlign w:val="bottom"/>
          </w:tcPr>
          <w:p w14:paraId="67C86CCD" w14:textId="77777777" w:rsidR="005364CA" w:rsidRPr="00DC4844" w:rsidRDefault="005364CA" w:rsidP="00AC3862">
            <w:pPr>
              <w:jc w:val="right"/>
              <w:rPr>
                <w:color w:val="000000"/>
                <w:sz w:val="12"/>
                <w:szCs w:val="12"/>
              </w:rPr>
            </w:pPr>
          </w:p>
        </w:tc>
        <w:tc>
          <w:tcPr>
            <w:tcW w:w="752" w:type="dxa"/>
            <w:gridSpan w:val="2"/>
            <w:tcBorders>
              <w:left w:val="nil"/>
              <w:bottom w:val="nil"/>
              <w:right w:val="nil"/>
            </w:tcBorders>
            <w:shd w:val="clear" w:color="auto" w:fill="FFFFFF" w:themeFill="background1"/>
            <w:noWrap/>
            <w:vAlign w:val="bottom"/>
          </w:tcPr>
          <w:p w14:paraId="0F02DD4D" w14:textId="77777777" w:rsidR="005364CA" w:rsidRPr="00DC4844" w:rsidRDefault="005364CA" w:rsidP="00AC3862">
            <w:pPr>
              <w:jc w:val="right"/>
              <w:rPr>
                <w:color w:val="000000"/>
                <w:sz w:val="12"/>
                <w:szCs w:val="12"/>
              </w:rPr>
            </w:pPr>
          </w:p>
        </w:tc>
      </w:tr>
      <w:tr w:rsidR="005364CA" w:rsidRPr="00DC4844" w14:paraId="2C66E209" w14:textId="77777777" w:rsidTr="00F34DCB">
        <w:trPr>
          <w:trHeight w:val="300"/>
          <w:jc w:val="center"/>
        </w:trPr>
        <w:tc>
          <w:tcPr>
            <w:tcW w:w="2268" w:type="dxa"/>
            <w:tcBorders>
              <w:left w:val="nil"/>
              <w:bottom w:val="nil"/>
              <w:right w:val="nil"/>
            </w:tcBorders>
            <w:shd w:val="clear" w:color="auto" w:fill="F2F2F2" w:themeFill="background1" w:themeFillShade="F2"/>
            <w:noWrap/>
            <w:vAlign w:val="bottom"/>
          </w:tcPr>
          <w:p w14:paraId="560C53D1" w14:textId="77777777" w:rsidR="005364CA" w:rsidRPr="00DC4844" w:rsidRDefault="005364CA" w:rsidP="00AC3862">
            <w:pPr>
              <w:rPr>
                <w:color w:val="000000"/>
                <w:sz w:val="12"/>
                <w:szCs w:val="12"/>
              </w:rPr>
            </w:pPr>
            <w:r w:rsidRPr="00DC4844">
              <w:rPr>
                <w:color w:val="000000"/>
                <w:sz w:val="12"/>
                <w:szCs w:val="12"/>
              </w:rPr>
              <w:t xml:space="preserve">     Promedio</w:t>
            </w:r>
          </w:p>
        </w:tc>
        <w:tc>
          <w:tcPr>
            <w:tcW w:w="748" w:type="dxa"/>
            <w:tcBorders>
              <w:left w:val="nil"/>
              <w:bottom w:val="nil"/>
              <w:right w:val="nil"/>
            </w:tcBorders>
            <w:shd w:val="clear" w:color="auto" w:fill="F2F2F2" w:themeFill="background1" w:themeFillShade="F2"/>
            <w:noWrap/>
            <w:vAlign w:val="bottom"/>
          </w:tcPr>
          <w:p w14:paraId="31F86BCB" w14:textId="77777777" w:rsidR="005364CA" w:rsidRPr="00DC4844" w:rsidRDefault="005364CA" w:rsidP="00AC3862">
            <w:pPr>
              <w:jc w:val="right"/>
              <w:rPr>
                <w:color w:val="000000"/>
                <w:sz w:val="12"/>
                <w:szCs w:val="12"/>
              </w:rPr>
            </w:pPr>
            <w:r>
              <w:rPr>
                <w:color w:val="000000"/>
                <w:sz w:val="12"/>
                <w:szCs w:val="12"/>
              </w:rPr>
              <w:t>3.0</w:t>
            </w:r>
          </w:p>
        </w:tc>
        <w:tc>
          <w:tcPr>
            <w:tcW w:w="903" w:type="dxa"/>
            <w:tcBorders>
              <w:left w:val="nil"/>
              <w:bottom w:val="nil"/>
              <w:right w:val="nil"/>
            </w:tcBorders>
            <w:shd w:val="clear" w:color="auto" w:fill="F2F2F2" w:themeFill="background1" w:themeFillShade="F2"/>
            <w:vAlign w:val="bottom"/>
          </w:tcPr>
          <w:p w14:paraId="224C0FAF" w14:textId="77777777" w:rsidR="005364CA" w:rsidRPr="00DC4844" w:rsidRDefault="005364CA" w:rsidP="00AC3862">
            <w:pPr>
              <w:jc w:val="right"/>
              <w:rPr>
                <w:color w:val="000000"/>
                <w:sz w:val="12"/>
                <w:szCs w:val="12"/>
              </w:rPr>
            </w:pPr>
            <w:r w:rsidRPr="00DC4844">
              <w:rPr>
                <w:color w:val="000000"/>
                <w:sz w:val="12"/>
                <w:szCs w:val="12"/>
              </w:rPr>
              <w:t>3.0</w:t>
            </w:r>
          </w:p>
        </w:tc>
        <w:tc>
          <w:tcPr>
            <w:tcW w:w="759" w:type="dxa"/>
            <w:tcBorders>
              <w:left w:val="nil"/>
              <w:bottom w:val="nil"/>
              <w:right w:val="nil"/>
            </w:tcBorders>
            <w:shd w:val="clear" w:color="auto" w:fill="F2F2F2" w:themeFill="background1" w:themeFillShade="F2"/>
            <w:vAlign w:val="bottom"/>
          </w:tcPr>
          <w:p w14:paraId="5B02643F" w14:textId="77777777" w:rsidR="005364CA" w:rsidRPr="00DC4844" w:rsidRDefault="005364CA" w:rsidP="00AC3862">
            <w:pPr>
              <w:jc w:val="right"/>
              <w:rPr>
                <w:color w:val="000000"/>
                <w:sz w:val="12"/>
                <w:szCs w:val="12"/>
              </w:rPr>
            </w:pPr>
            <w:r>
              <w:rPr>
                <w:color w:val="000000"/>
                <w:sz w:val="12"/>
                <w:szCs w:val="12"/>
              </w:rPr>
              <w:t>2.7</w:t>
            </w:r>
          </w:p>
        </w:tc>
        <w:tc>
          <w:tcPr>
            <w:tcW w:w="851" w:type="dxa"/>
            <w:tcBorders>
              <w:left w:val="nil"/>
              <w:bottom w:val="nil"/>
              <w:right w:val="nil"/>
            </w:tcBorders>
            <w:shd w:val="clear" w:color="auto" w:fill="F2F2F2" w:themeFill="background1" w:themeFillShade="F2"/>
            <w:vAlign w:val="bottom"/>
          </w:tcPr>
          <w:p w14:paraId="05CC9D28" w14:textId="77777777" w:rsidR="005364CA" w:rsidRPr="00DC4844" w:rsidRDefault="005364CA" w:rsidP="00AC3862">
            <w:pPr>
              <w:jc w:val="right"/>
              <w:rPr>
                <w:color w:val="000000"/>
                <w:sz w:val="12"/>
                <w:szCs w:val="12"/>
              </w:rPr>
            </w:pPr>
            <w:r>
              <w:rPr>
                <w:color w:val="000000"/>
                <w:sz w:val="12"/>
                <w:szCs w:val="12"/>
              </w:rPr>
              <w:t>2.3</w:t>
            </w:r>
          </w:p>
        </w:tc>
        <w:tc>
          <w:tcPr>
            <w:tcW w:w="752" w:type="dxa"/>
            <w:tcBorders>
              <w:left w:val="nil"/>
              <w:bottom w:val="nil"/>
              <w:right w:val="nil"/>
            </w:tcBorders>
            <w:shd w:val="clear" w:color="auto" w:fill="F2F2F2" w:themeFill="background1" w:themeFillShade="F2"/>
            <w:vAlign w:val="bottom"/>
          </w:tcPr>
          <w:p w14:paraId="15B5B9F6" w14:textId="77777777" w:rsidR="005364CA" w:rsidRPr="00DC4844" w:rsidRDefault="005364CA" w:rsidP="00AC3862">
            <w:pPr>
              <w:jc w:val="right"/>
              <w:rPr>
                <w:color w:val="000000"/>
                <w:sz w:val="12"/>
                <w:szCs w:val="12"/>
              </w:rPr>
            </w:pPr>
            <w:r>
              <w:rPr>
                <w:color w:val="000000"/>
                <w:sz w:val="12"/>
                <w:szCs w:val="12"/>
              </w:rPr>
              <w:t>2</w:t>
            </w:r>
            <w:r w:rsidRPr="00DC4844">
              <w:rPr>
                <w:color w:val="000000"/>
                <w:sz w:val="12"/>
                <w:szCs w:val="12"/>
              </w:rPr>
              <w:t>.0</w:t>
            </w:r>
          </w:p>
        </w:tc>
        <w:tc>
          <w:tcPr>
            <w:tcW w:w="752" w:type="dxa"/>
            <w:tcBorders>
              <w:left w:val="nil"/>
              <w:bottom w:val="nil"/>
              <w:right w:val="nil"/>
            </w:tcBorders>
            <w:shd w:val="clear" w:color="auto" w:fill="F2F2F2" w:themeFill="background1" w:themeFillShade="F2"/>
            <w:vAlign w:val="bottom"/>
          </w:tcPr>
          <w:p w14:paraId="77ABCF35" w14:textId="77777777" w:rsidR="005364CA" w:rsidRPr="00DC4844" w:rsidRDefault="005364CA" w:rsidP="00AC3862">
            <w:pPr>
              <w:jc w:val="right"/>
              <w:rPr>
                <w:color w:val="000000"/>
                <w:sz w:val="12"/>
                <w:szCs w:val="12"/>
              </w:rPr>
            </w:pPr>
            <w:r>
              <w:rPr>
                <w:color w:val="000000"/>
                <w:sz w:val="12"/>
                <w:szCs w:val="12"/>
              </w:rPr>
              <w:t>2</w:t>
            </w:r>
            <w:r w:rsidRPr="00DC4844">
              <w:rPr>
                <w:color w:val="000000"/>
                <w:sz w:val="12"/>
                <w:szCs w:val="12"/>
              </w:rPr>
              <w:t>.0</w:t>
            </w:r>
          </w:p>
        </w:tc>
        <w:tc>
          <w:tcPr>
            <w:tcW w:w="752" w:type="dxa"/>
            <w:tcBorders>
              <w:left w:val="nil"/>
              <w:bottom w:val="nil"/>
              <w:right w:val="nil"/>
            </w:tcBorders>
            <w:shd w:val="clear" w:color="auto" w:fill="F2F2F2" w:themeFill="background1" w:themeFillShade="F2"/>
            <w:vAlign w:val="bottom"/>
          </w:tcPr>
          <w:p w14:paraId="153910FA" w14:textId="77777777" w:rsidR="005364CA" w:rsidRPr="00DC4844" w:rsidRDefault="005364CA" w:rsidP="00AC3862">
            <w:pPr>
              <w:jc w:val="right"/>
              <w:rPr>
                <w:color w:val="000000"/>
                <w:sz w:val="12"/>
                <w:szCs w:val="12"/>
              </w:rPr>
            </w:pPr>
            <w:r>
              <w:rPr>
                <w:color w:val="000000"/>
                <w:sz w:val="12"/>
                <w:szCs w:val="12"/>
              </w:rPr>
              <w:t>2</w:t>
            </w:r>
            <w:r w:rsidRPr="00DC4844">
              <w:rPr>
                <w:color w:val="000000"/>
                <w:sz w:val="12"/>
                <w:szCs w:val="12"/>
              </w:rPr>
              <w:t>.0</w:t>
            </w:r>
          </w:p>
        </w:tc>
        <w:tc>
          <w:tcPr>
            <w:tcW w:w="752" w:type="dxa"/>
            <w:gridSpan w:val="2"/>
            <w:tcBorders>
              <w:left w:val="nil"/>
              <w:bottom w:val="nil"/>
              <w:right w:val="nil"/>
            </w:tcBorders>
            <w:shd w:val="clear" w:color="auto" w:fill="F2F2F2" w:themeFill="background1" w:themeFillShade="F2"/>
            <w:noWrap/>
            <w:vAlign w:val="bottom"/>
          </w:tcPr>
          <w:p w14:paraId="494D0FE0" w14:textId="77777777" w:rsidR="005364CA" w:rsidRPr="00DC4844" w:rsidRDefault="005364CA" w:rsidP="00AC3862">
            <w:pPr>
              <w:jc w:val="right"/>
              <w:rPr>
                <w:color w:val="000000"/>
                <w:sz w:val="12"/>
                <w:szCs w:val="12"/>
              </w:rPr>
            </w:pPr>
            <w:r w:rsidRPr="00DC4844">
              <w:rPr>
                <w:color w:val="000000"/>
                <w:sz w:val="12"/>
                <w:szCs w:val="12"/>
              </w:rPr>
              <w:t>2.</w:t>
            </w:r>
            <w:r>
              <w:rPr>
                <w:color w:val="000000"/>
                <w:sz w:val="12"/>
                <w:szCs w:val="12"/>
              </w:rPr>
              <w:t>0</w:t>
            </w:r>
          </w:p>
        </w:tc>
      </w:tr>
      <w:tr w:rsidR="005364CA" w:rsidRPr="00DC4844" w14:paraId="2AF3D1C7" w14:textId="77777777" w:rsidTr="00F34DCB">
        <w:trPr>
          <w:trHeight w:val="300"/>
          <w:jc w:val="center"/>
        </w:trPr>
        <w:tc>
          <w:tcPr>
            <w:tcW w:w="2268" w:type="dxa"/>
            <w:tcBorders>
              <w:left w:val="nil"/>
              <w:bottom w:val="nil"/>
              <w:right w:val="nil"/>
            </w:tcBorders>
            <w:shd w:val="clear" w:color="auto" w:fill="FFFFFF" w:themeFill="background1"/>
            <w:noWrap/>
            <w:vAlign w:val="bottom"/>
          </w:tcPr>
          <w:p w14:paraId="01FA4F10" w14:textId="77777777" w:rsidR="005364CA" w:rsidRPr="00DC4844" w:rsidRDefault="005364CA" w:rsidP="00AC3862">
            <w:pPr>
              <w:rPr>
                <w:b/>
                <w:bCs/>
                <w:color w:val="000000"/>
                <w:sz w:val="12"/>
                <w:szCs w:val="12"/>
              </w:rPr>
            </w:pPr>
            <w:r w:rsidRPr="00DC4844">
              <w:rPr>
                <w:b/>
                <w:bCs/>
                <w:color w:val="000000"/>
                <w:sz w:val="12"/>
                <w:szCs w:val="12"/>
              </w:rPr>
              <w:t>Tasa de interés internacional</w:t>
            </w:r>
          </w:p>
        </w:tc>
        <w:tc>
          <w:tcPr>
            <w:tcW w:w="748" w:type="dxa"/>
            <w:tcBorders>
              <w:left w:val="nil"/>
              <w:bottom w:val="nil"/>
              <w:right w:val="nil"/>
            </w:tcBorders>
            <w:shd w:val="clear" w:color="auto" w:fill="FFFFFF" w:themeFill="background1"/>
            <w:noWrap/>
            <w:vAlign w:val="bottom"/>
          </w:tcPr>
          <w:p w14:paraId="7AB7B97A" w14:textId="77777777" w:rsidR="005364CA" w:rsidRPr="00DC4844" w:rsidRDefault="005364CA" w:rsidP="00AC3862">
            <w:pPr>
              <w:jc w:val="right"/>
              <w:rPr>
                <w:color w:val="000000"/>
                <w:sz w:val="12"/>
                <w:szCs w:val="12"/>
              </w:rPr>
            </w:pPr>
          </w:p>
        </w:tc>
        <w:tc>
          <w:tcPr>
            <w:tcW w:w="903" w:type="dxa"/>
            <w:tcBorders>
              <w:left w:val="nil"/>
              <w:bottom w:val="nil"/>
              <w:right w:val="nil"/>
            </w:tcBorders>
            <w:shd w:val="clear" w:color="auto" w:fill="FFFFFF" w:themeFill="background1"/>
            <w:vAlign w:val="bottom"/>
          </w:tcPr>
          <w:p w14:paraId="75538504" w14:textId="77777777" w:rsidR="005364CA" w:rsidRPr="00DC4844" w:rsidRDefault="005364CA" w:rsidP="00AC3862">
            <w:pPr>
              <w:jc w:val="right"/>
              <w:rPr>
                <w:color w:val="000000"/>
                <w:sz w:val="12"/>
                <w:szCs w:val="12"/>
              </w:rPr>
            </w:pPr>
          </w:p>
        </w:tc>
        <w:tc>
          <w:tcPr>
            <w:tcW w:w="759" w:type="dxa"/>
            <w:tcBorders>
              <w:left w:val="nil"/>
              <w:bottom w:val="nil"/>
              <w:right w:val="nil"/>
            </w:tcBorders>
            <w:shd w:val="clear" w:color="auto" w:fill="FFFFFF" w:themeFill="background1"/>
            <w:vAlign w:val="bottom"/>
          </w:tcPr>
          <w:p w14:paraId="2022D96D" w14:textId="77777777" w:rsidR="005364CA" w:rsidRPr="00DC4844" w:rsidRDefault="005364CA" w:rsidP="00AC3862">
            <w:pPr>
              <w:jc w:val="right"/>
              <w:rPr>
                <w:color w:val="000000"/>
                <w:sz w:val="12"/>
                <w:szCs w:val="12"/>
              </w:rPr>
            </w:pPr>
          </w:p>
        </w:tc>
        <w:tc>
          <w:tcPr>
            <w:tcW w:w="851" w:type="dxa"/>
            <w:tcBorders>
              <w:left w:val="nil"/>
              <w:bottom w:val="nil"/>
              <w:right w:val="nil"/>
            </w:tcBorders>
            <w:shd w:val="clear" w:color="auto" w:fill="FFFFFF" w:themeFill="background1"/>
            <w:vAlign w:val="bottom"/>
          </w:tcPr>
          <w:p w14:paraId="73FBDE85" w14:textId="77777777" w:rsidR="005364CA" w:rsidRPr="00DC4844" w:rsidRDefault="005364CA" w:rsidP="00AC3862">
            <w:pPr>
              <w:jc w:val="right"/>
              <w:rPr>
                <w:color w:val="000000"/>
                <w:sz w:val="12"/>
                <w:szCs w:val="12"/>
              </w:rPr>
            </w:pPr>
          </w:p>
        </w:tc>
        <w:tc>
          <w:tcPr>
            <w:tcW w:w="752" w:type="dxa"/>
            <w:tcBorders>
              <w:left w:val="nil"/>
              <w:bottom w:val="nil"/>
              <w:right w:val="nil"/>
            </w:tcBorders>
            <w:shd w:val="clear" w:color="auto" w:fill="FFFFFF" w:themeFill="background1"/>
            <w:vAlign w:val="bottom"/>
          </w:tcPr>
          <w:p w14:paraId="20948FCD" w14:textId="77777777" w:rsidR="005364CA" w:rsidRPr="00DC4844" w:rsidRDefault="005364CA" w:rsidP="00AC3862">
            <w:pPr>
              <w:jc w:val="right"/>
              <w:rPr>
                <w:color w:val="000000"/>
                <w:sz w:val="12"/>
                <w:szCs w:val="12"/>
              </w:rPr>
            </w:pPr>
          </w:p>
        </w:tc>
        <w:tc>
          <w:tcPr>
            <w:tcW w:w="752" w:type="dxa"/>
            <w:tcBorders>
              <w:left w:val="nil"/>
              <w:bottom w:val="nil"/>
              <w:right w:val="nil"/>
            </w:tcBorders>
            <w:shd w:val="clear" w:color="auto" w:fill="FFFFFF" w:themeFill="background1"/>
            <w:vAlign w:val="bottom"/>
          </w:tcPr>
          <w:p w14:paraId="7E5D6C22" w14:textId="77777777" w:rsidR="005364CA" w:rsidRPr="00DC4844" w:rsidRDefault="005364CA" w:rsidP="00AC3862">
            <w:pPr>
              <w:jc w:val="right"/>
              <w:rPr>
                <w:color w:val="000000"/>
                <w:sz w:val="12"/>
                <w:szCs w:val="12"/>
              </w:rPr>
            </w:pPr>
          </w:p>
        </w:tc>
        <w:tc>
          <w:tcPr>
            <w:tcW w:w="752" w:type="dxa"/>
            <w:tcBorders>
              <w:left w:val="nil"/>
              <w:bottom w:val="nil"/>
              <w:right w:val="nil"/>
            </w:tcBorders>
            <w:shd w:val="clear" w:color="auto" w:fill="FFFFFF" w:themeFill="background1"/>
            <w:vAlign w:val="bottom"/>
          </w:tcPr>
          <w:p w14:paraId="610A4B30" w14:textId="77777777" w:rsidR="005364CA" w:rsidRPr="00DC4844" w:rsidRDefault="005364CA" w:rsidP="00AC3862">
            <w:pPr>
              <w:jc w:val="right"/>
              <w:rPr>
                <w:color w:val="000000"/>
                <w:sz w:val="12"/>
                <w:szCs w:val="12"/>
              </w:rPr>
            </w:pPr>
          </w:p>
        </w:tc>
        <w:tc>
          <w:tcPr>
            <w:tcW w:w="752" w:type="dxa"/>
            <w:gridSpan w:val="2"/>
            <w:tcBorders>
              <w:left w:val="nil"/>
              <w:bottom w:val="nil"/>
              <w:right w:val="nil"/>
            </w:tcBorders>
            <w:shd w:val="clear" w:color="auto" w:fill="FFFFFF" w:themeFill="background1"/>
            <w:noWrap/>
            <w:vAlign w:val="bottom"/>
          </w:tcPr>
          <w:p w14:paraId="62F34D92" w14:textId="77777777" w:rsidR="005364CA" w:rsidRPr="00DC4844" w:rsidRDefault="005364CA" w:rsidP="00AC3862">
            <w:pPr>
              <w:jc w:val="right"/>
              <w:rPr>
                <w:color w:val="000000"/>
                <w:sz w:val="12"/>
                <w:szCs w:val="12"/>
              </w:rPr>
            </w:pPr>
          </w:p>
        </w:tc>
      </w:tr>
      <w:tr w:rsidR="005364CA" w:rsidRPr="00DC4844" w14:paraId="070B1EBB" w14:textId="77777777" w:rsidTr="00F34DCB">
        <w:trPr>
          <w:trHeight w:val="300"/>
          <w:jc w:val="center"/>
        </w:trPr>
        <w:tc>
          <w:tcPr>
            <w:tcW w:w="2268" w:type="dxa"/>
            <w:tcBorders>
              <w:left w:val="nil"/>
              <w:bottom w:val="nil"/>
              <w:right w:val="nil"/>
            </w:tcBorders>
            <w:shd w:val="clear" w:color="auto" w:fill="F2F2F2" w:themeFill="background1" w:themeFillShade="F2"/>
            <w:noWrap/>
            <w:vAlign w:val="bottom"/>
          </w:tcPr>
          <w:p w14:paraId="66C37CCF" w14:textId="77777777" w:rsidR="005364CA" w:rsidRPr="00DC4844" w:rsidRDefault="005364CA" w:rsidP="00AC3862">
            <w:pPr>
              <w:rPr>
                <w:color w:val="000000"/>
                <w:sz w:val="12"/>
                <w:szCs w:val="12"/>
              </w:rPr>
            </w:pPr>
            <w:r w:rsidRPr="00DC4844">
              <w:rPr>
                <w:color w:val="000000"/>
                <w:sz w:val="12"/>
                <w:szCs w:val="12"/>
              </w:rPr>
              <w:t xml:space="preserve">     SOFR 3 meses (promedio)</w:t>
            </w:r>
          </w:p>
        </w:tc>
        <w:tc>
          <w:tcPr>
            <w:tcW w:w="748" w:type="dxa"/>
            <w:tcBorders>
              <w:left w:val="nil"/>
              <w:bottom w:val="nil"/>
              <w:right w:val="nil"/>
            </w:tcBorders>
            <w:shd w:val="clear" w:color="auto" w:fill="F2F2F2" w:themeFill="background1" w:themeFillShade="F2"/>
            <w:noWrap/>
            <w:vAlign w:val="bottom"/>
          </w:tcPr>
          <w:p w14:paraId="7497EFE8" w14:textId="77777777" w:rsidR="005364CA" w:rsidRPr="00DC4844" w:rsidRDefault="005364CA" w:rsidP="00AC3862">
            <w:pPr>
              <w:jc w:val="right"/>
              <w:rPr>
                <w:color w:val="000000"/>
                <w:sz w:val="12"/>
                <w:szCs w:val="12"/>
              </w:rPr>
            </w:pPr>
            <w:r>
              <w:rPr>
                <w:color w:val="000000"/>
                <w:sz w:val="12"/>
                <w:szCs w:val="12"/>
              </w:rPr>
              <w:t>5</w:t>
            </w:r>
            <w:r w:rsidRPr="00DC4844">
              <w:rPr>
                <w:color w:val="000000"/>
                <w:sz w:val="12"/>
                <w:szCs w:val="12"/>
              </w:rPr>
              <w:t>.3</w:t>
            </w:r>
          </w:p>
        </w:tc>
        <w:tc>
          <w:tcPr>
            <w:tcW w:w="903" w:type="dxa"/>
            <w:tcBorders>
              <w:left w:val="nil"/>
              <w:bottom w:val="nil"/>
              <w:right w:val="nil"/>
            </w:tcBorders>
            <w:shd w:val="clear" w:color="auto" w:fill="F2F2F2" w:themeFill="background1" w:themeFillShade="F2"/>
            <w:vAlign w:val="bottom"/>
          </w:tcPr>
          <w:p w14:paraId="03DB87E7" w14:textId="77777777" w:rsidR="005364CA" w:rsidRPr="00DC4844" w:rsidRDefault="005364CA" w:rsidP="00AC3862">
            <w:pPr>
              <w:jc w:val="right"/>
              <w:rPr>
                <w:color w:val="000000"/>
                <w:sz w:val="12"/>
                <w:szCs w:val="12"/>
              </w:rPr>
            </w:pPr>
            <w:r w:rsidRPr="00DC4844">
              <w:rPr>
                <w:color w:val="000000"/>
                <w:sz w:val="12"/>
                <w:szCs w:val="12"/>
              </w:rPr>
              <w:t>4.2</w:t>
            </w:r>
          </w:p>
        </w:tc>
        <w:tc>
          <w:tcPr>
            <w:tcW w:w="759" w:type="dxa"/>
            <w:tcBorders>
              <w:left w:val="nil"/>
              <w:bottom w:val="nil"/>
              <w:right w:val="nil"/>
            </w:tcBorders>
            <w:shd w:val="clear" w:color="auto" w:fill="F2F2F2" w:themeFill="background1" w:themeFillShade="F2"/>
            <w:vAlign w:val="bottom"/>
          </w:tcPr>
          <w:p w14:paraId="17F95CB2" w14:textId="77777777" w:rsidR="005364CA" w:rsidRPr="00DC4844" w:rsidRDefault="005364CA" w:rsidP="00AC3862">
            <w:pPr>
              <w:jc w:val="right"/>
              <w:rPr>
                <w:color w:val="000000"/>
                <w:sz w:val="12"/>
                <w:szCs w:val="12"/>
              </w:rPr>
            </w:pPr>
            <w:r>
              <w:rPr>
                <w:color w:val="000000"/>
                <w:sz w:val="12"/>
                <w:szCs w:val="12"/>
              </w:rPr>
              <w:t>3.5</w:t>
            </w:r>
          </w:p>
        </w:tc>
        <w:tc>
          <w:tcPr>
            <w:tcW w:w="851" w:type="dxa"/>
            <w:tcBorders>
              <w:left w:val="nil"/>
              <w:bottom w:val="nil"/>
              <w:right w:val="nil"/>
            </w:tcBorders>
            <w:shd w:val="clear" w:color="auto" w:fill="F2F2F2" w:themeFill="background1" w:themeFillShade="F2"/>
            <w:vAlign w:val="bottom"/>
          </w:tcPr>
          <w:p w14:paraId="5465DFD8" w14:textId="77777777" w:rsidR="005364CA" w:rsidRPr="00DC4844" w:rsidRDefault="005364CA" w:rsidP="00AC3862">
            <w:pPr>
              <w:jc w:val="right"/>
              <w:rPr>
                <w:color w:val="000000"/>
                <w:sz w:val="12"/>
                <w:szCs w:val="12"/>
              </w:rPr>
            </w:pPr>
            <w:r>
              <w:rPr>
                <w:color w:val="000000"/>
                <w:sz w:val="12"/>
                <w:szCs w:val="12"/>
              </w:rPr>
              <w:t>3.3</w:t>
            </w:r>
          </w:p>
        </w:tc>
        <w:tc>
          <w:tcPr>
            <w:tcW w:w="752" w:type="dxa"/>
            <w:tcBorders>
              <w:left w:val="nil"/>
              <w:bottom w:val="nil"/>
              <w:right w:val="nil"/>
            </w:tcBorders>
            <w:shd w:val="clear" w:color="auto" w:fill="F2F2F2" w:themeFill="background1" w:themeFillShade="F2"/>
            <w:vAlign w:val="bottom"/>
          </w:tcPr>
          <w:p w14:paraId="634950BC" w14:textId="77777777" w:rsidR="005364CA" w:rsidRPr="00DC4844" w:rsidRDefault="005364CA" w:rsidP="00AC3862">
            <w:pPr>
              <w:jc w:val="right"/>
              <w:rPr>
                <w:color w:val="000000"/>
                <w:sz w:val="12"/>
                <w:szCs w:val="12"/>
              </w:rPr>
            </w:pPr>
            <w:r>
              <w:rPr>
                <w:color w:val="000000"/>
                <w:sz w:val="12"/>
                <w:szCs w:val="12"/>
              </w:rPr>
              <w:t>3.4</w:t>
            </w:r>
          </w:p>
        </w:tc>
        <w:tc>
          <w:tcPr>
            <w:tcW w:w="752" w:type="dxa"/>
            <w:tcBorders>
              <w:left w:val="nil"/>
              <w:bottom w:val="nil"/>
              <w:right w:val="nil"/>
            </w:tcBorders>
            <w:shd w:val="clear" w:color="auto" w:fill="F2F2F2" w:themeFill="background1" w:themeFillShade="F2"/>
            <w:vAlign w:val="bottom"/>
          </w:tcPr>
          <w:p w14:paraId="0EAB3263" w14:textId="77777777" w:rsidR="005364CA" w:rsidRPr="00DC4844" w:rsidRDefault="005364CA" w:rsidP="00AC3862">
            <w:pPr>
              <w:jc w:val="right"/>
              <w:rPr>
                <w:color w:val="000000"/>
                <w:sz w:val="12"/>
                <w:szCs w:val="12"/>
              </w:rPr>
            </w:pPr>
            <w:r>
              <w:rPr>
                <w:color w:val="000000"/>
                <w:sz w:val="12"/>
                <w:szCs w:val="12"/>
              </w:rPr>
              <w:t>3.6</w:t>
            </w:r>
          </w:p>
        </w:tc>
        <w:tc>
          <w:tcPr>
            <w:tcW w:w="752" w:type="dxa"/>
            <w:tcBorders>
              <w:left w:val="nil"/>
              <w:bottom w:val="nil"/>
              <w:right w:val="nil"/>
            </w:tcBorders>
            <w:shd w:val="clear" w:color="auto" w:fill="F2F2F2" w:themeFill="background1" w:themeFillShade="F2"/>
            <w:vAlign w:val="bottom"/>
          </w:tcPr>
          <w:p w14:paraId="58B8BDA1" w14:textId="77777777" w:rsidR="005364CA" w:rsidRPr="00DC4844" w:rsidRDefault="005364CA" w:rsidP="00AC3862">
            <w:pPr>
              <w:jc w:val="right"/>
              <w:rPr>
                <w:color w:val="000000"/>
                <w:sz w:val="12"/>
                <w:szCs w:val="12"/>
              </w:rPr>
            </w:pPr>
            <w:r>
              <w:rPr>
                <w:color w:val="000000"/>
                <w:sz w:val="12"/>
                <w:szCs w:val="12"/>
              </w:rPr>
              <w:t>3.7</w:t>
            </w:r>
          </w:p>
        </w:tc>
        <w:tc>
          <w:tcPr>
            <w:tcW w:w="752" w:type="dxa"/>
            <w:gridSpan w:val="2"/>
            <w:tcBorders>
              <w:left w:val="nil"/>
              <w:bottom w:val="nil"/>
              <w:right w:val="nil"/>
            </w:tcBorders>
            <w:shd w:val="clear" w:color="auto" w:fill="F2F2F2" w:themeFill="background1" w:themeFillShade="F2"/>
            <w:noWrap/>
            <w:vAlign w:val="bottom"/>
          </w:tcPr>
          <w:p w14:paraId="424FB622"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9</w:t>
            </w:r>
          </w:p>
        </w:tc>
      </w:tr>
      <w:tr w:rsidR="005364CA" w:rsidRPr="00DC4844" w14:paraId="198CE521" w14:textId="77777777" w:rsidTr="00F34DCB">
        <w:trPr>
          <w:trHeight w:val="300"/>
          <w:jc w:val="center"/>
        </w:trPr>
        <w:tc>
          <w:tcPr>
            <w:tcW w:w="2268" w:type="dxa"/>
            <w:tcBorders>
              <w:left w:val="nil"/>
              <w:bottom w:val="nil"/>
              <w:right w:val="nil"/>
            </w:tcBorders>
            <w:shd w:val="clear" w:color="auto" w:fill="FFFFFF" w:themeFill="background1"/>
            <w:noWrap/>
            <w:vAlign w:val="bottom"/>
          </w:tcPr>
          <w:p w14:paraId="50A6A062" w14:textId="77777777" w:rsidR="005364CA" w:rsidRPr="00DC4844" w:rsidRDefault="005364CA" w:rsidP="00AC3862">
            <w:pPr>
              <w:rPr>
                <w:color w:val="000000"/>
                <w:sz w:val="12"/>
                <w:szCs w:val="12"/>
              </w:rPr>
            </w:pPr>
            <w:r w:rsidRPr="00DC4844">
              <w:rPr>
                <w:color w:val="000000"/>
                <w:sz w:val="12"/>
                <w:szCs w:val="12"/>
              </w:rPr>
              <w:t xml:space="preserve">     FED </w:t>
            </w:r>
            <w:proofErr w:type="spellStart"/>
            <w:r w:rsidRPr="00DC4844">
              <w:rPr>
                <w:color w:val="000000"/>
                <w:sz w:val="12"/>
                <w:szCs w:val="12"/>
              </w:rPr>
              <w:t>Funds</w:t>
            </w:r>
            <w:proofErr w:type="spellEnd"/>
            <w:r w:rsidRPr="00DC4844">
              <w:rPr>
                <w:color w:val="000000"/>
                <w:sz w:val="12"/>
                <w:szCs w:val="12"/>
              </w:rPr>
              <w:t xml:space="preserve"> </w:t>
            </w:r>
            <w:proofErr w:type="spellStart"/>
            <w:r w:rsidRPr="00DC4844">
              <w:rPr>
                <w:color w:val="000000"/>
                <w:sz w:val="12"/>
                <w:szCs w:val="12"/>
              </w:rPr>
              <w:t>Rate</w:t>
            </w:r>
            <w:proofErr w:type="spellEnd"/>
            <w:r w:rsidRPr="00DC4844">
              <w:rPr>
                <w:color w:val="000000"/>
                <w:sz w:val="12"/>
                <w:szCs w:val="12"/>
              </w:rPr>
              <w:t xml:space="preserve"> (promedio)</w:t>
            </w:r>
          </w:p>
        </w:tc>
        <w:tc>
          <w:tcPr>
            <w:tcW w:w="748" w:type="dxa"/>
            <w:tcBorders>
              <w:left w:val="nil"/>
              <w:bottom w:val="nil"/>
              <w:right w:val="nil"/>
            </w:tcBorders>
            <w:shd w:val="clear" w:color="auto" w:fill="FFFFFF" w:themeFill="background1"/>
            <w:noWrap/>
            <w:vAlign w:val="bottom"/>
          </w:tcPr>
          <w:p w14:paraId="2363AF23" w14:textId="77777777" w:rsidR="005364CA" w:rsidRPr="00DC4844" w:rsidRDefault="005364CA" w:rsidP="00AC3862">
            <w:pPr>
              <w:jc w:val="right"/>
              <w:rPr>
                <w:color w:val="000000"/>
                <w:sz w:val="12"/>
                <w:szCs w:val="12"/>
              </w:rPr>
            </w:pPr>
            <w:r>
              <w:rPr>
                <w:color w:val="000000"/>
                <w:sz w:val="12"/>
                <w:szCs w:val="12"/>
              </w:rPr>
              <w:t>5.3</w:t>
            </w:r>
          </w:p>
        </w:tc>
        <w:tc>
          <w:tcPr>
            <w:tcW w:w="903" w:type="dxa"/>
            <w:tcBorders>
              <w:left w:val="nil"/>
              <w:bottom w:val="nil"/>
              <w:right w:val="nil"/>
            </w:tcBorders>
            <w:shd w:val="clear" w:color="auto" w:fill="FFFFFF" w:themeFill="background1"/>
            <w:vAlign w:val="bottom"/>
          </w:tcPr>
          <w:p w14:paraId="42429BE5" w14:textId="77777777" w:rsidR="005364CA" w:rsidRPr="00DC4844" w:rsidRDefault="005364CA" w:rsidP="00AC3862">
            <w:pPr>
              <w:jc w:val="right"/>
              <w:rPr>
                <w:color w:val="000000"/>
                <w:sz w:val="12"/>
                <w:szCs w:val="12"/>
              </w:rPr>
            </w:pPr>
            <w:r w:rsidRPr="00DC4844">
              <w:rPr>
                <w:color w:val="000000"/>
                <w:sz w:val="12"/>
                <w:szCs w:val="12"/>
              </w:rPr>
              <w:t>4.3</w:t>
            </w:r>
          </w:p>
        </w:tc>
        <w:tc>
          <w:tcPr>
            <w:tcW w:w="759" w:type="dxa"/>
            <w:tcBorders>
              <w:left w:val="nil"/>
              <w:bottom w:val="nil"/>
              <w:right w:val="nil"/>
            </w:tcBorders>
            <w:shd w:val="clear" w:color="auto" w:fill="FFFFFF" w:themeFill="background1"/>
            <w:vAlign w:val="bottom"/>
          </w:tcPr>
          <w:p w14:paraId="1063734A"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.5</w:t>
            </w:r>
          </w:p>
        </w:tc>
        <w:tc>
          <w:tcPr>
            <w:tcW w:w="851" w:type="dxa"/>
            <w:tcBorders>
              <w:left w:val="nil"/>
              <w:bottom w:val="nil"/>
              <w:right w:val="nil"/>
            </w:tcBorders>
            <w:shd w:val="clear" w:color="auto" w:fill="FFFFFF" w:themeFill="background1"/>
            <w:vAlign w:val="bottom"/>
          </w:tcPr>
          <w:p w14:paraId="524AA237"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.3</w:t>
            </w:r>
          </w:p>
        </w:tc>
        <w:tc>
          <w:tcPr>
            <w:tcW w:w="752" w:type="dxa"/>
            <w:tcBorders>
              <w:left w:val="nil"/>
              <w:bottom w:val="nil"/>
              <w:right w:val="nil"/>
            </w:tcBorders>
            <w:shd w:val="clear" w:color="auto" w:fill="FFFFFF" w:themeFill="background1"/>
            <w:vAlign w:val="bottom"/>
          </w:tcPr>
          <w:p w14:paraId="143E0B00"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.0</w:t>
            </w:r>
          </w:p>
        </w:tc>
        <w:tc>
          <w:tcPr>
            <w:tcW w:w="752" w:type="dxa"/>
            <w:tcBorders>
              <w:left w:val="nil"/>
              <w:bottom w:val="nil"/>
              <w:right w:val="nil"/>
            </w:tcBorders>
            <w:shd w:val="clear" w:color="auto" w:fill="FFFFFF" w:themeFill="background1"/>
            <w:vAlign w:val="bottom"/>
          </w:tcPr>
          <w:p w14:paraId="2B38AB82"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.0</w:t>
            </w:r>
          </w:p>
        </w:tc>
        <w:tc>
          <w:tcPr>
            <w:tcW w:w="752" w:type="dxa"/>
            <w:tcBorders>
              <w:left w:val="nil"/>
              <w:bottom w:val="nil"/>
              <w:right w:val="nil"/>
            </w:tcBorders>
            <w:shd w:val="clear" w:color="auto" w:fill="FFFFFF" w:themeFill="background1"/>
            <w:vAlign w:val="bottom"/>
          </w:tcPr>
          <w:p w14:paraId="38187005"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.0</w:t>
            </w:r>
          </w:p>
        </w:tc>
        <w:tc>
          <w:tcPr>
            <w:tcW w:w="752" w:type="dxa"/>
            <w:gridSpan w:val="2"/>
            <w:tcBorders>
              <w:left w:val="nil"/>
              <w:bottom w:val="nil"/>
              <w:right w:val="nil"/>
            </w:tcBorders>
            <w:shd w:val="clear" w:color="auto" w:fill="FFFFFF" w:themeFill="background1"/>
            <w:noWrap/>
            <w:vAlign w:val="bottom"/>
          </w:tcPr>
          <w:p w14:paraId="1C8E48D5"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0</w:t>
            </w:r>
          </w:p>
        </w:tc>
      </w:tr>
      <w:tr w:rsidR="005364CA" w:rsidRPr="00DC4844" w14:paraId="777F8257" w14:textId="77777777" w:rsidTr="00F34DCB">
        <w:trPr>
          <w:trHeight w:val="151"/>
          <w:jc w:val="center"/>
        </w:trPr>
        <w:tc>
          <w:tcPr>
            <w:tcW w:w="2268" w:type="dxa"/>
            <w:tcBorders>
              <w:left w:val="nil"/>
              <w:bottom w:val="nil"/>
              <w:right w:val="nil"/>
            </w:tcBorders>
            <w:shd w:val="clear" w:color="auto" w:fill="F2F2F2" w:themeFill="background1" w:themeFillShade="F2"/>
            <w:noWrap/>
            <w:vAlign w:val="bottom"/>
          </w:tcPr>
          <w:p w14:paraId="4D3EDCFB" w14:textId="77777777" w:rsidR="005364CA" w:rsidRPr="00DC4844" w:rsidRDefault="005364CA" w:rsidP="00AC3862">
            <w:pPr>
              <w:rPr>
                <w:b/>
                <w:bCs/>
                <w:color w:val="000000"/>
                <w:sz w:val="12"/>
                <w:szCs w:val="12"/>
              </w:rPr>
            </w:pPr>
            <w:r w:rsidRPr="00DC4844">
              <w:rPr>
                <w:b/>
                <w:bCs/>
                <w:color w:val="000000"/>
                <w:sz w:val="12"/>
                <w:szCs w:val="12"/>
              </w:rPr>
              <w:t>Petróleo (canasta mexicana)</w:t>
            </w:r>
          </w:p>
        </w:tc>
        <w:tc>
          <w:tcPr>
            <w:tcW w:w="748" w:type="dxa"/>
            <w:tcBorders>
              <w:left w:val="nil"/>
              <w:bottom w:val="nil"/>
              <w:right w:val="nil"/>
            </w:tcBorders>
            <w:shd w:val="clear" w:color="auto" w:fill="F2F2F2" w:themeFill="background1" w:themeFillShade="F2"/>
            <w:noWrap/>
            <w:vAlign w:val="bottom"/>
          </w:tcPr>
          <w:p w14:paraId="7FB079A6" w14:textId="77777777" w:rsidR="005364CA" w:rsidRPr="00DC4844" w:rsidRDefault="005364CA" w:rsidP="00AC3862">
            <w:pPr>
              <w:jc w:val="right"/>
              <w:rPr>
                <w:color w:val="000000"/>
                <w:sz w:val="12"/>
                <w:szCs w:val="12"/>
              </w:rPr>
            </w:pPr>
          </w:p>
        </w:tc>
        <w:tc>
          <w:tcPr>
            <w:tcW w:w="903" w:type="dxa"/>
            <w:tcBorders>
              <w:left w:val="nil"/>
              <w:bottom w:val="nil"/>
              <w:right w:val="nil"/>
            </w:tcBorders>
            <w:shd w:val="clear" w:color="auto" w:fill="F2F2F2" w:themeFill="background1" w:themeFillShade="F2"/>
            <w:vAlign w:val="bottom"/>
          </w:tcPr>
          <w:p w14:paraId="3037C7CC" w14:textId="77777777" w:rsidR="005364CA" w:rsidRPr="00DC4844" w:rsidRDefault="005364CA" w:rsidP="00AC3862">
            <w:pPr>
              <w:jc w:val="right"/>
              <w:rPr>
                <w:color w:val="000000"/>
                <w:sz w:val="12"/>
                <w:szCs w:val="12"/>
              </w:rPr>
            </w:pPr>
          </w:p>
        </w:tc>
        <w:tc>
          <w:tcPr>
            <w:tcW w:w="759" w:type="dxa"/>
            <w:tcBorders>
              <w:left w:val="nil"/>
              <w:bottom w:val="nil"/>
              <w:right w:val="nil"/>
            </w:tcBorders>
            <w:shd w:val="clear" w:color="auto" w:fill="F2F2F2" w:themeFill="background1" w:themeFillShade="F2"/>
            <w:vAlign w:val="bottom"/>
          </w:tcPr>
          <w:p w14:paraId="66F8A590" w14:textId="77777777" w:rsidR="005364CA" w:rsidRPr="00DC4844" w:rsidRDefault="005364CA" w:rsidP="00AC3862">
            <w:pPr>
              <w:jc w:val="right"/>
              <w:rPr>
                <w:color w:val="000000"/>
                <w:sz w:val="12"/>
                <w:szCs w:val="12"/>
              </w:rPr>
            </w:pPr>
          </w:p>
        </w:tc>
        <w:tc>
          <w:tcPr>
            <w:tcW w:w="851" w:type="dxa"/>
            <w:tcBorders>
              <w:left w:val="nil"/>
              <w:bottom w:val="nil"/>
              <w:right w:val="nil"/>
            </w:tcBorders>
            <w:shd w:val="clear" w:color="auto" w:fill="F2F2F2" w:themeFill="background1" w:themeFillShade="F2"/>
            <w:vAlign w:val="bottom"/>
          </w:tcPr>
          <w:p w14:paraId="6BF477F3" w14:textId="77777777" w:rsidR="005364CA" w:rsidRPr="00DC4844" w:rsidRDefault="005364CA" w:rsidP="00AC3862">
            <w:pPr>
              <w:jc w:val="right"/>
              <w:rPr>
                <w:color w:val="000000"/>
                <w:sz w:val="12"/>
                <w:szCs w:val="12"/>
              </w:rPr>
            </w:pPr>
          </w:p>
        </w:tc>
        <w:tc>
          <w:tcPr>
            <w:tcW w:w="752" w:type="dxa"/>
            <w:tcBorders>
              <w:left w:val="nil"/>
              <w:bottom w:val="nil"/>
              <w:right w:val="nil"/>
            </w:tcBorders>
            <w:shd w:val="clear" w:color="auto" w:fill="F2F2F2" w:themeFill="background1" w:themeFillShade="F2"/>
            <w:vAlign w:val="bottom"/>
          </w:tcPr>
          <w:p w14:paraId="1CAAA209" w14:textId="77777777" w:rsidR="005364CA" w:rsidRPr="00DC4844" w:rsidRDefault="005364CA" w:rsidP="00AC3862">
            <w:pPr>
              <w:jc w:val="right"/>
              <w:rPr>
                <w:color w:val="000000"/>
                <w:sz w:val="12"/>
                <w:szCs w:val="12"/>
              </w:rPr>
            </w:pPr>
          </w:p>
        </w:tc>
        <w:tc>
          <w:tcPr>
            <w:tcW w:w="752" w:type="dxa"/>
            <w:tcBorders>
              <w:left w:val="nil"/>
              <w:bottom w:val="nil"/>
              <w:right w:val="nil"/>
            </w:tcBorders>
            <w:shd w:val="clear" w:color="auto" w:fill="F2F2F2" w:themeFill="background1" w:themeFillShade="F2"/>
            <w:vAlign w:val="bottom"/>
          </w:tcPr>
          <w:p w14:paraId="5916F761" w14:textId="77777777" w:rsidR="005364CA" w:rsidRPr="00DC4844" w:rsidRDefault="005364CA" w:rsidP="00AC3862">
            <w:pPr>
              <w:jc w:val="right"/>
              <w:rPr>
                <w:color w:val="000000"/>
                <w:sz w:val="12"/>
                <w:szCs w:val="12"/>
              </w:rPr>
            </w:pPr>
          </w:p>
        </w:tc>
        <w:tc>
          <w:tcPr>
            <w:tcW w:w="752" w:type="dxa"/>
            <w:tcBorders>
              <w:left w:val="nil"/>
              <w:bottom w:val="nil"/>
              <w:right w:val="nil"/>
            </w:tcBorders>
            <w:shd w:val="clear" w:color="auto" w:fill="F2F2F2" w:themeFill="background1" w:themeFillShade="F2"/>
            <w:vAlign w:val="bottom"/>
          </w:tcPr>
          <w:p w14:paraId="611D2259" w14:textId="77777777" w:rsidR="005364CA" w:rsidRPr="00DC4844" w:rsidRDefault="005364CA" w:rsidP="00AC3862">
            <w:pPr>
              <w:jc w:val="right"/>
              <w:rPr>
                <w:color w:val="000000"/>
                <w:sz w:val="12"/>
                <w:szCs w:val="12"/>
              </w:rPr>
            </w:pPr>
          </w:p>
        </w:tc>
        <w:tc>
          <w:tcPr>
            <w:tcW w:w="752" w:type="dxa"/>
            <w:gridSpan w:val="2"/>
            <w:tcBorders>
              <w:left w:val="nil"/>
              <w:bottom w:val="nil"/>
              <w:right w:val="nil"/>
            </w:tcBorders>
            <w:shd w:val="clear" w:color="auto" w:fill="F2F2F2" w:themeFill="background1" w:themeFillShade="F2"/>
            <w:noWrap/>
            <w:vAlign w:val="bottom"/>
          </w:tcPr>
          <w:p w14:paraId="35BB8F91" w14:textId="77777777" w:rsidR="005364CA" w:rsidRPr="00DC4844" w:rsidRDefault="005364CA" w:rsidP="00AC3862">
            <w:pPr>
              <w:jc w:val="right"/>
              <w:rPr>
                <w:color w:val="000000"/>
                <w:sz w:val="12"/>
                <w:szCs w:val="12"/>
              </w:rPr>
            </w:pPr>
          </w:p>
        </w:tc>
      </w:tr>
      <w:tr w:rsidR="005364CA" w:rsidRPr="00DC4844" w14:paraId="1289C15A" w14:textId="77777777" w:rsidTr="00F34DCB">
        <w:trPr>
          <w:trHeight w:val="300"/>
          <w:jc w:val="center"/>
        </w:trPr>
        <w:tc>
          <w:tcPr>
            <w:tcW w:w="2268" w:type="dxa"/>
            <w:tcBorders>
              <w:top w:val="nil"/>
              <w:left w:val="nil"/>
              <w:bottom w:val="nil"/>
              <w:right w:val="nil"/>
            </w:tcBorders>
            <w:shd w:val="clear" w:color="auto" w:fill="FFFFFF" w:themeFill="background1"/>
            <w:noWrap/>
            <w:vAlign w:val="bottom"/>
            <w:hideMark/>
          </w:tcPr>
          <w:p w14:paraId="71B84D8C" w14:textId="77777777" w:rsidR="005364CA" w:rsidRPr="00DC4844" w:rsidRDefault="005364CA" w:rsidP="00AC3862">
            <w:pPr>
              <w:rPr>
                <w:color w:val="000000"/>
                <w:sz w:val="12"/>
                <w:szCs w:val="12"/>
              </w:rPr>
            </w:pPr>
            <w:r w:rsidRPr="00DC4844">
              <w:rPr>
                <w:color w:val="000000"/>
                <w:sz w:val="12"/>
                <w:szCs w:val="12"/>
              </w:rPr>
              <w:t xml:space="preserve">     Precio promedio (dólares / barril) </w:t>
            </w:r>
          </w:p>
        </w:tc>
        <w:tc>
          <w:tcPr>
            <w:tcW w:w="748" w:type="dxa"/>
            <w:tcBorders>
              <w:top w:val="nil"/>
              <w:left w:val="nil"/>
              <w:bottom w:val="nil"/>
              <w:right w:val="nil"/>
            </w:tcBorders>
            <w:shd w:val="clear" w:color="auto" w:fill="FFFFFF" w:themeFill="background1"/>
            <w:noWrap/>
            <w:vAlign w:val="bottom"/>
            <w:hideMark/>
          </w:tcPr>
          <w:p w14:paraId="4683DD22" w14:textId="77777777" w:rsidR="005364CA" w:rsidRPr="00DC4844" w:rsidRDefault="005364CA" w:rsidP="00AC3862">
            <w:pPr>
              <w:jc w:val="right"/>
              <w:rPr>
                <w:color w:val="000000"/>
                <w:sz w:val="12"/>
                <w:szCs w:val="12"/>
              </w:rPr>
            </w:pPr>
            <w:r w:rsidRPr="00DC4844">
              <w:rPr>
                <w:color w:val="000000"/>
                <w:sz w:val="12"/>
                <w:szCs w:val="12"/>
              </w:rPr>
              <w:t>7</w:t>
            </w:r>
            <w:r>
              <w:rPr>
                <w:color w:val="000000"/>
                <w:sz w:val="12"/>
                <w:szCs w:val="12"/>
              </w:rPr>
              <w:t>0</w:t>
            </w:r>
            <w:r w:rsidRPr="00DC4844">
              <w:rPr>
                <w:color w:val="000000"/>
                <w:sz w:val="12"/>
                <w:szCs w:val="12"/>
              </w:rPr>
              <w:t>.</w:t>
            </w:r>
            <w:r>
              <w:rPr>
                <w:color w:val="000000"/>
                <w:sz w:val="12"/>
                <w:szCs w:val="12"/>
              </w:rPr>
              <w:t>2</w:t>
            </w:r>
          </w:p>
        </w:tc>
        <w:tc>
          <w:tcPr>
            <w:tcW w:w="903" w:type="dxa"/>
            <w:tcBorders>
              <w:top w:val="nil"/>
              <w:left w:val="nil"/>
              <w:bottom w:val="nil"/>
              <w:right w:val="nil"/>
            </w:tcBorders>
            <w:shd w:val="clear" w:color="auto" w:fill="FFFFFF" w:themeFill="background1"/>
            <w:vAlign w:val="bottom"/>
          </w:tcPr>
          <w:p w14:paraId="4BC74322" w14:textId="77777777" w:rsidR="005364CA" w:rsidRPr="00DC4844" w:rsidRDefault="005364CA" w:rsidP="00AC3862">
            <w:pPr>
              <w:jc w:val="right"/>
              <w:rPr>
                <w:color w:val="000000"/>
                <w:sz w:val="12"/>
                <w:szCs w:val="12"/>
              </w:rPr>
            </w:pPr>
            <w:r w:rsidRPr="00DC4844">
              <w:rPr>
                <w:color w:val="000000"/>
                <w:sz w:val="12"/>
                <w:szCs w:val="12"/>
              </w:rPr>
              <w:t>62.0</w:t>
            </w:r>
          </w:p>
        </w:tc>
        <w:tc>
          <w:tcPr>
            <w:tcW w:w="759" w:type="dxa"/>
            <w:tcBorders>
              <w:top w:val="nil"/>
              <w:left w:val="nil"/>
              <w:bottom w:val="nil"/>
              <w:right w:val="nil"/>
            </w:tcBorders>
            <w:shd w:val="clear" w:color="auto" w:fill="FFFFFF" w:themeFill="background1"/>
            <w:vAlign w:val="bottom"/>
          </w:tcPr>
          <w:p w14:paraId="36674AC4" w14:textId="61BE1C7B" w:rsidR="005364CA" w:rsidRPr="00DC4844" w:rsidRDefault="005364CA" w:rsidP="00AC3862">
            <w:pPr>
              <w:jc w:val="right"/>
              <w:rPr>
                <w:color w:val="000000"/>
                <w:sz w:val="12"/>
                <w:szCs w:val="12"/>
              </w:rPr>
            </w:pPr>
            <w:r>
              <w:rPr>
                <w:color w:val="000000"/>
                <w:sz w:val="12"/>
                <w:szCs w:val="12"/>
              </w:rPr>
              <w:t>54.9</w:t>
            </w:r>
          </w:p>
        </w:tc>
        <w:tc>
          <w:tcPr>
            <w:tcW w:w="851" w:type="dxa"/>
            <w:tcBorders>
              <w:top w:val="nil"/>
              <w:left w:val="nil"/>
              <w:bottom w:val="nil"/>
              <w:right w:val="nil"/>
            </w:tcBorders>
            <w:shd w:val="clear" w:color="auto" w:fill="FFFFFF" w:themeFill="background1"/>
            <w:vAlign w:val="bottom"/>
          </w:tcPr>
          <w:p w14:paraId="33AC0BC2" w14:textId="77777777" w:rsidR="005364CA" w:rsidRPr="00DC4844" w:rsidRDefault="005364CA" w:rsidP="00AC3862">
            <w:pPr>
              <w:jc w:val="right"/>
              <w:rPr>
                <w:color w:val="000000"/>
                <w:sz w:val="12"/>
                <w:szCs w:val="12"/>
              </w:rPr>
            </w:pPr>
            <w:r>
              <w:rPr>
                <w:color w:val="000000"/>
                <w:sz w:val="12"/>
                <w:szCs w:val="12"/>
              </w:rPr>
              <w:t>59.6</w:t>
            </w:r>
          </w:p>
        </w:tc>
        <w:tc>
          <w:tcPr>
            <w:tcW w:w="752" w:type="dxa"/>
            <w:tcBorders>
              <w:top w:val="nil"/>
              <w:left w:val="nil"/>
              <w:bottom w:val="nil"/>
              <w:right w:val="nil"/>
            </w:tcBorders>
            <w:shd w:val="clear" w:color="auto" w:fill="FFFFFF" w:themeFill="background1"/>
            <w:vAlign w:val="bottom"/>
          </w:tcPr>
          <w:p w14:paraId="6A4BE10C" w14:textId="77777777" w:rsidR="005364CA" w:rsidRPr="00DC4844" w:rsidRDefault="005364CA" w:rsidP="00AC3862">
            <w:pPr>
              <w:jc w:val="right"/>
              <w:rPr>
                <w:color w:val="000000"/>
                <w:sz w:val="12"/>
                <w:szCs w:val="12"/>
              </w:rPr>
            </w:pPr>
            <w:r w:rsidRPr="00DC4844">
              <w:rPr>
                <w:color w:val="000000"/>
                <w:sz w:val="12"/>
                <w:szCs w:val="12"/>
              </w:rPr>
              <w:t>6</w:t>
            </w:r>
            <w:r>
              <w:rPr>
                <w:color w:val="000000"/>
                <w:sz w:val="12"/>
                <w:szCs w:val="12"/>
              </w:rPr>
              <w:t>0</w:t>
            </w:r>
            <w:r w:rsidRPr="00DC4844">
              <w:rPr>
                <w:color w:val="000000"/>
                <w:sz w:val="12"/>
                <w:szCs w:val="12"/>
              </w:rPr>
              <w:t>.0</w:t>
            </w:r>
          </w:p>
        </w:tc>
        <w:tc>
          <w:tcPr>
            <w:tcW w:w="752" w:type="dxa"/>
            <w:tcBorders>
              <w:top w:val="nil"/>
              <w:left w:val="nil"/>
              <w:bottom w:val="nil"/>
              <w:right w:val="nil"/>
            </w:tcBorders>
            <w:shd w:val="clear" w:color="auto" w:fill="FFFFFF" w:themeFill="background1"/>
            <w:vAlign w:val="bottom"/>
          </w:tcPr>
          <w:p w14:paraId="7C0585D0" w14:textId="77777777" w:rsidR="005364CA" w:rsidRPr="00DC4844" w:rsidRDefault="005364CA" w:rsidP="00AC3862">
            <w:pPr>
              <w:jc w:val="right"/>
              <w:rPr>
                <w:color w:val="000000"/>
                <w:sz w:val="12"/>
                <w:szCs w:val="12"/>
              </w:rPr>
            </w:pPr>
            <w:r w:rsidRPr="00DC4844">
              <w:rPr>
                <w:color w:val="000000"/>
                <w:sz w:val="12"/>
                <w:szCs w:val="12"/>
              </w:rPr>
              <w:t>6</w:t>
            </w:r>
            <w:r>
              <w:rPr>
                <w:color w:val="000000"/>
                <w:sz w:val="12"/>
                <w:szCs w:val="12"/>
              </w:rPr>
              <w:t>0</w:t>
            </w:r>
            <w:r w:rsidRPr="00DC4844">
              <w:rPr>
                <w:color w:val="000000"/>
                <w:sz w:val="12"/>
                <w:szCs w:val="12"/>
              </w:rPr>
              <w:t>.</w:t>
            </w:r>
            <w:r>
              <w:rPr>
                <w:color w:val="000000"/>
                <w:sz w:val="12"/>
                <w:szCs w:val="12"/>
              </w:rPr>
              <w:t>4</w:t>
            </w:r>
          </w:p>
        </w:tc>
        <w:tc>
          <w:tcPr>
            <w:tcW w:w="752" w:type="dxa"/>
            <w:tcBorders>
              <w:top w:val="nil"/>
              <w:left w:val="nil"/>
              <w:bottom w:val="nil"/>
              <w:right w:val="nil"/>
            </w:tcBorders>
            <w:shd w:val="clear" w:color="auto" w:fill="FFFFFF" w:themeFill="background1"/>
            <w:vAlign w:val="bottom"/>
          </w:tcPr>
          <w:p w14:paraId="7AEB7173" w14:textId="77777777" w:rsidR="005364CA" w:rsidRPr="00DC4844" w:rsidRDefault="005364CA" w:rsidP="00AC3862">
            <w:pPr>
              <w:jc w:val="right"/>
              <w:rPr>
                <w:color w:val="000000"/>
                <w:sz w:val="12"/>
                <w:szCs w:val="12"/>
              </w:rPr>
            </w:pPr>
            <w:r w:rsidRPr="00DC4844">
              <w:rPr>
                <w:color w:val="000000"/>
                <w:sz w:val="12"/>
                <w:szCs w:val="12"/>
              </w:rPr>
              <w:t>6</w:t>
            </w:r>
            <w:r>
              <w:rPr>
                <w:color w:val="000000"/>
                <w:sz w:val="12"/>
                <w:szCs w:val="12"/>
              </w:rPr>
              <w:t>0</w:t>
            </w:r>
            <w:r w:rsidRPr="00DC4844">
              <w:rPr>
                <w:color w:val="000000"/>
                <w:sz w:val="12"/>
                <w:szCs w:val="12"/>
              </w:rPr>
              <w:t>.</w:t>
            </w:r>
            <w:r>
              <w:rPr>
                <w:color w:val="000000"/>
                <w:sz w:val="12"/>
                <w:szCs w:val="12"/>
              </w:rPr>
              <w:t>5</w:t>
            </w:r>
          </w:p>
        </w:tc>
        <w:tc>
          <w:tcPr>
            <w:tcW w:w="752" w:type="dxa"/>
            <w:gridSpan w:val="2"/>
            <w:tcBorders>
              <w:top w:val="nil"/>
              <w:left w:val="nil"/>
              <w:bottom w:val="nil"/>
              <w:right w:val="nil"/>
            </w:tcBorders>
            <w:shd w:val="clear" w:color="auto" w:fill="FFFFFF" w:themeFill="background1"/>
            <w:noWrap/>
            <w:vAlign w:val="bottom"/>
            <w:hideMark/>
          </w:tcPr>
          <w:p w14:paraId="356C3067" w14:textId="77777777" w:rsidR="005364CA" w:rsidRPr="00DC4844" w:rsidRDefault="005364CA" w:rsidP="00AC3862">
            <w:pPr>
              <w:jc w:val="right"/>
              <w:rPr>
                <w:color w:val="000000"/>
                <w:sz w:val="12"/>
                <w:szCs w:val="12"/>
              </w:rPr>
            </w:pPr>
            <w:r>
              <w:rPr>
                <w:color w:val="000000"/>
                <w:sz w:val="12"/>
                <w:szCs w:val="12"/>
              </w:rPr>
              <w:t>60</w:t>
            </w:r>
            <w:r w:rsidRPr="00DC4844">
              <w:rPr>
                <w:color w:val="000000"/>
                <w:sz w:val="12"/>
                <w:szCs w:val="12"/>
              </w:rPr>
              <w:t>.</w:t>
            </w:r>
            <w:r>
              <w:rPr>
                <w:color w:val="000000"/>
                <w:sz w:val="12"/>
                <w:szCs w:val="12"/>
              </w:rPr>
              <w:t>6</w:t>
            </w:r>
          </w:p>
        </w:tc>
      </w:tr>
      <w:tr w:rsidR="005364CA" w:rsidRPr="00DC4844" w14:paraId="37DA93D9" w14:textId="77777777" w:rsidTr="00F34DCB">
        <w:trPr>
          <w:trHeight w:val="300"/>
          <w:jc w:val="center"/>
        </w:trPr>
        <w:tc>
          <w:tcPr>
            <w:tcW w:w="2268" w:type="dxa"/>
            <w:tcBorders>
              <w:top w:val="nil"/>
              <w:left w:val="nil"/>
              <w:bottom w:val="nil"/>
              <w:right w:val="nil"/>
            </w:tcBorders>
            <w:shd w:val="clear" w:color="auto" w:fill="F2F2F2" w:themeFill="background1" w:themeFillShade="F2"/>
            <w:noWrap/>
            <w:vAlign w:val="bottom"/>
            <w:hideMark/>
          </w:tcPr>
          <w:p w14:paraId="49CB5CAE" w14:textId="77777777" w:rsidR="005364CA" w:rsidRPr="00DC4844" w:rsidRDefault="005364CA" w:rsidP="00AC3862">
            <w:pPr>
              <w:rPr>
                <w:color w:val="000000"/>
                <w:sz w:val="12"/>
                <w:szCs w:val="12"/>
              </w:rPr>
            </w:pPr>
            <w:r w:rsidRPr="00DC4844">
              <w:rPr>
                <w:color w:val="000000"/>
                <w:sz w:val="12"/>
                <w:szCs w:val="12"/>
              </w:rPr>
              <w:t xml:space="preserve">     Plataforma de producción promedio (</w:t>
            </w:r>
            <w:proofErr w:type="spellStart"/>
            <w:r w:rsidRPr="00DC4844">
              <w:rPr>
                <w:color w:val="000000"/>
                <w:sz w:val="12"/>
                <w:szCs w:val="12"/>
              </w:rPr>
              <w:t>mbd</w:t>
            </w:r>
            <w:proofErr w:type="spellEnd"/>
            <w:r w:rsidRPr="00DC4844">
              <w:rPr>
                <w:color w:val="000000"/>
                <w:sz w:val="12"/>
                <w:szCs w:val="12"/>
              </w:rPr>
              <w:t>) *</w:t>
            </w:r>
            <w:r>
              <w:rPr>
                <w:color w:val="000000"/>
                <w:sz w:val="12"/>
                <w:szCs w:val="12"/>
              </w:rPr>
              <w:t>*</w:t>
            </w:r>
            <w:r w:rsidRPr="00DC4844">
              <w:rPr>
                <w:color w:val="000000"/>
                <w:sz w:val="12"/>
                <w:szCs w:val="12"/>
              </w:rPr>
              <w:t>/</w:t>
            </w:r>
          </w:p>
        </w:tc>
        <w:tc>
          <w:tcPr>
            <w:tcW w:w="748" w:type="dxa"/>
            <w:tcBorders>
              <w:top w:val="nil"/>
              <w:left w:val="nil"/>
              <w:bottom w:val="nil"/>
              <w:right w:val="nil"/>
            </w:tcBorders>
            <w:shd w:val="clear" w:color="auto" w:fill="F2F2F2" w:themeFill="background1" w:themeFillShade="F2"/>
            <w:noWrap/>
            <w:vAlign w:val="bottom"/>
            <w:hideMark/>
          </w:tcPr>
          <w:p w14:paraId="19AF67E3" w14:textId="77777777" w:rsidR="005364CA" w:rsidRPr="00DC4844" w:rsidRDefault="005364CA" w:rsidP="00AC3862">
            <w:pPr>
              <w:jc w:val="right"/>
              <w:rPr>
                <w:color w:val="000000"/>
                <w:sz w:val="12"/>
                <w:szCs w:val="12"/>
              </w:rPr>
            </w:pPr>
            <w:r w:rsidRPr="00DC4844">
              <w:rPr>
                <w:color w:val="000000"/>
                <w:sz w:val="12"/>
                <w:szCs w:val="12"/>
              </w:rPr>
              <w:t>1,82</w:t>
            </w:r>
            <w:r>
              <w:rPr>
                <w:color w:val="000000"/>
                <w:sz w:val="12"/>
                <w:szCs w:val="12"/>
              </w:rPr>
              <w:t>6</w:t>
            </w:r>
          </w:p>
        </w:tc>
        <w:tc>
          <w:tcPr>
            <w:tcW w:w="903" w:type="dxa"/>
            <w:tcBorders>
              <w:top w:val="nil"/>
              <w:left w:val="nil"/>
              <w:bottom w:val="nil"/>
              <w:right w:val="nil"/>
            </w:tcBorders>
            <w:shd w:val="clear" w:color="auto" w:fill="F2F2F2" w:themeFill="background1" w:themeFillShade="F2"/>
            <w:vAlign w:val="bottom"/>
          </w:tcPr>
          <w:p w14:paraId="79313FC9" w14:textId="77777777" w:rsidR="005364CA" w:rsidRPr="00DC4844" w:rsidRDefault="005364CA" w:rsidP="00AC3862">
            <w:pPr>
              <w:jc w:val="right"/>
              <w:rPr>
                <w:color w:val="000000"/>
                <w:sz w:val="12"/>
                <w:szCs w:val="12"/>
              </w:rPr>
            </w:pPr>
            <w:r w:rsidRPr="00DC4844">
              <w:rPr>
                <w:color w:val="000000"/>
                <w:sz w:val="12"/>
                <w:szCs w:val="12"/>
              </w:rPr>
              <w:t>1,71</w:t>
            </w:r>
            <w:r>
              <w:rPr>
                <w:color w:val="000000"/>
                <w:sz w:val="12"/>
                <w:szCs w:val="12"/>
              </w:rPr>
              <w:t>4</w:t>
            </w:r>
          </w:p>
        </w:tc>
        <w:tc>
          <w:tcPr>
            <w:tcW w:w="759" w:type="dxa"/>
            <w:tcBorders>
              <w:top w:val="nil"/>
              <w:left w:val="nil"/>
              <w:bottom w:val="nil"/>
              <w:right w:val="nil"/>
            </w:tcBorders>
            <w:shd w:val="clear" w:color="auto" w:fill="F2F2F2" w:themeFill="background1" w:themeFillShade="F2"/>
            <w:vAlign w:val="bottom"/>
          </w:tcPr>
          <w:p w14:paraId="7168F76E" w14:textId="77777777" w:rsidR="005364CA" w:rsidRPr="00DC4844" w:rsidRDefault="005364CA" w:rsidP="00AC3862">
            <w:pPr>
              <w:jc w:val="right"/>
              <w:rPr>
                <w:color w:val="000000"/>
                <w:sz w:val="12"/>
                <w:szCs w:val="12"/>
              </w:rPr>
            </w:pPr>
            <w:r w:rsidRPr="00DC4844">
              <w:rPr>
                <w:color w:val="000000"/>
                <w:sz w:val="12"/>
                <w:szCs w:val="12"/>
              </w:rPr>
              <w:t>1,79</w:t>
            </w:r>
            <w:r>
              <w:rPr>
                <w:color w:val="000000"/>
                <w:sz w:val="12"/>
                <w:szCs w:val="12"/>
              </w:rPr>
              <w:t>4</w:t>
            </w:r>
          </w:p>
        </w:tc>
        <w:tc>
          <w:tcPr>
            <w:tcW w:w="851" w:type="dxa"/>
            <w:tcBorders>
              <w:top w:val="nil"/>
              <w:left w:val="nil"/>
              <w:bottom w:val="nil"/>
              <w:right w:val="nil"/>
            </w:tcBorders>
            <w:shd w:val="clear" w:color="auto" w:fill="F2F2F2" w:themeFill="background1" w:themeFillShade="F2"/>
            <w:vAlign w:val="bottom"/>
          </w:tcPr>
          <w:p w14:paraId="62E92913"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806</w:t>
            </w:r>
          </w:p>
        </w:tc>
        <w:tc>
          <w:tcPr>
            <w:tcW w:w="752" w:type="dxa"/>
            <w:tcBorders>
              <w:top w:val="nil"/>
              <w:left w:val="nil"/>
              <w:bottom w:val="nil"/>
              <w:right w:val="nil"/>
            </w:tcBorders>
            <w:shd w:val="clear" w:color="auto" w:fill="F2F2F2" w:themeFill="background1" w:themeFillShade="F2"/>
            <w:vAlign w:val="bottom"/>
          </w:tcPr>
          <w:p w14:paraId="25D9B052"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803</w:t>
            </w:r>
          </w:p>
        </w:tc>
        <w:tc>
          <w:tcPr>
            <w:tcW w:w="752" w:type="dxa"/>
            <w:tcBorders>
              <w:top w:val="nil"/>
              <w:left w:val="nil"/>
              <w:bottom w:val="nil"/>
              <w:right w:val="nil"/>
            </w:tcBorders>
            <w:shd w:val="clear" w:color="auto" w:fill="F2F2F2" w:themeFill="background1" w:themeFillShade="F2"/>
            <w:vAlign w:val="bottom"/>
          </w:tcPr>
          <w:p w14:paraId="2B4DFB47"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804</w:t>
            </w:r>
          </w:p>
        </w:tc>
        <w:tc>
          <w:tcPr>
            <w:tcW w:w="752" w:type="dxa"/>
            <w:tcBorders>
              <w:top w:val="nil"/>
              <w:left w:val="nil"/>
              <w:bottom w:val="nil"/>
              <w:right w:val="nil"/>
            </w:tcBorders>
            <w:shd w:val="clear" w:color="auto" w:fill="F2F2F2" w:themeFill="background1" w:themeFillShade="F2"/>
            <w:vAlign w:val="bottom"/>
          </w:tcPr>
          <w:p w14:paraId="69ADA330"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807</w:t>
            </w:r>
          </w:p>
        </w:tc>
        <w:tc>
          <w:tcPr>
            <w:tcW w:w="752" w:type="dxa"/>
            <w:gridSpan w:val="2"/>
            <w:tcBorders>
              <w:top w:val="nil"/>
              <w:left w:val="nil"/>
              <w:bottom w:val="nil"/>
              <w:right w:val="nil"/>
            </w:tcBorders>
            <w:shd w:val="clear" w:color="auto" w:fill="F2F2F2" w:themeFill="background1" w:themeFillShade="F2"/>
            <w:noWrap/>
            <w:vAlign w:val="bottom"/>
            <w:hideMark/>
          </w:tcPr>
          <w:p w14:paraId="455A64D2"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808</w:t>
            </w:r>
          </w:p>
        </w:tc>
      </w:tr>
      <w:tr w:rsidR="005364CA" w:rsidRPr="00DC4844" w14:paraId="31F63C14" w14:textId="77777777" w:rsidTr="00F34DCB">
        <w:trPr>
          <w:trHeight w:val="300"/>
          <w:jc w:val="center"/>
        </w:trPr>
        <w:tc>
          <w:tcPr>
            <w:tcW w:w="2268" w:type="dxa"/>
            <w:tcBorders>
              <w:top w:val="nil"/>
              <w:left w:val="nil"/>
              <w:right w:val="nil"/>
            </w:tcBorders>
            <w:shd w:val="clear" w:color="auto" w:fill="FFFFFF" w:themeFill="background1"/>
            <w:noWrap/>
            <w:vAlign w:val="bottom"/>
            <w:hideMark/>
          </w:tcPr>
          <w:p w14:paraId="5766B137" w14:textId="77777777" w:rsidR="005364CA" w:rsidRPr="00DC4844" w:rsidRDefault="005364CA" w:rsidP="00AC3862">
            <w:pPr>
              <w:rPr>
                <w:color w:val="000000"/>
                <w:sz w:val="12"/>
                <w:szCs w:val="12"/>
              </w:rPr>
            </w:pPr>
            <w:r w:rsidRPr="00DC4844">
              <w:rPr>
                <w:color w:val="000000"/>
                <w:sz w:val="12"/>
                <w:szCs w:val="12"/>
              </w:rPr>
              <w:t xml:space="preserve">     Plataforma de exportación promedio (</w:t>
            </w:r>
            <w:proofErr w:type="spellStart"/>
            <w:r w:rsidRPr="00DC4844">
              <w:rPr>
                <w:color w:val="000000"/>
                <w:sz w:val="12"/>
                <w:szCs w:val="12"/>
              </w:rPr>
              <w:t>mbd</w:t>
            </w:r>
            <w:proofErr w:type="spellEnd"/>
            <w:r w:rsidRPr="00DC4844">
              <w:rPr>
                <w:color w:val="000000"/>
                <w:sz w:val="12"/>
                <w:szCs w:val="12"/>
              </w:rPr>
              <w:t>)</w:t>
            </w:r>
          </w:p>
        </w:tc>
        <w:tc>
          <w:tcPr>
            <w:tcW w:w="748" w:type="dxa"/>
            <w:tcBorders>
              <w:top w:val="nil"/>
              <w:left w:val="nil"/>
              <w:right w:val="nil"/>
            </w:tcBorders>
            <w:shd w:val="clear" w:color="auto" w:fill="FFFFFF" w:themeFill="background1"/>
            <w:noWrap/>
            <w:vAlign w:val="bottom"/>
            <w:hideMark/>
          </w:tcPr>
          <w:p w14:paraId="19A96C77" w14:textId="77777777" w:rsidR="005364CA" w:rsidRPr="00DC4844" w:rsidRDefault="005364CA" w:rsidP="00AC3862">
            <w:pPr>
              <w:jc w:val="right"/>
              <w:rPr>
                <w:color w:val="000000"/>
                <w:sz w:val="12"/>
                <w:szCs w:val="12"/>
              </w:rPr>
            </w:pPr>
            <w:r w:rsidRPr="00DC4844">
              <w:rPr>
                <w:color w:val="000000"/>
                <w:sz w:val="12"/>
                <w:szCs w:val="12"/>
              </w:rPr>
              <w:t>8</w:t>
            </w:r>
            <w:r>
              <w:rPr>
                <w:color w:val="000000"/>
                <w:sz w:val="12"/>
                <w:szCs w:val="12"/>
              </w:rPr>
              <w:t>06</w:t>
            </w:r>
          </w:p>
        </w:tc>
        <w:tc>
          <w:tcPr>
            <w:tcW w:w="903" w:type="dxa"/>
            <w:tcBorders>
              <w:top w:val="nil"/>
              <w:left w:val="nil"/>
              <w:right w:val="nil"/>
            </w:tcBorders>
            <w:shd w:val="clear" w:color="auto" w:fill="FFFFFF" w:themeFill="background1"/>
            <w:vAlign w:val="bottom"/>
          </w:tcPr>
          <w:p w14:paraId="13B2D0C6" w14:textId="77777777" w:rsidR="005364CA" w:rsidRPr="00DC4844" w:rsidRDefault="005364CA" w:rsidP="00AC3862">
            <w:pPr>
              <w:jc w:val="right"/>
              <w:rPr>
                <w:color w:val="000000"/>
                <w:sz w:val="12"/>
                <w:szCs w:val="12"/>
              </w:rPr>
            </w:pPr>
            <w:r w:rsidRPr="00DC4844">
              <w:rPr>
                <w:color w:val="000000"/>
                <w:sz w:val="12"/>
                <w:szCs w:val="12"/>
              </w:rPr>
              <w:t>616</w:t>
            </w:r>
          </w:p>
        </w:tc>
        <w:tc>
          <w:tcPr>
            <w:tcW w:w="759" w:type="dxa"/>
            <w:tcBorders>
              <w:top w:val="nil"/>
              <w:left w:val="nil"/>
              <w:right w:val="nil"/>
            </w:tcBorders>
            <w:shd w:val="clear" w:color="auto" w:fill="FFFFFF" w:themeFill="background1"/>
            <w:vAlign w:val="bottom"/>
          </w:tcPr>
          <w:p w14:paraId="4DFFF09B" w14:textId="77777777" w:rsidR="005364CA" w:rsidRPr="00DC4844" w:rsidRDefault="005364CA" w:rsidP="00AC3862">
            <w:pPr>
              <w:jc w:val="right"/>
              <w:rPr>
                <w:color w:val="000000"/>
                <w:sz w:val="12"/>
                <w:szCs w:val="12"/>
              </w:rPr>
            </w:pPr>
            <w:r>
              <w:rPr>
                <w:color w:val="000000"/>
                <w:sz w:val="12"/>
                <w:szCs w:val="12"/>
              </w:rPr>
              <w:t>521</w:t>
            </w:r>
          </w:p>
        </w:tc>
        <w:tc>
          <w:tcPr>
            <w:tcW w:w="851" w:type="dxa"/>
            <w:tcBorders>
              <w:top w:val="nil"/>
              <w:left w:val="nil"/>
              <w:right w:val="nil"/>
            </w:tcBorders>
            <w:shd w:val="clear" w:color="auto" w:fill="FFFFFF" w:themeFill="background1"/>
            <w:vAlign w:val="bottom"/>
          </w:tcPr>
          <w:p w14:paraId="6EBE3862" w14:textId="77777777" w:rsidR="005364CA" w:rsidRPr="00DC4844" w:rsidRDefault="005364CA" w:rsidP="00AC3862">
            <w:pPr>
              <w:jc w:val="right"/>
              <w:rPr>
                <w:color w:val="000000"/>
                <w:sz w:val="12"/>
                <w:szCs w:val="12"/>
              </w:rPr>
            </w:pPr>
            <w:r>
              <w:rPr>
                <w:color w:val="000000"/>
                <w:sz w:val="12"/>
                <w:szCs w:val="12"/>
              </w:rPr>
              <w:t>428</w:t>
            </w:r>
          </w:p>
        </w:tc>
        <w:tc>
          <w:tcPr>
            <w:tcW w:w="752" w:type="dxa"/>
            <w:tcBorders>
              <w:top w:val="nil"/>
              <w:left w:val="nil"/>
              <w:right w:val="nil"/>
            </w:tcBorders>
            <w:shd w:val="clear" w:color="auto" w:fill="FFFFFF" w:themeFill="background1"/>
            <w:vAlign w:val="bottom"/>
          </w:tcPr>
          <w:p w14:paraId="1285EBC9" w14:textId="77777777" w:rsidR="005364CA" w:rsidRPr="00DC4844" w:rsidRDefault="005364CA" w:rsidP="00AC3862">
            <w:pPr>
              <w:jc w:val="right"/>
              <w:rPr>
                <w:color w:val="000000"/>
                <w:sz w:val="12"/>
                <w:szCs w:val="12"/>
              </w:rPr>
            </w:pPr>
            <w:r>
              <w:rPr>
                <w:color w:val="000000"/>
                <w:sz w:val="12"/>
                <w:szCs w:val="12"/>
              </w:rPr>
              <w:t>432</w:t>
            </w:r>
          </w:p>
        </w:tc>
        <w:tc>
          <w:tcPr>
            <w:tcW w:w="752" w:type="dxa"/>
            <w:tcBorders>
              <w:top w:val="nil"/>
              <w:left w:val="nil"/>
              <w:right w:val="nil"/>
            </w:tcBorders>
            <w:shd w:val="clear" w:color="auto" w:fill="FFFFFF" w:themeFill="background1"/>
            <w:vAlign w:val="bottom"/>
          </w:tcPr>
          <w:p w14:paraId="36B32BF4" w14:textId="77777777" w:rsidR="005364CA" w:rsidRPr="00DC4844" w:rsidRDefault="005364CA" w:rsidP="00AC3862">
            <w:pPr>
              <w:jc w:val="right"/>
              <w:rPr>
                <w:color w:val="000000"/>
                <w:sz w:val="12"/>
                <w:szCs w:val="12"/>
              </w:rPr>
            </w:pPr>
            <w:r w:rsidRPr="00DC4844">
              <w:rPr>
                <w:color w:val="000000"/>
                <w:sz w:val="12"/>
                <w:szCs w:val="12"/>
              </w:rPr>
              <w:t>4</w:t>
            </w:r>
            <w:r>
              <w:rPr>
                <w:color w:val="000000"/>
                <w:sz w:val="12"/>
                <w:szCs w:val="12"/>
              </w:rPr>
              <w:t>38</w:t>
            </w:r>
          </w:p>
        </w:tc>
        <w:tc>
          <w:tcPr>
            <w:tcW w:w="752" w:type="dxa"/>
            <w:tcBorders>
              <w:top w:val="nil"/>
              <w:left w:val="nil"/>
              <w:right w:val="nil"/>
            </w:tcBorders>
            <w:shd w:val="clear" w:color="auto" w:fill="FFFFFF" w:themeFill="background1"/>
            <w:vAlign w:val="bottom"/>
          </w:tcPr>
          <w:p w14:paraId="12A9F062" w14:textId="77777777" w:rsidR="005364CA" w:rsidRPr="00DC4844" w:rsidRDefault="005364CA" w:rsidP="00AC3862">
            <w:pPr>
              <w:jc w:val="right"/>
              <w:rPr>
                <w:color w:val="000000"/>
                <w:sz w:val="12"/>
                <w:szCs w:val="12"/>
              </w:rPr>
            </w:pPr>
            <w:r w:rsidRPr="00DC4844">
              <w:rPr>
                <w:color w:val="000000"/>
                <w:sz w:val="12"/>
                <w:szCs w:val="12"/>
              </w:rPr>
              <w:t>4</w:t>
            </w:r>
            <w:r>
              <w:rPr>
                <w:color w:val="000000"/>
                <w:sz w:val="12"/>
                <w:szCs w:val="12"/>
              </w:rPr>
              <w:t>44</w:t>
            </w:r>
          </w:p>
        </w:tc>
        <w:tc>
          <w:tcPr>
            <w:tcW w:w="752" w:type="dxa"/>
            <w:gridSpan w:val="2"/>
            <w:tcBorders>
              <w:top w:val="nil"/>
              <w:left w:val="nil"/>
              <w:right w:val="nil"/>
            </w:tcBorders>
            <w:shd w:val="clear" w:color="auto" w:fill="FFFFFF" w:themeFill="background1"/>
            <w:noWrap/>
            <w:vAlign w:val="bottom"/>
            <w:hideMark/>
          </w:tcPr>
          <w:p w14:paraId="1C7790AF" w14:textId="77777777" w:rsidR="005364CA" w:rsidRPr="00DC4844" w:rsidRDefault="005364CA" w:rsidP="00AC3862">
            <w:pPr>
              <w:jc w:val="right"/>
              <w:rPr>
                <w:color w:val="000000"/>
                <w:sz w:val="12"/>
                <w:szCs w:val="12"/>
              </w:rPr>
            </w:pPr>
            <w:r>
              <w:rPr>
                <w:color w:val="000000"/>
                <w:sz w:val="12"/>
                <w:szCs w:val="12"/>
              </w:rPr>
              <w:t>45</w:t>
            </w:r>
            <w:r w:rsidRPr="00DC4844">
              <w:rPr>
                <w:color w:val="000000"/>
                <w:sz w:val="12"/>
                <w:szCs w:val="12"/>
              </w:rPr>
              <w:t>1.0</w:t>
            </w:r>
          </w:p>
        </w:tc>
      </w:tr>
      <w:tr w:rsidR="005364CA" w:rsidRPr="00DC4844" w14:paraId="22C516CB" w14:textId="77777777" w:rsidTr="00F34DCB">
        <w:trPr>
          <w:trHeight w:val="225"/>
          <w:jc w:val="center"/>
        </w:trPr>
        <w:tc>
          <w:tcPr>
            <w:tcW w:w="2268" w:type="dxa"/>
            <w:tcBorders>
              <w:top w:val="nil"/>
              <w:left w:val="nil"/>
              <w:right w:val="nil"/>
            </w:tcBorders>
            <w:shd w:val="clear" w:color="auto" w:fill="F2F2F2" w:themeFill="background1" w:themeFillShade="F2"/>
            <w:noWrap/>
            <w:vAlign w:val="bottom"/>
          </w:tcPr>
          <w:p w14:paraId="4E6B8F13" w14:textId="77777777" w:rsidR="005364CA" w:rsidRPr="00DC4844" w:rsidRDefault="005364CA" w:rsidP="00AC3862">
            <w:pPr>
              <w:rPr>
                <w:color w:val="000000"/>
                <w:sz w:val="12"/>
                <w:szCs w:val="12"/>
              </w:rPr>
            </w:pPr>
            <w:r w:rsidRPr="00DC4844">
              <w:rPr>
                <w:color w:val="000000"/>
                <w:sz w:val="12"/>
                <w:szCs w:val="12"/>
              </w:rPr>
              <w:t xml:space="preserve">     Plataforma de privados promedio (</w:t>
            </w:r>
            <w:proofErr w:type="spellStart"/>
            <w:r w:rsidRPr="00DC4844">
              <w:rPr>
                <w:color w:val="000000"/>
                <w:sz w:val="12"/>
                <w:szCs w:val="12"/>
              </w:rPr>
              <w:t>mbd</w:t>
            </w:r>
            <w:proofErr w:type="spellEnd"/>
            <w:r w:rsidRPr="00DC4844">
              <w:rPr>
                <w:color w:val="000000"/>
                <w:sz w:val="12"/>
                <w:szCs w:val="12"/>
              </w:rPr>
              <w:t>)</w:t>
            </w:r>
          </w:p>
        </w:tc>
        <w:tc>
          <w:tcPr>
            <w:tcW w:w="748" w:type="dxa"/>
            <w:tcBorders>
              <w:top w:val="nil"/>
              <w:left w:val="nil"/>
              <w:right w:val="nil"/>
            </w:tcBorders>
            <w:shd w:val="clear" w:color="auto" w:fill="F2F2F2" w:themeFill="background1" w:themeFillShade="F2"/>
            <w:noWrap/>
            <w:vAlign w:val="bottom"/>
          </w:tcPr>
          <w:p w14:paraId="0F5CB481" w14:textId="77777777" w:rsidR="005364CA" w:rsidRPr="00DC4844" w:rsidRDefault="005364CA" w:rsidP="00AC3862">
            <w:pPr>
              <w:jc w:val="right"/>
              <w:rPr>
                <w:color w:val="000000"/>
                <w:sz w:val="12"/>
                <w:szCs w:val="12"/>
              </w:rPr>
            </w:pPr>
            <w:r>
              <w:rPr>
                <w:color w:val="000000"/>
                <w:sz w:val="12"/>
                <w:szCs w:val="12"/>
              </w:rPr>
              <w:t>6</w:t>
            </w:r>
            <w:r w:rsidRPr="00DC4844">
              <w:rPr>
                <w:color w:val="000000"/>
                <w:sz w:val="12"/>
                <w:szCs w:val="12"/>
              </w:rPr>
              <w:t>7</w:t>
            </w:r>
          </w:p>
        </w:tc>
        <w:tc>
          <w:tcPr>
            <w:tcW w:w="903" w:type="dxa"/>
            <w:tcBorders>
              <w:top w:val="nil"/>
              <w:left w:val="nil"/>
              <w:right w:val="nil"/>
            </w:tcBorders>
            <w:shd w:val="clear" w:color="auto" w:fill="F2F2F2" w:themeFill="background1" w:themeFillShade="F2"/>
            <w:vAlign w:val="bottom"/>
          </w:tcPr>
          <w:p w14:paraId="72858237" w14:textId="77777777" w:rsidR="005364CA" w:rsidRPr="00DC4844" w:rsidRDefault="005364CA" w:rsidP="00AC3862">
            <w:pPr>
              <w:jc w:val="right"/>
              <w:rPr>
                <w:color w:val="000000"/>
                <w:sz w:val="12"/>
                <w:szCs w:val="12"/>
              </w:rPr>
            </w:pPr>
            <w:r w:rsidRPr="00DC4844">
              <w:rPr>
                <w:color w:val="000000"/>
                <w:sz w:val="12"/>
                <w:szCs w:val="12"/>
              </w:rPr>
              <w:t>51</w:t>
            </w:r>
          </w:p>
        </w:tc>
        <w:tc>
          <w:tcPr>
            <w:tcW w:w="759" w:type="dxa"/>
            <w:tcBorders>
              <w:top w:val="nil"/>
              <w:left w:val="nil"/>
              <w:right w:val="nil"/>
            </w:tcBorders>
            <w:shd w:val="clear" w:color="auto" w:fill="F2F2F2" w:themeFill="background1" w:themeFillShade="F2"/>
            <w:vAlign w:val="bottom"/>
          </w:tcPr>
          <w:p w14:paraId="06E17185" w14:textId="77777777" w:rsidR="005364CA" w:rsidRPr="00DC4844" w:rsidRDefault="005364CA" w:rsidP="00AC3862">
            <w:pPr>
              <w:jc w:val="right"/>
              <w:rPr>
                <w:color w:val="000000"/>
                <w:sz w:val="12"/>
                <w:szCs w:val="12"/>
              </w:rPr>
            </w:pPr>
            <w:r>
              <w:rPr>
                <w:color w:val="000000"/>
                <w:sz w:val="12"/>
                <w:szCs w:val="12"/>
              </w:rPr>
              <w:t>119</w:t>
            </w:r>
          </w:p>
        </w:tc>
        <w:tc>
          <w:tcPr>
            <w:tcW w:w="851" w:type="dxa"/>
            <w:tcBorders>
              <w:top w:val="nil"/>
              <w:left w:val="nil"/>
              <w:right w:val="nil"/>
            </w:tcBorders>
            <w:shd w:val="clear" w:color="auto" w:fill="F2F2F2" w:themeFill="background1" w:themeFillShade="F2"/>
            <w:vAlign w:val="bottom"/>
          </w:tcPr>
          <w:p w14:paraId="11CCA069" w14:textId="77777777" w:rsidR="005364CA" w:rsidRPr="00DC4844" w:rsidRDefault="005364CA" w:rsidP="00AC3862">
            <w:pPr>
              <w:jc w:val="right"/>
              <w:rPr>
                <w:color w:val="000000"/>
                <w:sz w:val="12"/>
                <w:szCs w:val="12"/>
              </w:rPr>
            </w:pPr>
            <w:r>
              <w:rPr>
                <w:color w:val="000000"/>
                <w:sz w:val="12"/>
                <w:szCs w:val="12"/>
              </w:rPr>
              <w:t>125</w:t>
            </w:r>
          </w:p>
        </w:tc>
        <w:tc>
          <w:tcPr>
            <w:tcW w:w="752" w:type="dxa"/>
            <w:tcBorders>
              <w:top w:val="nil"/>
              <w:left w:val="nil"/>
              <w:right w:val="nil"/>
            </w:tcBorders>
            <w:shd w:val="clear" w:color="auto" w:fill="F2F2F2" w:themeFill="background1" w:themeFillShade="F2"/>
            <w:vAlign w:val="bottom"/>
          </w:tcPr>
          <w:p w14:paraId="72328C3F"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31</w:t>
            </w:r>
          </w:p>
        </w:tc>
        <w:tc>
          <w:tcPr>
            <w:tcW w:w="752" w:type="dxa"/>
            <w:tcBorders>
              <w:top w:val="nil"/>
              <w:left w:val="nil"/>
              <w:right w:val="nil"/>
            </w:tcBorders>
            <w:shd w:val="clear" w:color="auto" w:fill="F2F2F2" w:themeFill="background1" w:themeFillShade="F2"/>
            <w:vAlign w:val="bottom"/>
          </w:tcPr>
          <w:p w14:paraId="183B3E42"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38</w:t>
            </w:r>
          </w:p>
        </w:tc>
        <w:tc>
          <w:tcPr>
            <w:tcW w:w="752" w:type="dxa"/>
            <w:tcBorders>
              <w:top w:val="nil"/>
              <w:left w:val="nil"/>
              <w:right w:val="nil"/>
            </w:tcBorders>
            <w:shd w:val="clear" w:color="auto" w:fill="F2F2F2" w:themeFill="background1" w:themeFillShade="F2"/>
            <w:vAlign w:val="bottom"/>
          </w:tcPr>
          <w:p w14:paraId="33D016B6"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45</w:t>
            </w:r>
          </w:p>
        </w:tc>
        <w:tc>
          <w:tcPr>
            <w:tcW w:w="752" w:type="dxa"/>
            <w:gridSpan w:val="2"/>
            <w:tcBorders>
              <w:top w:val="nil"/>
              <w:left w:val="nil"/>
              <w:right w:val="nil"/>
            </w:tcBorders>
            <w:shd w:val="clear" w:color="auto" w:fill="F2F2F2" w:themeFill="background1" w:themeFillShade="F2"/>
            <w:noWrap/>
            <w:vAlign w:val="bottom"/>
          </w:tcPr>
          <w:p w14:paraId="51040873" w14:textId="77777777" w:rsidR="005364CA" w:rsidRPr="00DC4844" w:rsidRDefault="005364CA" w:rsidP="00AC3862">
            <w:pPr>
              <w:jc w:val="right"/>
              <w:rPr>
                <w:color w:val="000000"/>
                <w:sz w:val="12"/>
                <w:szCs w:val="12"/>
              </w:rPr>
            </w:pPr>
            <w:r w:rsidRPr="00DC4844">
              <w:rPr>
                <w:color w:val="000000"/>
                <w:sz w:val="12"/>
                <w:szCs w:val="12"/>
              </w:rPr>
              <w:t>1</w:t>
            </w:r>
            <w:r>
              <w:rPr>
                <w:color w:val="000000"/>
                <w:sz w:val="12"/>
                <w:szCs w:val="12"/>
              </w:rPr>
              <w:t>53</w:t>
            </w:r>
          </w:p>
        </w:tc>
      </w:tr>
      <w:tr w:rsidR="005364CA" w:rsidRPr="00DC4844" w14:paraId="6270C9A0" w14:textId="77777777" w:rsidTr="00F34DCB">
        <w:trPr>
          <w:trHeight w:val="216"/>
          <w:jc w:val="center"/>
        </w:trPr>
        <w:tc>
          <w:tcPr>
            <w:tcW w:w="2268" w:type="dxa"/>
            <w:tcBorders>
              <w:top w:val="nil"/>
              <w:left w:val="nil"/>
              <w:right w:val="nil"/>
            </w:tcBorders>
            <w:shd w:val="clear" w:color="auto" w:fill="FFFFFF" w:themeFill="background1"/>
            <w:noWrap/>
            <w:vAlign w:val="bottom"/>
          </w:tcPr>
          <w:p w14:paraId="7E083C9D" w14:textId="77777777" w:rsidR="005364CA" w:rsidRPr="00DC4844" w:rsidRDefault="005364CA" w:rsidP="00AC3862">
            <w:pPr>
              <w:rPr>
                <w:b/>
                <w:bCs/>
                <w:color w:val="000000"/>
                <w:sz w:val="12"/>
                <w:szCs w:val="12"/>
              </w:rPr>
            </w:pPr>
            <w:r w:rsidRPr="00DC4844">
              <w:rPr>
                <w:b/>
                <w:bCs/>
                <w:color w:val="000000"/>
                <w:sz w:val="12"/>
                <w:szCs w:val="12"/>
              </w:rPr>
              <w:t>Gas</w:t>
            </w:r>
          </w:p>
        </w:tc>
        <w:tc>
          <w:tcPr>
            <w:tcW w:w="748" w:type="dxa"/>
            <w:tcBorders>
              <w:top w:val="nil"/>
              <w:left w:val="nil"/>
              <w:right w:val="nil"/>
            </w:tcBorders>
            <w:shd w:val="clear" w:color="auto" w:fill="FFFFFF" w:themeFill="background1"/>
            <w:noWrap/>
            <w:vAlign w:val="bottom"/>
          </w:tcPr>
          <w:p w14:paraId="1D0A4F32" w14:textId="77777777" w:rsidR="005364CA" w:rsidRPr="00DC4844" w:rsidRDefault="005364CA" w:rsidP="00AC3862">
            <w:pPr>
              <w:jc w:val="right"/>
              <w:rPr>
                <w:color w:val="000000"/>
                <w:sz w:val="12"/>
                <w:szCs w:val="12"/>
              </w:rPr>
            </w:pPr>
          </w:p>
        </w:tc>
        <w:tc>
          <w:tcPr>
            <w:tcW w:w="903" w:type="dxa"/>
            <w:tcBorders>
              <w:top w:val="nil"/>
              <w:left w:val="nil"/>
              <w:right w:val="nil"/>
            </w:tcBorders>
            <w:shd w:val="clear" w:color="auto" w:fill="FFFFFF" w:themeFill="background1"/>
            <w:vAlign w:val="bottom"/>
          </w:tcPr>
          <w:p w14:paraId="2F8CE3E4" w14:textId="77777777" w:rsidR="005364CA" w:rsidRPr="00DC4844" w:rsidRDefault="005364CA" w:rsidP="00AC3862">
            <w:pPr>
              <w:jc w:val="right"/>
              <w:rPr>
                <w:color w:val="000000"/>
                <w:sz w:val="12"/>
                <w:szCs w:val="12"/>
              </w:rPr>
            </w:pPr>
          </w:p>
        </w:tc>
        <w:tc>
          <w:tcPr>
            <w:tcW w:w="759" w:type="dxa"/>
            <w:tcBorders>
              <w:top w:val="nil"/>
              <w:left w:val="nil"/>
              <w:right w:val="nil"/>
            </w:tcBorders>
            <w:shd w:val="clear" w:color="auto" w:fill="FFFFFF" w:themeFill="background1"/>
            <w:vAlign w:val="bottom"/>
          </w:tcPr>
          <w:p w14:paraId="4B0F7A8B" w14:textId="77777777" w:rsidR="005364CA" w:rsidRPr="00DC4844" w:rsidRDefault="005364CA" w:rsidP="00AC3862">
            <w:pPr>
              <w:jc w:val="right"/>
              <w:rPr>
                <w:color w:val="000000"/>
                <w:sz w:val="12"/>
                <w:szCs w:val="12"/>
              </w:rPr>
            </w:pPr>
          </w:p>
        </w:tc>
        <w:tc>
          <w:tcPr>
            <w:tcW w:w="851" w:type="dxa"/>
            <w:tcBorders>
              <w:top w:val="nil"/>
              <w:left w:val="nil"/>
              <w:right w:val="nil"/>
            </w:tcBorders>
            <w:shd w:val="clear" w:color="auto" w:fill="FFFFFF" w:themeFill="background1"/>
            <w:vAlign w:val="bottom"/>
          </w:tcPr>
          <w:p w14:paraId="2BDD02BC" w14:textId="77777777" w:rsidR="005364CA" w:rsidRPr="00DC4844" w:rsidRDefault="005364CA" w:rsidP="00AC3862">
            <w:pPr>
              <w:jc w:val="right"/>
              <w:rPr>
                <w:color w:val="000000"/>
                <w:sz w:val="12"/>
                <w:szCs w:val="12"/>
              </w:rPr>
            </w:pPr>
          </w:p>
        </w:tc>
        <w:tc>
          <w:tcPr>
            <w:tcW w:w="752" w:type="dxa"/>
            <w:tcBorders>
              <w:top w:val="nil"/>
              <w:left w:val="nil"/>
              <w:right w:val="nil"/>
            </w:tcBorders>
            <w:shd w:val="clear" w:color="auto" w:fill="FFFFFF" w:themeFill="background1"/>
            <w:vAlign w:val="bottom"/>
          </w:tcPr>
          <w:p w14:paraId="58BEB0C6" w14:textId="77777777" w:rsidR="005364CA" w:rsidRPr="00DC4844" w:rsidRDefault="005364CA" w:rsidP="00AC3862">
            <w:pPr>
              <w:jc w:val="right"/>
              <w:rPr>
                <w:color w:val="000000"/>
                <w:sz w:val="12"/>
                <w:szCs w:val="12"/>
              </w:rPr>
            </w:pPr>
          </w:p>
        </w:tc>
        <w:tc>
          <w:tcPr>
            <w:tcW w:w="752" w:type="dxa"/>
            <w:tcBorders>
              <w:top w:val="nil"/>
              <w:left w:val="nil"/>
              <w:right w:val="nil"/>
            </w:tcBorders>
            <w:shd w:val="clear" w:color="auto" w:fill="FFFFFF" w:themeFill="background1"/>
            <w:vAlign w:val="bottom"/>
          </w:tcPr>
          <w:p w14:paraId="26908AE6" w14:textId="77777777" w:rsidR="005364CA" w:rsidRPr="00DC4844" w:rsidRDefault="005364CA" w:rsidP="00AC3862">
            <w:pPr>
              <w:jc w:val="right"/>
              <w:rPr>
                <w:color w:val="000000"/>
                <w:sz w:val="12"/>
                <w:szCs w:val="12"/>
              </w:rPr>
            </w:pPr>
          </w:p>
        </w:tc>
        <w:tc>
          <w:tcPr>
            <w:tcW w:w="752" w:type="dxa"/>
            <w:tcBorders>
              <w:top w:val="nil"/>
              <w:left w:val="nil"/>
              <w:right w:val="nil"/>
            </w:tcBorders>
            <w:shd w:val="clear" w:color="auto" w:fill="FFFFFF" w:themeFill="background1"/>
            <w:vAlign w:val="bottom"/>
          </w:tcPr>
          <w:p w14:paraId="122D73C5" w14:textId="77777777" w:rsidR="005364CA" w:rsidRPr="00DC4844" w:rsidRDefault="005364CA" w:rsidP="00AC3862">
            <w:pPr>
              <w:jc w:val="right"/>
              <w:rPr>
                <w:color w:val="000000"/>
                <w:sz w:val="12"/>
                <w:szCs w:val="12"/>
              </w:rPr>
            </w:pPr>
          </w:p>
        </w:tc>
        <w:tc>
          <w:tcPr>
            <w:tcW w:w="752" w:type="dxa"/>
            <w:gridSpan w:val="2"/>
            <w:tcBorders>
              <w:top w:val="nil"/>
              <w:left w:val="nil"/>
              <w:right w:val="nil"/>
            </w:tcBorders>
            <w:shd w:val="clear" w:color="auto" w:fill="FFFFFF" w:themeFill="background1"/>
            <w:noWrap/>
            <w:vAlign w:val="bottom"/>
          </w:tcPr>
          <w:p w14:paraId="74BF1AB7" w14:textId="77777777" w:rsidR="005364CA" w:rsidRPr="00DC4844" w:rsidRDefault="005364CA" w:rsidP="00AC3862">
            <w:pPr>
              <w:jc w:val="right"/>
              <w:rPr>
                <w:color w:val="000000"/>
                <w:sz w:val="12"/>
                <w:szCs w:val="12"/>
              </w:rPr>
            </w:pPr>
          </w:p>
        </w:tc>
      </w:tr>
      <w:tr w:rsidR="005364CA" w:rsidRPr="00DC4844" w14:paraId="350CA6E7" w14:textId="77777777" w:rsidTr="00F34DCB">
        <w:trPr>
          <w:trHeight w:val="300"/>
          <w:jc w:val="center"/>
        </w:trPr>
        <w:tc>
          <w:tcPr>
            <w:tcW w:w="2268" w:type="dxa"/>
            <w:tcBorders>
              <w:top w:val="nil"/>
              <w:left w:val="nil"/>
              <w:bottom w:val="single" w:sz="4" w:space="0" w:color="auto"/>
              <w:right w:val="nil"/>
            </w:tcBorders>
            <w:shd w:val="clear" w:color="auto" w:fill="F2F2F2" w:themeFill="background1" w:themeFillShade="F2"/>
            <w:noWrap/>
            <w:vAlign w:val="bottom"/>
          </w:tcPr>
          <w:p w14:paraId="1BF3F5BD" w14:textId="77777777" w:rsidR="005364CA" w:rsidRPr="00DC4844" w:rsidRDefault="005364CA" w:rsidP="00AC3862">
            <w:pPr>
              <w:rPr>
                <w:color w:val="000000"/>
                <w:sz w:val="12"/>
                <w:szCs w:val="12"/>
              </w:rPr>
            </w:pPr>
            <w:r w:rsidRPr="00DC4844">
              <w:rPr>
                <w:color w:val="000000"/>
                <w:sz w:val="12"/>
                <w:szCs w:val="12"/>
              </w:rPr>
              <w:t xml:space="preserve">     Precio promedio (dólares/</w:t>
            </w:r>
            <w:proofErr w:type="spellStart"/>
            <w:r w:rsidRPr="00DC4844">
              <w:rPr>
                <w:color w:val="000000"/>
                <w:sz w:val="12"/>
                <w:szCs w:val="12"/>
              </w:rPr>
              <w:t>MMBtu</w:t>
            </w:r>
            <w:proofErr w:type="spellEnd"/>
            <w:r w:rsidRPr="00DC4844">
              <w:rPr>
                <w:color w:val="000000"/>
                <w:sz w:val="12"/>
                <w:szCs w:val="12"/>
              </w:rPr>
              <w:t>)</w:t>
            </w:r>
          </w:p>
        </w:tc>
        <w:tc>
          <w:tcPr>
            <w:tcW w:w="748" w:type="dxa"/>
            <w:tcBorders>
              <w:top w:val="nil"/>
              <w:left w:val="nil"/>
              <w:bottom w:val="single" w:sz="4" w:space="0" w:color="auto"/>
              <w:right w:val="nil"/>
            </w:tcBorders>
            <w:shd w:val="clear" w:color="auto" w:fill="F2F2F2" w:themeFill="background1" w:themeFillShade="F2"/>
            <w:noWrap/>
            <w:vAlign w:val="bottom"/>
          </w:tcPr>
          <w:p w14:paraId="79271BBD" w14:textId="77777777" w:rsidR="005364CA" w:rsidRPr="00DC4844" w:rsidRDefault="005364CA" w:rsidP="00AC3862">
            <w:pPr>
              <w:jc w:val="right"/>
              <w:rPr>
                <w:color w:val="000000"/>
                <w:sz w:val="12"/>
                <w:szCs w:val="12"/>
              </w:rPr>
            </w:pPr>
            <w:r>
              <w:rPr>
                <w:color w:val="000000"/>
                <w:sz w:val="12"/>
                <w:szCs w:val="12"/>
              </w:rPr>
              <w:t>2.2</w:t>
            </w:r>
          </w:p>
        </w:tc>
        <w:tc>
          <w:tcPr>
            <w:tcW w:w="903" w:type="dxa"/>
            <w:tcBorders>
              <w:top w:val="nil"/>
              <w:left w:val="nil"/>
              <w:bottom w:val="single" w:sz="4" w:space="0" w:color="auto"/>
              <w:right w:val="nil"/>
            </w:tcBorders>
            <w:shd w:val="clear" w:color="auto" w:fill="F2F2F2" w:themeFill="background1" w:themeFillShade="F2"/>
            <w:vAlign w:val="bottom"/>
          </w:tcPr>
          <w:p w14:paraId="6C6017D2" w14:textId="77777777" w:rsidR="005364CA" w:rsidRPr="00DC4844" w:rsidRDefault="005364CA" w:rsidP="00AC3862">
            <w:pPr>
              <w:jc w:val="right"/>
              <w:rPr>
                <w:color w:val="000000"/>
                <w:sz w:val="12"/>
                <w:szCs w:val="12"/>
              </w:rPr>
            </w:pPr>
            <w:r w:rsidRPr="00DC4844">
              <w:rPr>
                <w:color w:val="000000"/>
                <w:sz w:val="12"/>
                <w:szCs w:val="12"/>
              </w:rPr>
              <w:t>3.5</w:t>
            </w:r>
          </w:p>
        </w:tc>
        <w:tc>
          <w:tcPr>
            <w:tcW w:w="759" w:type="dxa"/>
            <w:tcBorders>
              <w:top w:val="nil"/>
              <w:left w:val="nil"/>
              <w:bottom w:val="single" w:sz="4" w:space="0" w:color="auto"/>
              <w:right w:val="nil"/>
            </w:tcBorders>
            <w:shd w:val="clear" w:color="auto" w:fill="F2F2F2" w:themeFill="background1" w:themeFillShade="F2"/>
            <w:vAlign w:val="bottom"/>
          </w:tcPr>
          <w:p w14:paraId="3D7EBE5D" w14:textId="77777777" w:rsidR="005364CA" w:rsidRPr="00DC4844" w:rsidRDefault="005364CA" w:rsidP="00AC3862">
            <w:pPr>
              <w:jc w:val="right"/>
              <w:rPr>
                <w:color w:val="000000"/>
                <w:sz w:val="12"/>
                <w:szCs w:val="12"/>
              </w:rPr>
            </w:pPr>
            <w:r>
              <w:rPr>
                <w:color w:val="000000"/>
                <w:sz w:val="12"/>
                <w:szCs w:val="12"/>
              </w:rPr>
              <w:t>4.0</w:t>
            </w:r>
          </w:p>
        </w:tc>
        <w:tc>
          <w:tcPr>
            <w:tcW w:w="851" w:type="dxa"/>
            <w:tcBorders>
              <w:top w:val="nil"/>
              <w:left w:val="nil"/>
              <w:bottom w:val="single" w:sz="4" w:space="0" w:color="auto"/>
              <w:right w:val="nil"/>
            </w:tcBorders>
            <w:shd w:val="clear" w:color="auto" w:fill="F2F2F2" w:themeFill="background1" w:themeFillShade="F2"/>
            <w:vAlign w:val="bottom"/>
          </w:tcPr>
          <w:p w14:paraId="4259BEFE"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9</w:t>
            </w:r>
          </w:p>
        </w:tc>
        <w:tc>
          <w:tcPr>
            <w:tcW w:w="752" w:type="dxa"/>
            <w:tcBorders>
              <w:top w:val="nil"/>
              <w:left w:val="nil"/>
              <w:bottom w:val="single" w:sz="4" w:space="0" w:color="auto"/>
              <w:right w:val="nil"/>
            </w:tcBorders>
            <w:shd w:val="clear" w:color="auto" w:fill="F2F2F2" w:themeFill="background1" w:themeFillShade="F2"/>
            <w:vAlign w:val="bottom"/>
          </w:tcPr>
          <w:p w14:paraId="0800DB83"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8</w:t>
            </w:r>
          </w:p>
        </w:tc>
        <w:tc>
          <w:tcPr>
            <w:tcW w:w="752" w:type="dxa"/>
            <w:tcBorders>
              <w:top w:val="nil"/>
              <w:left w:val="nil"/>
              <w:bottom w:val="single" w:sz="4" w:space="0" w:color="auto"/>
              <w:right w:val="nil"/>
            </w:tcBorders>
            <w:shd w:val="clear" w:color="auto" w:fill="F2F2F2" w:themeFill="background1" w:themeFillShade="F2"/>
            <w:vAlign w:val="bottom"/>
          </w:tcPr>
          <w:p w14:paraId="23F1DDC6" w14:textId="77777777" w:rsidR="005364CA" w:rsidRPr="00DC4844" w:rsidRDefault="005364CA" w:rsidP="00AC3862">
            <w:pPr>
              <w:jc w:val="right"/>
              <w:rPr>
                <w:color w:val="000000"/>
                <w:sz w:val="12"/>
                <w:szCs w:val="12"/>
              </w:rPr>
            </w:pPr>
            <w:r w:rsidRPr="00DC4844">
              <w:rPr>
                <w:color w:val="000000"/>
                <w:sz w:val="12"/>
                <w:szCs w:val="12"/>
              </w:rPr>
              <w:t>3.</w:t>
            </w:r>
            <w:r>
              <w:rPr>
                <w:color w:val="000000"/>
                <w:sz w:val="12"/>
                <w:szCs w:val="12"/>
              </w:rPr>
              <w:t>7</w:t>
            </w:r>
          </w:p>
        </w:tc>
        <w:tc>
          <w:tcPr>
            <w:tcW w:w="752" w:type="dxa"/>
            <w:tcBorders>
              <w:top w:val="nil"/>
              <w:left w:val="nil"/>
              <w:bottom w:val="single" w:sz="4" w:space="0" w:color="auto"/>
              <w:right w:val="nil"/>
            </w:tcBorders>
            <w:shd w:val="clear" w:color="auto" w:fill="F2F2F2" w:themeFill="background1" w:themeFillShade="F2"/>
            <w:vAlign w:val="bottom"/>
          </w:tcPr>
          <w:p w14:paraId="10D5BCB7" w14:textId="77777777" w:rsidR="005364CA" w:rsidRPr="00DC4844" w:rsidRDefault="005364CA" w:rsidP="00AC3862">
            <w:pPr>
              <w:jc w:val="right"/>
              <w:rPr>
                <w:color w:val="000000"/>
                <w:sz w:val="12"/>
                <w:szCs w:val="12"/>
              </w:rPr>
            </w:pPr>
            <w:r w:rsidRPr="00DC4844">
              <w:rPr>
                <w:color w:val="000000"/>
                <w:sz w:val="12"/>
                <w:szCs w:val="12"/>
              </w:rPr>
              <w:t>3.5</w:t>
            </w:r>
          </w:p>
        </w:tc>
        <w:tc>
          <w:tcPr>
            <w:tcW w:w="752" w:type="dxa"/>
            <w:gridSpan w:val="2"/>
            <w:tcBorders>
              <w:top w:val="nil"/>
              <w:left w:val="nil"/>
              <w:bottom w:val="single" w:sz="4" w:space="0" w:color="auto"/>
              <w:right w:val="nil"/>
            </w:tcBorders>
            <w:shd w:val="clear" w:color="auto" w:fill="F2F2F2" w:themeFill="background1" w:themeFillShade="F2"/>
            <w:noWrap/>
            <w:vAlign w:val="bottom"/>
          </w:tcPr>
          <w:p w14:paraId="72B56C67" w14:textId="77777777" w:rsidR="005364CA" w:rsidRPr="00DC4844" w:rsidRDefault="005364CA" w:rsidP="00AC3862">
            <w:pPr>
              <w:jc w:val="right"/>
              <w:rPr>
                <w:color w:val="000000"/>
                <w:sz w:val="12"/>
                <w:szCs w:val="12"/>
              </w:rPr>
            </w:pPr>
            <w:r>
              <w:rPr>
                <w:color w:val="000000"/>
                <w:sz w:val="12"/>
                <w:szCs w:val="12"/>
              </w:rPr>
              <w:t>3</w:t>
            </w:r>
            <w:r w:rsidRPr="00DC4844">
              <w:rPr>
                <w:color w:val="000000"/>
                <w:sz w:val="12"/>
                <w:szCs w:val="12"/>
              </w:rPr>
              <w:t>.</w:t>
            </w:r>
            <w:r>
              <w:rPr>
                <w:color w:val="000000"/>
                <w:sz w:val="12"/>
                <w:szCs w:val="12"/>
              </w:rPr>
              <w:t>5</w:t>
            </w:r>
          </w:p>
        </w:tc>
      </w:tr>
      <w:tr w:rsidR="005364CA" w:rsidRPr="00DC4844" w14:paraId="5AC8A09A" w14:textId="77777777" w:rsidTr="00F34DCB">
        <w:trPr>
          <w:trHeight w:val="263"/>
          <w:jc w:val="center"/>
        </w:trPr>
        <w:tc>
          <w:tcPr>
            <w:tcW w:w="8537" w:type="dxa"/>
            <w:gridSpan w:val="10"/>
            <w:tcBorders>
              <w:top w:val="single" w:sz="4" w:space="0" w:color="auto"/>
              <w:left w:val="nil"/>
              <w:right w:val="nil"/>
            </w:tcBorders>
            <w:noWrap/>
            <w:vAlign w:val="bottom"/>
            <w:hideMark/>
          </w:tcPr>
          <w:p w14:paraId="416BAC95" w14:textId="77777777" w:rsidR="005364CA" w:rsidRPr="00DC4844" w:rsidRDefault="005364CA" w:rsidP="00AC3862">
            <w:pPr>
              <w:rPr>
                <w:sz w:val="12"/>
                <w:szCs w:val="12"/>
              </w:rPr>
            </w:pPr>
            <w:r w:rsidRPr="00DC4844">
              <w:rPr>
                <w:color w:val="000000"/>
                <w:sz w:val="12"/>
                <w:szCs w:val="12"/>
              </w:rPr>
              <w:t xml:space="preserve">*/ </w:t>
            </w:r>
            <w:r>
              <w:rPr>
                <w:color w:val="000000"/>
                <w:sz w:val="12"/>
                <w:szCs w:val="12"/>
              </w:rPr>
              <w:t>Datos observados.</w:t>
            </w:r>
          </w:p>
        </w:tc>
      </w:tr>
      <w:tr w:rsidR="005364CA" w:rsidRPr="00DC4844" w14:paraId="12846443" w14:textId="77777777" w:rsidTr="00F34DCB">
        <w:trPr>
          <w:trHeight w:val="149"/>
          <w:jc w:val="center"/>
        </w:trPr>
        <w:tc>
          <w:tcPr>
            <w:tcW w:w="8537" w:type="dxa"/>
            <w:gridSpan w:val="10"/>
            <w:tcBorders>
              <w:left w:val="nil"/>
              <w:bottom w:val="nil"/>
            </w:tcBorders>
            <w:noWrap/>
            <w:vAlign w:val="bottom"/>
          </w:tcPr>
          <w:p w14:paraId="5DC610EE" w14:textId="77777777" w:rsidR="005364CA" w:rsidRPr="00DC4844" w:rsidRDefault="005364CA" w:rsidP="00AC3862">
            <w:pPr>
              <w:rPr>
                <w:sz w:val="12"/>
                <w:szCs w:val="12"/>
              </w:rPr>
            </w:pPr>
            <w:r>
              <w:rPr>
                <w:color w:val="000000"/>
                <w:sz w:val="12"/>
                <w:szCs w:val="12"/>
              </w:rPr>
              <w:t>*</w:t>
            </w:r>
            <w:r w:rsidRPr="00DC4844">
              <w:rPr>
                <w:color w:val="000000"/>
                <w:sz w:val="12"/>
                <w:szCs w:val="12"/>
              </w:rPr>
              <w:t>*/ Incluye Pemex, condesados, socios y privados.</w:t>
            </w:r>
          </w:p>
        </w:tc>
      </w:tr>
      <w:tr w:rsidR="005364CA" w:rsidRPr="00DC4844" w14:paraId="3900B10B" w14:textId="77777777" w:rsidTr="00F34DCB">
        <w:trPr>
          <w:trHeight w:val="138"/>
          <w:jc w:val="center"/>
        </w:trPr>
        <w:tc>
          <w:tcPr>
            <w:tcW w:w="8537" w:type="dxa"/>
            <w:gridSpan w:val="10"/>
            <w:tcBorders>
              <w:top w:val="nil"/>
              <w:left w:val="nil"/>
              <w:bottom w:val="nil"/>
              <w:right w:val="nil"/>
            </w:tcBorders>
            <w:noWrap/>
            <w:vAlign w:val="bottom"/>
            <w:hideMark/>
          </w:tcPr>
          <w:p w14:paraId="7C072418" w14:textId="77777777" w:rsidR="005364CA" w:rsidRPr="00DC4844" w:rsidRDefault="005364CA" w:rsidP="00AC3862">
            <w:pPr>
              <w:rPr>
                <w:sz w:val="12"/>
                <w:szCs w:val="12"/>
              </w:rPr>
            </w:pPr>
            <w:r w:rsidRPr="00DC4844">
              <w:rPr>
                <w:color w:val="000000"/>
                <w:sz w:val="12"/>
                <w:szCs w:val="12"/>
              </w:rPr>
              <w:t xml:space="preserve">Fuente: SHCP. </w:t>
            </w:r>
          </w:p>
        </w:tc>
      </w:tr>
    </w:tbl>
    <w:p w14:paraId="6045EC5A" w14:textId="77777777" w:rsidR="00E030C7" w:rsidRPr="00CE2445" w:rsidRDefault="00E030C7" w:rsidP="00E030C7">
      <w:pPr>
        <w:pStyle w:val="PRIMERAPLANA"/>
        <w:spacing w:line="360" w:lineRule="auto"/>
        <w:rPr>
          <w:rFonts w:ascii="Times New Roman" w:hAnsi="Times New Roman"/>
          <w:bCs/>
          <w:lang w:val="es-MX"/>
        </w:rPr>
      </w:pPr>
    </w:p>
    <w:p w14:paraId="02AF542B" w14:textId="77777777" w:rsidR="00E030C7" w:rsidRPr="00CE2445" w:rsidRDefault="00E030C7" w:rsidP="00E030C7">
      <w:pPr>
        <w:pStyle w:val="PRIMERAPLANA"/>
        <w:numPr>
          <w:ilvl w:val="0"/>
          <w:numId w:val="16"/>
        </w:numPr>
        <w:spacing w:line="360" w:lineRule="auto"/>
        <w:ind w:left="426" w:hanging="426"/>
        <w:rPr>
          <w:rFonts w:ascii="Times New Roman" w:hAnsi="Times New Roman"/>
          <w:b/>
          <w:lang w:val="es-MX"/>
        </w:rPr>
      </w:pPr>
      <w:r w:rsidRPr="00CE2445">
        <w:rPr>
          <w:rFonts w:ascii="Times New Roman" w:hAnsi="Times New Roman"/>
          <w:b/>
          <w:lang w:val="es-MX"/>
        </w:rPr>
        <w:lastRenderedPageBreak/>
        <w:t>ENTORNO ECONÓMICO LOCAL</w:t>
      </w:r>
    </w:p>
    <w:p w14:paraId="1B3CA547" w14:textId="77777777" w:rsidR="00E030C7" w:rsidRPr="00CE2445" w:rsidRDefault="00E030C7" w:rsidP="00E030C7">
      <w:pPr>
        <w:pStyle w:val="PRIMERAPLANA"/>
        <w:spacing w:line="360" w:lineRule="auto"/>
        <w:rPr>
          <w:rFonts w:ascii="Times New Roman" w:hAnsi="Times New Roman"/>
          <w:bCs/>
          <w:lang w:val="es-MX"/>
        </w:rPr>
      </w:pPr>
    </w:p>
    <w:p w14:paraId="4B2E97AA" w14:textId="77777777" w:rsidR="005364CA" w:rsidRPr="00BF1B50" w:rsidRDefault="005364CA" w:rsidP="005364CA">
      <w:pPr>
        <w:pStyle w:val="PRIMERAPLANA"/>
        <w:spacing w:line="360" w:lineRule="auto"/>
        <w:rPr>
          <w:rFonts w:ascii="Times New Roman" w:hAnsi="Times New Roman"/>
          <w:bCs/>
        </w:rPr>
      </w:pPr>
      <w:r w:rsidRPr="007D1162">
        <w:rPr>
          <w:rFonts w:ascii="Times New Roman" w:hAnsi="Times New Roman"/>
          <w:bCs/>
        </w:rPr>
        <w:t>Tlaxcala tiene una localización geográfica estratégica al encontrarse en la región centro del país, integrada por los Estados de Guanajuato, Hidalgo, Morelos, Puebla, Querétaro, Ciudad de México y Estado de México; colindando con Hidalgo, Puebla y el Estado de México</w:t>
      </w:r>
      <w:r>
        <w:rPr>
          <w:rFonts w:ascii="Times New Roman" w:hAnsi="Times New Roman"/>
          <w:bCs/>
        </w:rPr>
        <w:t xml:space="preserve">. </w:t>
      </w:r>
      <w:r w:rsidRPr="007D1162">
        <w:rPr>
          <w:rFonts w:ascii="Times New Roman" w:hAnsi="Times New Roman"/>
          <w:bCs/>
        </w:rPr>
        <w:t>En 2020, la población en Tlaxcala fue de 1,342,977 habitantes (48.4% hombres y 51.6% mujeres). En comparación a 2010, la población en Tlaxcala creció un 14.8</w:t>
      </w:r>
      <w:r>
        <w:rPr>
          <w:rFonts w:ascii="Times New Roman" w:hAnsi="Times New Roman"/>
          <w:bCs/>
        </w:rPr>
        <w:t>%.</w:t>
      </w:r>
    </w:p>
    <w:p w14:paraId="557D27DA" w14:textId="77777777" w:rsidR="005364CA" w:rsidRDefault="005364CA" w:rsidP="005364CA">
      <w:pPr>
        <w:pStyle w:val="PRIMERAPLANA"/>
        <w:spacing w:line="360" w:lineRule="auto"/>
        <w:rPr>
          <w:rFonts w:ascii="Times New Roman" w:hAnsi="Times New Roman"/>
          <w:bCs/>
        </w:rPr>
      </w:pPr>
    </w:p>
    <w:p w14:paraId="3D6EC0E5" w14:textId="7ECD9738" w:rsidR="005364CA" w:rsidRDefault="005364CA" w:rsidP="005364CA">
      <w:pPr>
        <w:pStyle w:val="PRIMERAPLANA"/>
        <w:spacing w:line="360" w:lineRule="auto"/>
        <w:rPr>
          <w:rFonts w:ascii="Times New Roman" w:hAnsi="Times New Roman"/>
          <w:bCs/>
        </w:rPr>
      </w:pPr>
      <w:r w:rsidRPr="00BF1B50">
        <w:rPr>
          <w:rFonts w:ascii="Times New Roman" w:hAnsi="Times New Roman"/>
          <w:bCs/>
        </w:rPr>
        <w:t xml:space="preserve">La </w:t>
      </w:r>
      <w:r>
        <w:rPr>
          <w:rFonts w:ascii="Times New Roman" w:hAnsi="Times New Roman"/>
          <w:bCs/>
        </w:rPr>
        <w:t xml:space="preserve">actividad </w:t>
      </w:r>
      <w:r w:rsidRPr="00BF1B50">
        <w:rPr>
          <w:rFonts w:ascii="Times New Roman" w:hAnsi="Times New Roman"/>
          <w:bCs/>
        </w:rPr>
        <w:t>econ</w:t>
      </w:r>
      <w:r>
        <w:rPr>
          <w:rFonts w:ascii="Times New Roman" w:hAnsi="Times New Roman"/>
          <w:bCs/>
        </w:rPr>
        <w:t>ó</w:t>
      </w:r>
      <w:r w:rsidRPr="00BF1B50">
        <w:rPr>
          <w:rFonts w:ascii="Times New Roman" w:hAnsi="Times New Roman"/>
          <w:bCs/>
        </w:rPr>
        <w:t>m</w:t>
      </w:r>
      <w:r>
        <w:rPr>
          <w:rFonts w:ascii="Times New Roman" w:hAnsi="Times New Roman"/>
          <w:bCs/>
        </w:rPr>
        <w:t>ica</w:t>
      </w:r>
      <w:r w:rsidRPr="00BF1B50">
        <w:rPr>
          <w:rFonts w:ascii="Times New Roman" w:hAnsi="Times New Roman"/>
          <w:bCs/>
        </w:rPr>
        <w:t xml:space="preserve"> del </w:t>
      </w:r>
      <w:r>
        <w:rPr>
          <w:rFonts w:ascii="Times New Roman" w:hAnsi="Times New Roman"/>
          <w:bCs/>
        </w:rPr>
        <w:t>E</w:t>
      </w:r>
      <w:r w:rsidRPr="00BF1B50">
        <w:rPr>
          <w:rFonts w:ascii="Times New Roman" w:hAnsi="Times New Roman"/>
          <w:bCs/>
        </w:rPr>
        <w:t xml:space="preserve">stado de Tlaxcala </w:t>
      </w:r>
      <w:r>
        <w:rPr>
          <w:rFonts w:ascii="Times New Roman" w:hAnsi="Times New Roman"/>
          <w:bCs/>
        </w:rPr>
        <w:t>ha</w:t>
      </w:r>
      <w:r w:rsidRPr="00BF1B50">
        <w:rPr>
          <w:rFonts w:ascii="Times New Roman" w:hAnsi="Times New Roman"/>
          <w:bCs/>
        </w:rPr>
        <w:t xml:space="preserve"> </w:t>
      </w:r>
      <w:r>
        <w:rPr>
          <w:rFonts w:ascii="Times New Roman" w:hAnsi="Times New Roman"/>
          <w:bCs/>
        </w:rPr>
        <w:t xml:space="preserve">dado </w:t>
      </w:r>
      <w:r w:rsidRPr="00BF1B50">
        <w:rPr>
          <w:rFonts w:ascii="Times New Roman" w:hAnsi="Times New Roman"/>
          <w:bCs/>
        </w:rPr>
        <w:t>signos claros de fortalecimiento, impulsada</w:t>
      </w:r>
      <w:r>
        <w:rPr>
          <w:rFonts w:ascii="Times New Roman" w:hAnsi="Times New Roman"/>
          <w:bCs/>
        </w:rPr>
        <w:t xml:space="preserve"> principalmente </w:t>
      </w:r>
      <w:r w:rsidRPr="00BF1B50">
        <w:rPr>
          <w:rFonts w:ascii="Times New Roman" w:hAnsi="Times New Roman"/>
          <w:bCs/>
        </w:rPr>
        <w:t xml:space="preserve">por políticas públicas enfocadas </w:t>
      </w:r>
      <w:r>
        <w:rPr>
          <w:rFonts w:ascii="Times New Roman" w:hAnsi="Times New Roman"/>
          <w:bCs/>
        </w:rPr>
        <w:t>hacia el</w:t>
      </w:r>
      <w:r w:rsidRPr="00BF1B50">
        <w:rPr>
          <w:rFonts w:ascii="Times New Roman" w:hAnsi="Times New Roman"/>
          <w:bCs/>
        </w:rPr>
        <w:t xml:space="preserve"> desarrollo económico, el </w:t>
      </w:r>
      <w:proofErr w:type="spellStart"/>
      <w:r w:rsidRPr="00BF1B50">
        <w:rPr>
          <w:rFonts w:ascii="Times New Roman" w:hAnsi="Times New Roman"/>
          <w:bCs/>
        </w:rPr>
        <w:t>emprend</w:t>
      </w:r>
      <w:r>
        <w:rPr>
          <w:rFonts w:ascii="Times New Roman" w:hAnsi="Times New Roman"/>
          <w:bCs/>
        </w:rPr>
        <w:t>edurismo</w:t>
      </w:r>
      <w:proofErr w:type="spellEnd"/>
      <w:r w:rsidRPr="00BF1B50">
        <w:rPr>
          <w:rFonts w:ascii="Times New Roman" w:hAnsi="Times New Roman"/>
          <w:bCs/>
        </w:rPr>
        <w:t xml:space="preserve"> y </w:t>
      </w:r>
      <w:r>
        <w:rPr>
          <w:rFonts w:ascii="Times New Roman" w:hAnsi="Times New Roman"/>
          <w:bCs/>
        </w:rPr>
        <w:t xml:space="preserve">la promoción de </w:t>
      </w:r>
      <w:r w:rsidRPr="00BF1B50">
        <w:rPr>
          <w:rFonts w:ascii="Times New Roman" w:hAnsi="Times New Roman"/>
          <w:bCs/>
        </w:rPr>
        <w:t>la inversión</w:t>
      </w:r>
      <w:r>
        <w:rPr>
          <w:rFonts w:ascii="Times New Roman" w:hAnsi="Times New Roman"/>
          <w:bCs/>
        </w:rPr>
        <w:t xml:space="preserve">. El Instituto Nacional de Estadística y Geografía (INEGI), dio a conocer mediante los resultados del </w:t>
      </w:r>
      <w:r w:rsidRPr="00BF1B50">
        <w:rPr>
          <w:rFonts w:ascii="Times New Roman" w:hAnsi="Times New Roman"/>
          <w:bCs/>
        </w:rPr>
        <w:t>Censo Económico 2024</w:t>
      </w:r>
      <w:r>
        <w:rPr>
          <w:rFonts w:ascii="Times New Roman" w:hAnsi="Times New Roman"/>
          <w:bCs/>
        </w:rPr>
        <w:t xml:space="preserve">, que en el Estado </w:t>
      </w:r>
      <w:r w:rsidRPr="00BF1B50">
        <w:rPr>
          <w:rFonts w:ascii="Times New Roman" w:hAnsi="Times New Roman"/>
          <w:bCs/>
        </w:rPr>
        <w:t>operaron</w:t>
      </w:r>
      <w:r>
        <w:rPr>
          <w:rFonts w:ascii="Times New Roman" w:hAnsi="Times New Roman"/>
          <w:bCs/>
        </w:rPr>
        <w:t xml:space="preserve"> </w:t>
      </w:r>
      <w:r w:rsidRPr="00BF1B50">
        <w:rPr>
          <w:rFonts w:ascii="Times New Roman" w:hAnsi="Times New Roman"/>
          <w:bCs/>
        </w:rPr>
        <w:t>107 mil 210 establecimientos</w:t>
      </w:r>
      <w:r>
        <w:rPr>
          <w:rFonts w:ascii="Times New Roman" w:hAnsi="Times New Roman"/>
          <w:bCs/>
        </w:rPr>
        <w:t xml:space="preserve"> en diversos rubros</w:t>
      </w:r>
      <w:r w:rsidRPr="00BF1B50">
        <w:rPr>
          <w:rFonts w:ascii="Times New Roman" w:hAnsi="Times New Roman"/>
          <w:bCs/>
        </w:rPr>
        <w:t>, generando empleo</w:t>
      </w:r>
      <w:r>
        <w:rPr>
          <w:rFonts w:ascii="Times New Roman" w:hAnsi="Times New Roman"/>
          <w:bCs/>
        </w:rPr>
        <w:t>s</w:t>
      </w:r>
      <w:r w:rsidRPr="00BF1B50">
        <w:rPr>
          <w:rFonts w:ascii="Times New Roman" w:hAnsi="Times New Roman"/>
          <w:bCs/>
        </w:rPr>
        <w:t xml:space="preserve"> para</w:t>
      </w:r>
      <w:r>
        <w:rPr>
          <w:rFonts w:ascii="Times New Roman" w:hAnsi="Times New Roman"/>
          <w:bCs/>
        </w:rPr>
        <w:t xml:space="preserve"> cerca de trescientas ochenta mil</w:t>
      </w:r>
      <w:r w:rsidRPr="00BF1B50">
        <w:rPr>
          <w:rFonts w:ascii="Times New Roman" w:hAnsi="Times New Roman"/>
          <w:bCs/>
        </w:rPr>
        <w:t xml:space="preserve"> personas. E</w:t>
      </w:r>
      <w:r>
        <w:rPr>
          <w:rFonts w:ascii="Times New Roman" w:hAnsi="Times New Roman"/>
          <w:bCs/>
        </w:rPr>
        <w:t xml:space="preserve">s de resaltar que un aproximado de siete mil negociaciones </w:t>
      </w:r>
      <w:r w:rsidRPr="00BF1B50">
        <w:rPr>
          <w:rFonts w:ascii="Times New Roman" w:hAnsi="Times New Roman"/>
          <w:bCs/>
        </w:rPr>
        <w:t>de reciente creación</w:t>
      </w:r>
      <w:r>
        <w:rPr>
          <w:rFonts w:ascii="Times New Roman" w:hAnsi="Times New Roman"/>
          <w:bCs/>
        </w:rPr>
        <w:t>, observaron</w:t>
      </w:r>
      <w:r w:rsidRPr="00BF1B50">
        <w:rPr>
          <w:rFonts w:ascii="Times New Roman" w:hAnsi="Times New Roman"/>
          <w:bCs/>
        </w:rPr>
        <w:t xml:space="preserve"> una recuperación </w:t>
      </w:r>
      <w:r>
        <w:rPr>
          <w:rFonts w:ascii="Times New Roman" w:hAnsi="Times New Roman"/>
          <w:bCs/>
        </w:rPr>
        <w:t xml:space="preserve">en sus actividades </w:t>
      </w:r>
      <w:r w:rsidRPr="00BF1B50">
        <w:rPr>
          <w:rFonts w:ascii="Times New Roman" w:hAnsi="Times New Roman"/>
          <w:bCs/>
        </w:rPr>
        <w:t>econ</w:t>
      </w:r>
      <w:r>
        <w:rPr>
          <w:rFonts w:ascii="Times New Roman" w:hAnsi="Times New Roman"/>
          <w:bCs/>
        </w:rPr>
        <w:t>ó</w:t>
      </w:r>
      <w:r w:rsidRPr="00BF1B50">
        <w:rPr>
          <w:rFonts w:ascii="Times New Roman" w:hAnsi="Times New Roman"/>
          <w:bCs/>
        </w:rPr>
        <w:t>mica</w:t>
      </w:r>
      <w:r>
        <w:rPr>
          <w:rFonts w:ascii="Times New Roman" w:hAnsi="Times New Roman"/>
          <w:bCs/>
        </w:rPr>
        <w:t>s</w:t>
      </w:r>
      <w:r w:rsidRPr="00BF1B50">
        <w:rPr>
          <w:rFonts w:ascii="Times New Roman" w:hAnsi="Times New Roman"/>
          <w:bCs/>
        </w:rPr>
        <w:t>.</w:t>
      </w:r>
      <w:r>
        <w:rPr>
          <w:rFonts w:ascii="Times New Roman" w:hAnsi="Times New Roman"/>
          <w:bCs/>
        </w:rPr>
        <w:t xml:space="preserve"> Más del 90% de las unidades económicas en la Entidad son microempresas, mismas que </w:t>
      </w:r>
      <w:r w:rsidRPr="00BF1B50">
        <w:rPr>
          <w:rFonts w:ascii="Times New Roman" w:hAnsi="Times New Roman"/>
          <w:bCs/>
        </w:rPr>
        <w:t>generan el</w:t>
      </w:r>
      <w:r>
        <w:rPr>
          <w:rFonts w:ascii="Times New Roman" w:hAnsi="Times New Roman"/>
          <w:bCs/>
        </w:rPr>
        <w:t xml:space="preserve"> </w:t>
      </w:r>
      <w:r w:rsidR="003B68A8">
        <w:rPr>
          <w:rFonts w:ascii="Times New Roman" w:hAnsi="Times New Roman"/>
          <w:bCs/>
        </w:rPr>
        <w:t>64%</w:t>
      </w:r>
      <w:r>
        <w:rPr>
          <w:rFonts w:ascii="Times New Roman" w:hAnsi="Times New Roman"/>
          <w:bCs/>
        </w:rPr>
        <w:t xml:space="preserve"> </w:t>
      </w:r>
      <w:r w:rsidRPr="00BF1B50">
        <w:rPr>
          <w:rFonts w:ascii="Times New Roman" w:hAnsi="Times New Roman"/>
          <w:bCs/>
        </w:rPr>
        <w:t>de</w:t>
      </w:r>
      <w:r>
        <w:rPr>
          <w:rFonts w:ascii="Times New Roman" w:hAnsi="Times New Roman"/>
          <w:bCs/>
        </w:rPr>
        <w:t xml:space="preserve"> </w:t>
      </w:r>
      <w:r w:rsidRPr="00BF1B50">
        <w:rPr>
          <w:rFonts w:ascii="Times New Roman" w:hAnsi="Times New Roman"/>
          <w:bCs/>
        </w:rPr>
        <w:t>l</w:t>
      </w:r>
      <w:r>
        <w:rPr>
          <w:rFonts w:ascii="Times New Roman" w:hAnsi="Times New Roman"/>
          <w:bCs/>
        </w:rPr>
        <w:t>os</w:t>
      </w:r>
      <w:r w:rsidRPr="00BF1B50">
        <w:rPr>
          <w:rFonts w:ascii="Times New Roman" w:hAnsi="Times New Roman"/>
          <w:bCs/>
        </w:rPr>
        <w:t xml:space="preserve"> empleo</w:t>
      </w:r>
      <w:r>
        <w:rPr>
          <w:rFonts w:ascii="Times New Roman" w:hAnsi="Times New Roman"/>
          <w:bCs/>
        </w:rPr>
        <w:t>s</w:t>
      </w:r>
      <w:r w:rsidRPr="00BF1B50">
        <w:rPr>
          <w:rFonts w:ascii="Times New Roman" w:hAnsi="Times New Roman"/>
          <w:bCs/>
        </w:rPr>
        <w:t xml:space="preserve"> </w:t>
      </w:r>
      <w:r>
        <w:rPr>
          <w:rFonts w:ascii="Times New Roman" w:hAnsi="Times New Roman"/>
          <w:bCs/>
        </w:rPr>
        <w:t xml:space="preserve">creados </w:t>
      </w:r>
      <w:r w:rsidRPr="00BF1B50">
        <w:rPr>
          <w:rFonts w:ascii="Times New Roman" w:hAnsi="Times New Roman"/>
          <w:bCs/>
        </w:rPr>
        <w:t>en el sector privado</w:t>
      </w:r>
      <w:r>
        <w:rPr>
          <w:rFonts w:ascii="Times New Roman" w:hAnsi="Times New Roman"/>
          <w:bCs/>
        </w:rPr>
        <w:t xml:space="preserve">, demostrando avances significativos en la </w:t>
      </w:r>
      <w:r w:rsidRPr="00BF1B50">
        <w:rPr>
          <w:rFonts w:ascii="Times New Roman" w:hAnsi="Times New Roman"/>
          <w:bCs/>
        </w:rPr>
        <w:t>mejora regulatoria</w:t>
      </w:r>
      <w:r>
        <w:rPr>
          <w:rFonts w:ascii="Times New Roman" w:hAnsi="Times New Roman"/>
          <w:bCs/>
        </w:rPr>
        <w:t xml:space="preserve"> para apoyar </w:t>
      </w:r>
      <w:r w:rsidRPr="00BF1B50">
        <w:rPr>
          <w:rFonts w:ascii="Times New Roman" w:hAnsi="Times New Roman"/>
          <w:bCs/>
        </w:rPr>
        <w:t>a</w:t>
      </w:r>
      <w:r>
        <w:rPr>
          <w:rFonts w:ascii="Times New Roman" w:hAnsi="Times New Roman"/>
          <w:bCs/>
        </w:rPr>
        <w:t xml:space="preserve">l </w:t>
      </w:r>
      <w:proofErr w:type="spellStart"/>
      <w:r w:rsidRPr="00BF1B50">
        <w:rPr>
          <w:rFonts w:ascii="Times New Roman" w:hAnsi="Times New Roman"/>
          <w:bCs/>
        </w:rPr>
        <w:t>emprended</w:t>
      </w:r>
      <w:r>
        <w:rPr>
          <w:rFonts w:ascii="Times New Roman" w:hAnsi="Times New Roman"/>
          <w:bCs/>
        </w:rPr>
        <w:t>urismo</w:t>
      </w:r>
      <w:proofErr w:type="spellEnd"/>
      <w:r w:rsidRPr="00BF1B50">
        <w:rPr>
          <w:rFonts w:ascii="Times New Roman" w:hAnsi="Times New Roman"/>
          <w:bCs/>
        </w:rPr>
        <w:t xml:space="preserve"> </w:t>
      </w:r>
      <w:r>
        <w:rPr>
          <w:rFonts w:ascii="Times New Roman" w:hAnsi="Times New Roman"/>
          <w:bCs/>
        </w:rPr>
        <w:t>que redunda de forma directa en</w:t>
      </w:r>
      <w:r w:rsidRPr="00BF1B50">
        <w:rPr>
          <w:rFonts w:ascii="Times New Roman" w:hAnsi="Times New Roman"/>
          <w:bCs/>
        </w:rPr>
        <w:t xml:space="preserve"> el bienestar de </w:t>
      </w:r>
      <w:r>
        <w:rPr>
          <w:rFonts w:ascii="Times New Roman" w:hAnsi="Times New Roman"/>
          <w:bCs/>
        </w:rPr>
        <w:t xml:space="preserve">las </w:t>
      </w:r>
      <w:r w:rsidRPr="00BF1B50">
        <w:rPr>
          <w:rFonts w:ascii="Times New Roman" w:hAnsi="Times New Roman"/>
          <w:bCs/>
        </w:rPr>
        <w:t>familias</w:t>
      </w:r>
      <w:r>
        <w:rPr>
          <w:rFonts w:ascii="Times New Roman" w:hAnsi="Times New Roman"/>
          <w:bCs/>
        </w:rPr>
        <w:t xml:space="preserve"> tlaxcaltecas</w:t>
      </w:r>
      <w:r w:rsidRPr="00BF1B50">
        <w:rPr>
          <w:rFonts w:ascii="Times New Roman" w:hAnsi="Times New Roman"/>
          <w:bCs/>
        </w:rPr>
        <w:t>.</w:t>
      </w:r>
    </w:p>
    <w:p w14:paraId="5CEADDD7" w14:textId="77777777" w:rsidR="005364CA" w:rsidRDefault="005364CA" w:rsidP="005364CA">
      <w:pPr>
        <w:pStyle w:val="PRIMERAPLANA"/>
        <w:spacing w:line="360" w:lineRule="auto"/>
        <w:rPr>
          <w:rFonts w:ascii="Times New Roman" w:hAnsi="Times New Roman"/>
          <w:bCs/>
        </w:rPr>
      </w:pPr>
    </w:p>
    <w:p w14:paraId="394D7A57" w14:textId="77777777" w:rsidR="005364CA" w:rsidRDefault="005364CA" w:rsidP="005364CA">
      <w:pPr>
        <w:pStyle w:val="PRIMERAPLANA"/>
        <w:spacing w:line="360" w:lineRule="auto"/>
        <w:rPr>
          <w:rFonts w:ascii="Times New Roman" w:hAnsi="Times New Roman"/>
          <w:bCs/>
        </w:rPr>
      </w:pPr>
      <w:r>
        <w:rPr>
          <w:rFonts w:ascii="Times New Roman" w:hAnsi="Times New Roman"/>
          <w:bCs/>
        </w:rPr>
        <w:t>E</w:t>
      </w:r>
      <w:r w:rsidRPr="00BF1B50">
        <w:rPr>
          <w:rFonts w:ascii="Times New Roman" w:hAnsi="Times New Roman"/>
          <w:bCs/>
        </w:rPr>
        <w:t>l Sistema de Apertura Rápida de Empresas (SARE)</w:t>
      </w:r>
      <w:r>
        <w:rPr>
          <w:rFonts w:ascii="Times New Roman" w:hAnsi="Times New Roman"/>
          <w:bCs/>
        </w:rPr>
        <w:t>,</w:t>
      </w:r>
      <w:r w:rsidRPr="003271E4">
        <w:rPr>
          <w:rFonts w:ascii="Times New Roman" w:hAnsi="Times New Roman"/>
          <w:bCs/>
        </w:rPr>
        <w:t xml:space="preserve"> </w:t>
      </w:r>
      <w:r>
        <w:rPr>
          <w:rFonts w:ascii="Times New Roman" w:hAnsi="Times New Roman"/>
          <w:bCs/>
        </w:rPr>
        <w:t>promovido</w:t>
      </w:r>
      <w:r w:rsidRPr="00BF1B50">
        <w:rPr>
          <w:rFonts w:ascii="Times New Roman" w:hAnsi="Times New Roman"/>
          <w:bCs/>
        </w:rPr>
        <w:t xml:space="preserve"> </w:t>
      </w:r>
      <w:r>
        <w:rPr>
          <w:rFonts w:ascii="Times New Roman" w:hAnsi="Times New Roman"/>
          <w:bCs/>
        </w:rPr>
        <w:t>a través de</w:t>
      </w:r>
      <w:r w:rsidRPr="00BF1B50">
        <w:rPr>
          <w:rFonts w:ascii="Times New Roman" w:hAnsi="Times New Roman"/>
          <w:bCs/>
        </w:rPr>
        <w:t xml:space="preserve"> la</w:t>
      </w:r>
      <w:r>
        <w:rPr>
          <w:rFonts w:ascii="Times New Roman" w:hAnsi="Times New Roman"/>
          <w:bCs/>
        </w:rPr>
        <w:t xml:space="preserve"> </w:t>
      </w:r>
      <w:r w:rsidRPr="00BF1B50">
        <w:rPr>
          <w:rFonts w:ascii="Times New Roman" w:hAnsi="Times New Roman"/>
          <w:bCs/>
        </w:rPr>
        <w:t>Secretaría de Desarrollo Económico (SEDECO),</w:t>
      </w:r>
      <w:r>
        <w:rPr>
          <w:rFonts w:ascii="Times New Roman" w:hAnsi="Times New Roman"/>
          <w:bCs/>
        </w:rPr>
        <w:t xml:space="preserve"> y que a la fecha cuenta con 22 ventanillas certificadas,</w:t>
      </w:r>
      <w:r w:rsidRPr="00BF1B50">
        <w:rPr>
          <w:rFonts w:ascii="Times New Roman" w:hAnsi="Times New Roman"/>
          <w:bCs/>
        </w:rPr>
        <w:t xml:space="preserve"> facilit</w:t>
      </w:r>
      <w:r>
        <w:rPr>
          <w:rFonts w:ascii="Times New Roman" w:hAnsi="Times New Roman"/>
          <w:bCs/>
        </w:rPr>
        <w:t>ó</w:t>
      </w:r>
      <w:r w:rsidRPr="00BF1B50">
        <w:rPr>
          <w:rFonts w:ascii="Times New Roman" w:hAnsi="Times New Roman"/>
          <w:bCs/>
        </w:rPr>
        <w:t xml:space="preserve"> el </w:t>
      </w:r>
      <w:r>
        <w:rPr>
          <w:rFonts w:ascii="Times New Roman" w:hAnsi="Times New Roman"/>
          <w:bCs/>
        </w:rPr>
        <w:t>establecimiento</w:t>
      </w:r>
      <w:r w:rsidRPr="00BF1B50">
        <w:rPr>
          <w:rFonts w:ascii="Times New Roman" w:hAnsi="Times New Roman"/>
          <w:bCs/>
        </w:rPr>
        <w:t xml:space="preserve"> de negocios en </w:t>
      </w:r>
      <w:r>
        <w:rPr>
          <w:rFonts w:ascii="Times New Roman" w:hAnsi="Times New Roman"/>
          <w:bCs/>
        </w:rPr>
        <w:t xml:space="preserve">diversas comunidades de </w:t>
      </w:r>
      <w:r w:rsidRPr="00BF1B50">
        <w:rPr>
          <w:rFonts w:ascii="Times New Roman" w:hAnsi="Times New Roman"/>
          <w:bCs/>
        </w:rPr>
        <w:t>l</w:t>
      </w:r>
      <w:r>
        <w:rPr>
          <w:rFonts w:ascii="Times New Roman" w:hAnsi="Times New Roman"/>
          <w:bCs/>
        </w:rPr>
        <w:t>o</w:t>
      </w:r>
      <w:r w:rsidRPr="00BF1B50">
        <w:rPr>
          <w:rFonts w:ascii="Times New Roman" w:hAnsi="Times New Roman"/>
          <w:bCs/>
        </w:rPr>
        <w:t xml:space="preserve">s </w:t>
      </w:r>
      <w:r>
        <w:rPr>
          <w:rFonts w:ascii="Times New Roman" w:hAnsi="Times New Roman"/>
          <w:bCs/>
        </w:rPr>
        <w:t>municipios del Estado</w:t>
      </w:r>
      <w:r w:rsidRPr="00BF1B50">
        <w:rPr>
          <w:rFonts w:ascii="Times New Roman" w:hAnsi="Times New Roman"/>
          <w:bCs/>
        </w:rPr>
        <w:t>,</w:t>
      </w:r>
      <w:r>
        <w:rPr>
          <w:rFonts w:ascii="Times New Roman" w:hAnsi="Times New Roman"/>
          <w:bCs/>
        </w:rPr>
        <w:t xml:space="preserve"> ya que ha disminuido la necesidad de </w:t>
      </w:r>
      <w:r w:rsidRPr="00BF1B50">
        <w:rPr>
          <w:rFonts w:ascii="Times New Roman" w:hAnsi="Times New Roman"/>
          <w:bCs/>
        </w:rPr>
        <w:t xml:space="preserve">traslados y </w:t>
      </w:r>
      <w:r>
        <w:rPr>
          <w:rFonts w:ascii="Times New Roman" w:hAnsi="Times New Roman"/>
          <w:bCs/>
        </w:rPr>
        <w:t xml:space="preserve">la eliminación de trámites </w:t>
      </w:r>
      <w:r w:rsidRPr="00BF1B50">
        <w:rPr>
          <w:rFonts w:ascii="Times New Roman" w:hAnsi="Times New Roman"/>
          <w:bCs/>
        </w:rPr>
        <w:t>burocr</w:t>
      </w:r>
      <w:r>
        <w:rPr>
          <w:rFonts w:ascii="Times New Roman" w:hAnsi="Times New Roman"/>
          <w:bCs/>
        </w:rPr>
        <w:t>áticos</w:t>
      </w:r>
      <w:r w:rsidRPr="00BF1B50">
        <w:rPr>
          <w:rFonts w:ascii="Times New Roman" w:hAnsi="Times New Roman"/>
          <w:bCs/>
        </w:rPr>
        <w:t xml:space="preserve">, </w:t>
      </w:r>
      <w:r>
        <w:rPr>
          <w:rFonts w:ascii="Times New Roman" w:hAnsi="Times New Roman"/>
          <w:bCs/>
        </w:rPr>
        <w:t xml:space="preserve">permitiendo </w:t>
      </w:r>
      <w:r w:rsidRPr="00BF1B50">
        <w:rPr>
          <w:rFonts w:ascii="Times New Roman" w:hAnsi="Times New Roman"/>
          <w:bCs/>
        </w:rPr>
        <w:t>posiciona</w:t>
      </w:r>
      <w:r>
        <w:rPr>
          <w:rFonts w:ascii="Times New Roman" w:hAnsi="Times New Roman"/>
          <w:bCs/>
        </w:rPr>
        <w:t>r</w:t>
      </w:r>
      <w:r w:rsidRPr="00BF1B50">
        <w:rPr>
          <w:rFonts w:ascii="Times New Roman" w:hAnsi="Times New Roman"/>
          <w:bCs/>
        </w:rPr>
        <w:t xml:space="preserve"> a Tlaxcala como un destino confiable para la inversión</w:t>
      </w:r>
      <w:r>
        <w:rPr>
          <w:rFonts w:ascii="Times New Roman" w:hAnsi="Times New Roman"/>
          <w:bCs/>
        </w:rPr>
        <w:t xml:space="preserve"> nacional y extranjera</w:t>
      </w:r>
      <w:r w:rsidRPr="00BF1B50">
        <w:rPr>
          <w:rFonts w:ascii="Times New Roman" w:hAnsi="Times New Roman"/>
          <w:bCs/>
        </w:rPr>
        <w:t>.</w:t>
      </w:r>
    </w:p>
    <w:p w14:paraId="6C5B3165" w14:textId="77777777" w:rsidR="005364CA" w:rsidRDefault="005364CA" w:rsidP="005364CA">
      <w:pPr>
        <w:pStyle w:val="PRIMERAPLANA"/>
        <w:spacing w:line="360" w:lineRule="auto"/>
        <w:rPr>
          <w:rFonts w:ascii="Times New Roman" w:hAnsi="Times New Roman"/>
          <w:bCs/>
        </w:rPr>
      </w:pPr>
    </w:p>
    <w:p w14:paraId="0182EF13" w14:textId="4A5DCA47" w:rsidR="005364CA" w:rsidRPr="009134B9" w:rsidRDefault="005364CA" w:rsidP="005364CA">
      <w:pPr>
        <w:pStyle w:val="PRIMERAPLANA"/>
        <w:spacing w:line="360" w:lineRule="auto"/>
        <w:rPr>
          <w:rFonts w:ascii="Times New Roman" w:hAnsi="Times New Roman"/>
          <w:bCs/>
        </w:rPr>
      </w:pPr>
      <w:r>
        <w:rPr>
          <w:rFonts w:ascii="Times New Roman" w:hAnsi="Times New Roman"/>
          <w:bCs/>
        </w:rPr>
        <w:t>A</w:t>
      </w:r>
      <w:r w:rsidRPr="00D3764E">
        <w:rPr>
          <w:rFonts w:ascii="Times New Roman" w:hAnsi="Times New Roman"/>
          <w:bCs/>
        </w:rPr>
        <w:t>ctualmente 22 países invierten en la entidad, lo que ha contribuido a la consolidación de 39 nuevas inversiones y 33 expansiones empresariales, lo que ha generado una derrama superior a 20 mil millones de pesos en capital privado.</w:t>
      </w:r>
      <w:r w:rsidRPr="009134B9">
        <w:rPr>
          <w:rFonts w:ascii="Times New Roman" w:hAnsi="Times New Roman"/>
          <w:bCs/>
        </w:rPr>
        <w:t xml:space="preserve"> En 2024, el estado captó 94.2 millones de dólares en IED, lo que refleja la confianza de los inversionistas internacionales en el potencial económico de la entidad. Esta inversión proviene de diversos países, entre los que se incluyen Alemania, España, Estados Unidos, Argentina, Australia, Bélgica, Brasil, India, Japón, Países Bajos, Reino Unido y Suecia.</w:t>
      </w:r>
    </w:p>
    <w:p w14:paraId="171A574A" w14:textId="77777777" w:rsidR="005364CA" w:rsidRPr="009134B9" w:rsidRDefault="005364CA" w:rsidP="005364CA">
      <w:pPr>
        <w:pStyle w:val="PRIMERAPLANA"/>
        <w:spacing w:line="360" w:lineRule="auto"/>
        <w:rPr>
          <w:rFonts w:ascii="Times New Roman" w:hAnsi="Times New Roman"/>
          <w:bCs/>
        </w:rPr>
      </w:pPr>
    </w:p>
    <w:p w14:paraId="68936BE0" w14:textId="77777777" w:rsidR="005364CA" w:rsidRDefault="005364CA" w:rsidP="005364CA">
      <w:pPr>
        <w:pStyle w:val="PRIMERAPLANA"/>
        <w:spacing w:line="360" w:lineRule="auto"/>
        <w:rPr>
          <w:rFonts w:ascii="Times New Roman" w:hAnsi="Times New Roman"/>
          <w:bCs/>
        </w:rPr>
      </w:pPr>
      <w:r w:rsidRPr="009134B9">
        <w:rPr>
          <w:rFonts w:ascii="Times New Roman" w:hAnsi="Times New Roman"/>
          <w:bCs/>
        </w:rPr>
        <w:t xml:space="preserve">La participación de inversionistas extranjeros en la Entidad contribuye a la generación de nuevos empleos, al desarrollo local y a la captación de divisas que refuerzan la actividad económica de </w:t>
      </w:r>
      <w:r w:rsidRPr="009134B9">
        <w:rPr>
          <w:rFonts w:ascii="Times New Roman" w:hAnsi="Times New Roman"/>
          <w:bCs/>
        </w:rPr>
        <w:lastRenderedPageBreak/>
        <w:t>Tlaxcala</w:t>
      </w:r>
      <w:r>
        <w:rPr>
          <w:rFonts w:ascii="Times New Roman" w:hAnsi="Times New Roman"/>
          <w:bCs/>
        </w:rPr>
        <w:t>;</w:t>
      </w:r>
      <w:r w:rsidRPr="009134B9">
        <w:rPr>
          <w:rFonts w:ascii="Times New Roman" w:hAnsi="Times New Roman"/>
          <w:bCs/>
        </w:rPr>
        <w:t xml:space="preserve"> </w:t>
      </w:r>
      <w:r w:rsidRPr="00BF1B50">
        <w:rPr>
          <w:rFonts w:ascii="Times New Roman" w:hAnsi="Times New Roman"/>
          <w:bCs/>
        </w:rPr>
        <w:t>alcanza</w:t>
      </w:r>
      <w:r>
        <w:rPr>
          <w:rFonts w:ascii="Times New Roman" w:hAnsi="Times New Roman"/>
          <w:bCs/>
        </w:rPr>
        <w:t>n</w:t>
      </w:r>
      <w:r w:rsidRPr="00BF1B50">
        <w:rPr>
          <w:rFonts w:ascii="Times New Roman" w:hAnsi="Times New Roman"/>
          <w:bCs/>
        </w:rPr>
        <w:t>do la</w:t>
      </w:r>
      <w:r>
        <w:rPr>
          <w:rFonts w:ascii="Times New Roman" w:hAnsi="Times New Roman"/>
          <w:bCs/>
        </w:rPr>
        <w:t xml:space="preserve"> </w:t>
      </w:r>
      <w:r w:rsidRPr="00BF1B50">
        <w:rPr>
          <w:rFonts w:ascii="Times New Roman" w:hAnsi="Times New Roman"/>
          <w:bCs/>
        </w:rPr>
        <w:t>cifra histórica de 118 mil 587 empleos formales</w:t>
      </w:r>
      <w:r>
        <w:rPr>
          <w:rFonts w:ascii="Times New Roman" w:hAnsi="Times New Roman"/>
          <w:bCs/>
        </w:rPr>
        <w:t xml:space="preserve"> generados</w:t>
      </w:r>
      <w:r w:rsidRPr="00BF1B50">
        <w:rPr>
          <w:rFonts w:ascii="Times New Roman" w:hAnsi="Times New Roman"/>
          <w:bCs/>
        </w:rPr>
        <w:t>.</w:t>
      </w:r>
      <w:r w:rsidRPr="009134B9">
        <w:rPr>
          <w:rFonts w:ascii="Times New Roman" w:hAnsi="Times New Roman"/>
          <w:bCs/>
        </w:rPr>
        <w:t xml:space="preserve"> A pesar de los retos que aún enfrenta la industria de Tlaxcala, especialmente en sectores como la construcción y las industrias manufactureras, el incremento en la actividad industrial refleja una recuperación parcial y un entorno económico en avance.</w:t>
      </w:r>
      <w:r>
        <w:rPr>
          <w:rFonts w:ascii="Times New Roman" w:hAnsi="Times New Roman"/>
          <w:bCs/>
        </w:rPr>
        <w:t xml:space="preserve"> </w:t>
      </w:r>
      <w:r w:rsidRPr="00BF1B50">
        <w:rPr>
          <w:rFonts w:ascii="Times New Roman" w:hAnsi="Times New Roman"/>
          <w:bCs/>
        </w:rPr>
        <w:t>Este impulso también ha mejorado las condiciones laborales</w:t>
      </w:r>
      <w:r>
        <w:rPr>
          <w:rFonts w:ascii="Times New Roman" w:hAnsi="Times New Roman"/>
          <w:bCs/>
        </w:rPr>
        <w:t xml:space="preserve"> de los trabajadores, ya que la </w:t>
      </w:r>
      <w:r w:rsidRPr="00BF1B50">
        <w:rPr>
          <w:rFonts w:ascii="Times New Roman" w:hAnsi="Times New Roman"/>
          <w:bCs/>
        </w:rPr>
        <w:t>remuneración promedio anual</w:t>
      </w:r>
      <w:r>
        <w:rPr>
          <w:rFonts w:ascii="Times New Roman" w:hAnsi="Times New Roman"/>
          <w:bCs/>
        </w:rPr>
        <w:t xml:space="preserve"> </w:t>
      </w:r>
      <w:r w:rsidRPr="00BF1B50">
        <w:rPr>
          <w:rFonts w:ascii="Times New Roman" w:hAnsi="Times New Roman"/>
          <w:bCs/>
        </w:rPr>
        <w:t>pasó de</w:t>
      </w:r>
      <w:r>
        <w:rPr>
          <w:rFonts w:ascii="Times New Roman" w:hAnsi="Times New Roman"/>
          <w:bCs/>
        </w:rPr>
        <w:t xml:space="preserve"> </w:t>
      </w:r>
      <w:r w:rsidRPr="00BF1B50">
        <w:rPr>
          <w:rFonts w:ascii="Times New Roman" w:hAnsi="Times New Roman"/>
          <w:bCs/>
        </w:rPr>
        <w:t>124 mil 468 pesos en 2018</w:t>
      </w:r>
      <w:r>
        <w:rPr>
          <w:rFonts w:ascii="Times New Roman" w:hAnsi="Times New Roman"/>
          <w:bCs/>
        </w:rPr>
        <w:t xml:space="preserve"> </w:t>
      </w:r>
      <w:r w:rsidRPr="00BF1B50">
        <w:rPr>
          <w:rFonts w:ascii="Times New Roman" w:hAnsi="Times New Roman"/>
          <w:bCs/>
        </w:rPr>
        <w:t>a</w:t>
      </w:r>
      <w:r>
        <w:rPr>
          <w:rFonts w:ascii="Times New Roman" w:hAnsi="Times New Roman"/>
          <w:bCs/>
        </w:rPr>
        <w:t xml:space="preserve"> </w:t>
      </w:r>
      <w:r w:rsidRPr="00BF1B50">
        <w:rPr>
          <w:rFonts w:ascii="Times New Roman" w:hAnsi="Times New Roman"/>
          <w:bCs/>
        </w:rPr>
        <w:t>133 mil 738 pesos en 2023</w:t>
      </w:r>
      <w:r>
        <w:rPr>
          <w:rFonts w:ascii="Times New Roman" w:hAnsi="Times New Roman"/>
          <w:bCs/>
        </w:rPr>
        <w:t>; a</w:t>
      </w:r>
      <w:r w:rsidRPr="00BF1B50">
        <w:rPr>
          <w:rFonts w:ascii="Times New Roman" w:hAnsi="Times New Roman"/>
          <w:bCs/>
        </w:rPr>
        <w:t>simismo, el</w:t>
      </w:r>
      <w:r>
        <w:rPr>
          <w:rFonts w:ascii="Times New Roman" w:hAnsi="Times New Roman"/>
          <w:bCs/>
        </w:rPr>
        <w:t xml:space="preserve"> </w:t>
      </w:r>
      <w:r w:rsidRPr="00BF1B50">
        <w:rPr>
          <w:rFonts w:ascii="Times New Roman" w:hAnsi="Times New Roman"/>
          <w:bCs/>
        </w:rPr>
        <w:t>valor agregado censal bruto</w:t>
      </w:r>
      <w:r>
        <w:rPr>
          <w:rFonts w:ascii="Times New Roman" w:hAnsi="Times New Roman"/>
          <w:bCs/>
        </w:rPr>
        <w:t xml:space="preserve"> </w:t>
      </w:r>
      <w:r w:rsidRPr="00BF1B50">
        <w:rPr>
          <w:rFonts w:ascii="Times New Roman" w:hAnsi="Times New Roman"/>
          <w:bCs/>
        </w:rPr>
        <w:t>creció</w:t>
      </w:r>
      <w:r>
        <w:rPr>
          <w:rFonts w:ascii="Times New Roman" w:hAnsi="Times New Roman"/>
          <w:bCs/>
        </w:rPr>
        <w:t xml:space="preserve"> </w:t>
      </w:r>
      <w:r w:rsidRPr="00BF1B50">
        <w:rPr>
          <w:rFonts w:ascii="Times New Roman" w:hAnsi="Times New Roman"/>
          <w:bCs/>
        </w:rPr>
        <w:t xml:space="preserve">4.6%, </w:t>
      </w:r>
      <w:r>
        <w:rPr>
          <w:rFonts w:ascii="Times New Roman" w:hAnsi="Times New Roman"/>
          <w:bCs/>
        </w:rPr>
        <w:t xml:space="preserve">para ubicarse en más de </w:t>
      </w:r>
      <w:r w:rsidRPr="00BF1B50">
        <w:rPr>
          <w:rFonts w:ascii="Times New Roman" w:hAnsi="Times New Roman"/>
          <w:bCs/>
        </w:rPr>
        <w:t>80 mil millones de pesos.</w:t>
      </w:r>
    </w:p>
    <w:p w14:paraId="7A9E6C57" w14:textId="77777777" w:rsidR="005364CA" w:rsidRDefault="005364CA" w:rsidP="005364CA">
      <w:pPr>
        <w:pStyle w:val="PRIMERAPLANA"/>
        <w:spacing w:line="360" w:lineRule="auto"/>
        <w:rPr>
          <w:rFonts w:ascii="Times New Roman" w:hAnsi="Times New Roman"/>
          <w:bCs/>
        </w:rPr>
      </w:pPr>
    </w:p>
    <w:p w14:paraId="2AAF46C9" w14:textId="77777777" w:rsidR="005364CA" w:rsidRPr="00BF1B50" w:rsidRDefault="005364CA" w:rsidP="005364CA">
      <w:pPr>
        <w:pStyle w:val="PRIMERAPLANA"/>
        <w:spacing w:line="360" w:lineRule="auto"/>
        <w:rPr>
          <w:rFonts w:ascii="Times New Roman" w:hAnsi="Times New Roman"/>
          <w:bCs/>
        </w:rPr>
      </w:pPr>
      <w:r w:rsidRPr="00BF1B50">
        <w:rPr>
          <w:rFonts w:ascii="Times New Roman" w:hAnsi="Times New Roman"/>
          <w:bCs/>
        </w:rPr>
        <w:t>E</w:t>
      </w:r>
      <w:r>
        <w:rPr>
          <w:rFonts w:ascii="Times New Roman" w:hAnsi="Times New Roman"/>
          <w:bCs/>
        </w:rPr>
        <w:t>s de resaltar que e</w:t>
      </w:r>
      <w:r w:rsidRPr="00BF1B50">
        <w:rPr>
          <w:rFonts w:ascii="Times New Roman" w:hAnsi="Times New Roman"/>
          <w:bCs/>
        </w:rPr>
        <w:t xml:space="preserve">l </w:t>
      </w:r>
      <w:r>
        <w:rPr>
          <w:rFonts w:ascii="Times New Roman" w:hAnsi="Times New Roman"/>
          <w:bCs/>
        </w:rPr>
        <w:t>E</w:t>
      </w:r>
      <w:r w:rsidRPr="00BF1B50">
        <w:rPr>
          <w:rFonts w:ascii="Times New Roman" w:hAnsi="Times New Roman"/>
          <w:bCs/>
        </w:rPr>
        <w:t>stado avanzó</w:t>
      </w:r>
      <w:r>
        <w:rPr>
          <w:rFonts w:ascii="Times New Roman" w:hAnsi="Times New Roman"/>
          <w:bCs/>
        </w:rPr>
        <w:t xml:space="preserve"> </w:t>
      </w:r>
      <w:r w:rsidRPr="00BF1B50">
        <w:rPr>
          <w:rFonts w:ascii="Times New Roman" w:hAnsi="Times New Roman"/>
          <w:bCs/>
        </w:rPr>
        <w:t>seis lugares en el Índice de Competitividad Estatal 2025, elaborado por el</w:t>
      </w:r>
      <w:r>
        <w:rPr>
          <w:rFonts w:ascii="Times New Roman" w:hAnsi="Times New Roman"/>
          <w:bCs/>
        </w:rPr>
        <w:t xml:space="preserve"> Instituto Mexicano para la Competitividad A.C. (</w:t>
      </w:r>
      <w:r w:rsidRPr="00BF1B50">
        <w:rPr>
          <w:rFonts w:ascii="Times New Roman" w:hAnsi="Times New Roman"/>
          <w:bCs/>
        </w:rPr>
        <w:t>IMCO</w:t>
      </w:r>
      <w:r>
        <w:rPr>
          <w:rFonts w:ascii="Times New Roman" w:hAnsi="Times New Roman"/>
          <w:bCs/>
        </w:rPr>
        <w:t>). Asimismo</w:t>
      </w:r>
      <w:r w:rsidRPr="00BF1B50">
        <w:rPr>
          <w:rFonts w:ascii="Times New Roman" w:hAnsi="Times New Roman"/>
          <w:bCs/>
        </w:rPr>
        <w:t>, se</w:t>
      </w:r>
      <w:r>
        <w:rPr>
          <w:rFonts w:ascii="Times New Roman" w:hAnsi="Times New Roman"/>
          <w:bCs/>
        </w:rPr>
        <w:t xml:space="preserve"> con</w:t>
      </w:r>
      <w:r w:rsidRPr="00BF1B50">
        <w:rPr>
          <w:rFonts w:ascii="Times New Roman" w:hAnsi="Times New Roman"/>
          <w:bCs/>
        </w:rPr>
        <w:t>solid</w:t>
      </w:r>
      <w:r>
        <w:rPr>
          <w:rFonts w:ascii="Times New Roman" w:hAnsi="Times New Roman"/>
          <w:bCs/>
        </w:rPr>
        <w:t>ó</w:t>
      </w:r>
      <w:r w:rsidRPr="00BF1B50">
        <w:rPr>
          <w:rFonts w:ascii="Times New Roman" w:hAnsi="Times New Roman"/>
          <w:bCs/>
        </w:rPr>
        <w:t xml:space="preserve"> la</w:t>
      </w:r>
      <w:r>
        <w:rPr>
          <w:rFonts w:ascii="Times New Roman" w:hAnsi="Times New Roman"/>
          <w:bCs/>
        </w:rPr>
        <w:t xml:space="preserve"> </w:t>
      </w:r>
      <w:r w:rsidRPr="00BF1B50">
        <w:rPr>
          <w:rFonts w:ascii="Times New Roman" w:hAnsi="Times New Roman"/>
          <w:bCs/>
        </w:rPr>
        <w:t xml:space="preserve">marca “Hecho en Tlaxcala”, </w:t>
      </w:r>
      <w:r>
        <w:rPr>
          <w:rFonts w:ascii="Times New Roman" w:hAnsi="Times New Roman"/>
          <w:bCs/>
        </w:rPr>
        <w:t>dando</w:t>
      </w:r>
      <w:r w:rsidRPr="00BF1B50">
        <w:rPr>
          <w:rFonts w:ascii="Times New Roman" w:hAnsi="Times New Roman"/>
          <w:bCs/>
        </w:rPr>
        <w:t xml:space="preserve"> proyección nacional a micro y pequeñas empresas locales, </w:t>
      </w:r>
      <w:r>
        <w:rPr>
          <w:rFonts w:ascii="Times New Roman" w:hAnsi="Times New Roman"/>
          <w:bCs/>
        </w:rPr>
        <w:t xml:space="preserve">permitiendo ubicar sus productos </w:t>
      </w:r>
      <w:r w:rsidRPr="00BF1B50">
        <w:rPr>
          <w:rFonts w:ascii="Times New Roman" w:hAnsi="Times New Roman"/>
          <w:bCs/>
        </w:rPr>
        <w:t>en tiendas de conveniencia y autoservicio.</w:t>
      </w:r>
    </w:p>
    <w:p w14:paraId="213B4631" w14:textId="77777777" w:rsidR="005364CA" w:rsidRDefault="005364CA" w:rsidP="005364CA">
      <w:pPr>
        <w:pStyle w:val="PRIMERAPLANA"/>
        <w:spacing w:line="360" w:lineRule="auto"/>
        <w:rPr>
          <w:rFonts w:ascii="Times New Roman" w:hAnsi="Times New Roman"/>
          <w:bCs/>
        </w:rPr>
      </w:pPr>
    </w:p>
    <w:p w14:paraId="7A008FFA" w14:textId="77777777" w:rsidR="005364CA" w:rsidRDefault="005364CA" w:rsidP="005364CA">
      <w:pPr>
        <w:pStyle w:val="PRIMERAPLANA"/>
        <w:spacing w:line="360" w:lineRule="auto"/>
        <w:rPr>
          <w:rFonts w:ascii="Times New Roman" w:hAnsi="Times New Roman"/>
          <w:bCs/>
        </w:rPr>
      </w:pPr>
      <w:r w:rsidRPr="00BF1B50">
        <w:rPr>
          <w:rFonts w:ascii="Times New Roman" w:hAnsi="Times New Roman"/>
          <w:bCs/>
        </w:rPr>
        <w:t>El</w:t>
      </w:r>
      <w:r>
        <w:rPr>
          <w:rFonts w:ascii="Times New Roman" w:hAnsi="Times New Roman"/>
          <w:bCs/>
        </w:rPr>
        <w:t xml:space="preserve"> </w:t>
      </w:r>
      <w:r w:rsidRPr="00BF1B50">
        <w:rPr>
          <w:rFonts w:ascii="Times New Roman" w:hAnsi="Times New Roman"/>
          <w:bCs/>
        </w:rPr>
        <w:t xml:space="preserve">apoyo </w:t>
      </w:r>
      <w:r>
        <w:rPr>
          <w:rFonts w:ascii="Times New Roman" w:hAnsi="Times New Roman"/>
          <w:bCs/>
        </w:rPr>
        <w:t xml:space="preserve">efectivo </w:t>
      </w:r>
      <w:r w:rsidRPr="00BF1B50">
        <w:rPr>
          <w:rFonts w:ascii="Times New Roman" w:hAnsi="Times New Roman"/>
          <w:bCs/>
        </w:rPr>
        <w:t xml:space="preserve">al </w:t>
      </w:r>
      <w:proofErr w:type="spellStart"/>
      <w:r w:rsidRPr="00BF1B50">
        <w:rPr>
          <w:rFonts w:ascii="Times New Roman" w:hAnsi="Times New Roman"/>
          <w:bCs/>
        </w:rPr>
        <w:t>emprend</w:t>
      </w:r>
      <w:r>
        <w:rPr>
          <w:rFonts w:ascii="Times New Roman" w:hAnsi="Times New Roman"/>
          <w:bCs/>
        </w:rPr>
        <w:t>edurismo</w:t>
      </w:r>
      <w:proofErr w:type="spellEnd"/>
      <w:r>
        <w:rPr>
          <w:rFonts w:ascii="Times New Roman" w:hAnsi="Times New Roman"/>
          <w:bCs/>
        </w:rPr>
        <w:t xml:space="preserve"> por parte del</w:t>
      </w:r>
      <w:r w:rsidRPr="00BF1B50">
        <w:rPr>
          <w:rFonts w:ascii="Times New Roman" w:hAnsi="Times New Roman"/>
          <w:bCs/>
        </w:rPr>
        <w:t xml:space="preserve"> gobierno estatal</w:t>
      </w:r>
      <w:r>
        <w:rPr>
          <w:rFonts w:ascii="Times New Roman" w:hAnsi="Times New Roman"/>
          <w:bCs/>
        </w:rPr>
        <w:t xml:space="preserve">, se ha traducido en </w:t>
      </w:r>
      <w:r w:rsidRPr="00BF1B50">
        <w:rPr>
          <w:rFonts w:ascii="Times New Roman" w:hAnsi="Times New Roman"/>
          <w:bCs/>
        </w:rPr>
        <w:t>más de</w:t>
      </w:r>
      <w:r>
        <w:rPr>
          <w:rFonts w:ascii="Times New Roman" w:hAnsi="Times New Roman"/>
          <w:bCs/>
        </w:rPr>
        <w:t xml:space="preserve"> </w:t>
      </w:r>
      <w:r w:rsidRPr="00BF1B50">
        <w:rPr>
          <w:rFonts w:ascii="Times New Roman" w:hAnsi="Times New Roman"/>
          <w:bCs/>
        </w:rPr>
        <w:t>1,500 millones de pesos</w:t>
      </w:r>
      <w:r>
        <w:rPr>
          <w:rFonts w:ascii="Times New Roman" w:hAnsi="Times New Roman"/>
          <w:bCs/>
        </w:rPr>
        <w:t xml:space="preserve">, destinados a </w:t>
      </w:r>
      <w:r w:rsidRPr="00BF1B50">
        <w:rPr>
          <w:rFonts w:ascii="Times New Roman" w:hAnsi="Times New Roman"/>
          <w:bCs/>
        </w:rPr>
        <w:t>microcréditos, financiamiento</w:t>
      </w:r>
      <w:r>
        <w:rPr>
          <w:rFonts w:ascii="Times New Roman" w:hAnsi="Times New Roman"/>
          <w:bCs/>
        </w:rPr>
        <w:t>s</w:t>
      </w:r>
      <w:r w:rsidRPr="00BF1B50">
        <w:rPr>
          <w:rFonts w:ascii="Times New Roman" w:hAnsi="Times New Roman"/>
          <w:bCs/>
        </w:rPr>
        <w:t xml:space="preserve"> y subsidios</w:t>
      </w:r>
      <w:r>
        <w:rPr>
          <w:rFonts w:ascii="Times New Roman" w:hAnsi="Times New Roman"/>
          <w:bCs/>
        </w:rPr>
        <w:t xml:space="preserve">, </w:t>
      </w:r>
      <w:r w:rsidRPr="00BF1B50">
        <w:rPr>
          <w:rFonts w:ascii="Times New Roman" w:hAnsi="Times New Roman"/>
          <w:bCs/>
        </w:rPr>
        <w:t>a través de</w:t>
      </w:r>
      <w:r>
        <w:rPr>
          <w:rFonts w:ascii="Times New Roman" w:hAnsi="Times New Roman"/>
          <w:bCs/>
        </w:rPr>
        <w:t xml:space="preserve"> diferentes Secretarías, tales como de Desarrollo Económico, de Impulso Agropecuario, de Bienestar, del Fondo Macro para el Desarrollo Integral de Tlaxcala</w:t>
      </w:r>
      <w:r w:rsidRPr="00BF1B50">
        <w:rPr>
          <w:rFonts w:ascii="Times New Roman" w:hAnsi="Times New Roman"/>
          <w:bCs/>
        </w:rPr>
        <w:t xml:space="preserve"> </w:t>
      </w:r>
      <w:r>
        <w:rPr>
          <w:rFonts w:ascii="Times New Roman" w:hAnsi="Times New Roman"/>
          <w:bCs/>
        </w:rPr>
        <w:t>y del Sistema Estatal para el Desarrollo Integral de la Familia.</w:t>
      </w:r>
    </w:p>
    <w:p w14:paraId="02A06348" w14:textId="77777777" w:rsidR="005364CA" w:rsidRPr="00BF1B50" w:rsidRDefault="005364CA" w:rsidP="005364CA">
      <w:pPr>
        <w:pStyle w:val="PRIMERAPLANA"/>
        <w:spacing w:line="360" w:lineRule="auto"/>
        <w:rPr>
          <w:rFonts w:ascii="Times New Roman" w:hAnsi="Times New Roman"/>
          <w:bCs/>
        </w:rPr>
      </w:pPr>
    </w:p>
    <w:p w14:paraId="5E0D8590" w14:textId="77777777" w:rsidR="005364CA" w:rsidRDefault="005364CA" w:rsidP="005364CA">
      <w:pPr>
        <w:pStyle w:val="PRIMERAPLANA"/>
        <w:spacing w:line="360" w:lineRule="auto"/>
        <w:rPr>
          <w:rFonts w:ascii="Times New Roman" w:hAnsi="Times New Roman"/>
          <w:bCs/>
        </w:rPr>
      </w:pPr>
      <w:r w:rsidRPr="00961C48">
        <w:rPr>
          <w:rFonts w:ascii="Times New Roman" w:hAnsi="Times New Roman"/>
          <w:bCs/>
        </w:rPr>
        <w:t xml:space="preserve">Asimismo, Tlaxcala es el primer Estado del país en contar con una guardería empresarial, </w:t>
      </w:r>
      <w:r w:rsidRPr="00BF1B50">
        <w:rPr>
          <w:rFonts w:ascii="Times New Roman" w:hAnsi="Times New Roman"/>
          <w:bCs/>
        </w:rPr>
        <w:t>que respalda directamente a</w:t>
      </w:r>
      <w:r>
        <w:rPr>
          <w:rFonts w:ascii="Times New Roman" w:hAnsi="Times New Roman"/>
          <w:bCs/>
        </w:rPr>
        <w:t xml:space="preserve"> </w:t>
      </w:r>
      <w:r w:rsidRPr="00BF1B50">
        <w:rPr>
          <w:rFonts w:ascii="Times New Roman" w:hAnsi="Times New Roman"/>
          <w:bCs/>
        </w:rPr>
        <w:t>mujeres trabajadoras y madres emprendedoras</w:t>
      </w:r>
      <w:r>
        <w:rPr>
          <w:rFonts w:ascii="Times New Roman" w:hAnsi="Times New Roman"/>
          <w:bCs/>
        </w:rPr>
        <w:t xml:space="preserve">, siendo una iniciativa </w:t>
      </w:r>
      <w:r w:rsidRPr="00BF1B50">
        <w:rPr>
          <w:rFonts w:ascii="Times New Roman" w:hAnsi="Times New Roman"/>
          <w:bCs/>
        </w:rPr>
        <w:t>inclusiva y generadora de bienestar para las familias tlaxcaltecas</w:t>
      </w:r>
      <w:r>
        <w:rPr>
          <w:rFonts w:ascii="Times New Roman" w:hAnsi="Times New Roman"/>
          <w:bCs/>
        </w:rPr>
        <w:t>.</w:t>
      </w:r>
    </w:p>
    <w:p w14:paraId="47C9DF4C" w14:textId="77777777" w:rsidR="005364CA" w:rsidRDefault="005364CA" w:rsidP="005364CA">
      <w:pPr>
        <w:pStyle w:val="PRIMERAPLANA"/>
        <w:spacing w:line="360" w:lineRule="auto"/>
        <w:rPr>
          <w:rFonts w:ascii="Times New Roman" w:hAnsi="Times New Roman"/>
          <w:bCs/>
        </w:rPr>
      </w:pPr>
    </w:p>
    <w:p w14:paraId="02EC88A0" w14:textId="26884C5D" w:rsidR="00E030C7" w:rsidRDefault="005364CA" w:rsidP="005364CA">
      <w:pPr>
        <w:pStyle w:val="PRIMERAPLANA"/>
        <w:spacing w:line="360" w:lineRule="auto"/>
        <w:rPr>
          <w:rFonts w:ascii="Times New Roman" w:hAnsi="Times New Roman"/>
          <w:iCs/>
          <w:lang w:val="es-MX"/>
        </w:rPr>
      </w:pPr>
      <w:r w:rsidRPr="00EA5FCA">
        <w:rPr>
          <w:rFonts w:ascii="Times New Roman" w:hAnsi="Times New Roman"/>
          <w:bCs/>
        </w:rPr>
        <w:t>La</w:t>
      </w:r>
      <w:r>
        <w:rPr>
          <w:rFonts w:ascii="Times New Roman" w:hAnsi="Times New Roman"/>
          <w:bCs/>
        </w:rPr>
        <w:t xml:space="preserve"> </w:t>
      </w:r>
      <w:r w:rsidRPr="00EA5FCA">
        <w:rPr>
          <w:rFonts w:ascii="Times New Roman" w:hAnsi="Times New Roman"/>
          <w:bCs/>
        </w:rPr>
        <w:t>actividad económica</w:t>
      </w:r>
      <w:r>
        <w:rPr>
          <w:rFonts w:ascii="Times New Roman" w:hAnsi="Times New Roman"/>
          <w:bCs/>
        </w:rPr>
        <w:t xml:space="preserve"> </w:t>
      </w:r>
      <w:r w:rsidRPr="00EA5FCA">
        <w:rPr>
          <w:rFonts w:ascii="Times New Roman" w:hAnsi="Times New Roman"/>
          <w:bCs/>
        </w:rPr>
        <w:t>de Tlaxcala creció en</w:t>
      </w:r>
      <w:r>
        <w:rPr>
          <w:rFonts w:ascii="Times New Roman" w:hAnsi="Times New Roman"/>
          <w:bCs/>
        </w:rPr>
        <w:t xml:space="preserve"> </w:t>
      </w:r>
      <w:r w:rsidRPr="00EA5FCA">
        <w:rPr>
          <w:rFonts w:ascii="Times New Roman" w:hAnsi="Times New Roman"/>
          <w:bCs/>
        </w:rPr>
        <w:t>1.1</w:t>
      </w:r>
      <w:r>
        <w:rPr>
          <w:rFonts w:ascii="Times New Roman" w:hAnsi="Times New Roman"/>
          <w:bCs/>
        </w:rPr>
        <w:t xml:space="preserve">% </w:t>
      </w:r>
      <w:r w:rsidRPr="00EA5FCA">
        <w:rPr>
          <w:rFonts w:ascii="Times New Roman" w:hAnsi="Times New Roman"/>
          <w:bCs/>
        </w:rPr>
        <w:t>durante el primer trimestre de 2025 en comparación con el mismo periodo del año previo; principalmente</w:t>
      </w:r>
      <w:r>
        <w:rPr>
          <w:rFonts w:ascii="Times New Roman" w:hAnsi="Times New Roman"/>
          <w:bCs/>
        </w:rPr>
        <w:t xml:space="preserve"> </w:t>
      </w:r>
      <w:r w:rsidRPr="00EA5FCA">
        <w:rPr>
          <w:rFonts w:ascii="Times New Roman" w:hAnsi="Times New Roman"/>
          <w:bCs/>
        </w:rPr>
        <w:t xml:space="preserve">impulsada por las actividades primarias y terciarias, </w:t>
      </w:r>
      <w:r>
        <w:rPr>
          <w:rFonts w:ascii="Times New Roman" w:hAnsi="Times New Roman"/>
          <w:bCs/>
        </w:rPr>
        <w:t xml:space="preserve">de acuerdo a </w:t>
      </w:r>
      <w:r w:rsidRPr="00EA5FCA">
        <w:rPr>
          <w:rFonts w:ascii="Times New Roman" w:hAnsi="Times New Roman"/>
          <w:bCs/>
        </w:rPr>
        <w:t>l</w:t>
      </w:r>
      <w:r>
        <w:rPr>
          <w:rFonts w:ascii="Times New Roman" w:hAnsi="Times New Roman"/>
          <w:bCs/>
        </w:rPr>
        <w:t xml:space="preserve">os datos dados a conocer por el </w:t>
      </w:r>
      <w:r w:rsidRPr="00EA5FCA">
        <w:rPr>
          <w:rFonts w:ascii="Times New Roman" w:hAnsi="Times New Roman"/>
          <w:bCs/>
        </w:rPr>
        <w:t>INEGI</w:t>
      </w:r>
      <w:r w:rsidR="00E030C7" w:rsidRPr="00CE2445">
        <w:rPr>
          <w:rFonts w:ascii="Times New Roman" w:hAnsi="Times New Roman"/>
          <w:iCs/>
          <w:lang w:val="es-MX"/>
        </w:rPr>
        <w:t>.</w:t>
      </w:r>
    </w:p>
    <w:p w14:paraId="74D0A926" w14:textId="77777777" w:rsidR="000F5B29" w:rsidRDefault="000F5B29" w:rsidP="005364CA">
      <w:pPr>
        <w:pStyle w:val="PRIMERAPLANA"/>
        <w:spacing w:line="360" w:lineRule="auto"/>
        <w:rPr>
          <w:rFonts w:ascii="Times New Roman" w:hAnsi="Times New Roman"/>
          <w:iCs/>
          <w:lang w:val="es-MX"/>
        </w:rPr>
      </w:pPr>
    </w:p>
    <w:p w14:paraId="07A9B689" w14:textId="77777777" w:rsidR="00B67400" w:rsidRDefault="00B67400" w:rsidP="005364CA">
      <w:pPr>
        <w:pStyle w:val="PRIMERAPLANA"/>
        <w:spacing w:line="360" w:lineRule="auto"/>
        <w:rPr>
          <w:rFonts w:ascii="Times New Roman" w:hAnsi="Times New Roman"/>
          <w:iCs/>
          <w:lang w:val="es-MX"/>
        </w:rPr>
      </w:pPr>
    </w:p>
    <w:p w14:paraId="7C0D5423" w14:textId="77777777" w:rsidR="00B67400" w:rsidRDefault="00B67400" w:rsidP="005364CA">
      <w:pPr>
        <w:pStyle w:val="PRIMERAPLANA"/>
        <w:spacing w:line="360" w:lineRule="auto"/>
        <w:rPr>
          <w:rFonts w:ascii="Times New Roman" w:hAnsi="Times New Roman"/>
          <w:iCs/>
          <w:lang w:val="es-MX"/>
        </w:rPr>
      </w:pPr>
    </w:p>
    <w:p w14:paraId="0DEFF506" w14:textId="77777777" w:rsidR="00B67400" w:rsidRDefault="00B67400" w:rsidP="005364CA">
      <w:pPr>
        <w:pStyle w:val="PRIMERAPLANA"/>
        <w:spacing w:line="360" w:lineRule="auto"/>
        <w:rPr>
          <w:rFonts w:ascii="Times New Roman" w:hAnsi="Times New Roman"/>
          <w:iCs/>
          <w:lang w:val="es-MX"/>
        </w:rPr>
      </w:pPr>
    </w:p>
    <w:p w14:paraId="579F1601" w14:textId="77777777" w:rsidR="00B67400" w:rsidRDefault="00B67400" w:rsidP="005364CA">
      <w:pPr>
        <w:pStyle w:val="PRIMERAPLANA"/>
        <w:spacing w:line="360" w:lineRule="auto"/>
        <w:rPr>
          <w:rFonts w:ascii="Times New Roman" w:hAnsi="Times New Roman"/>
          <w:iCs/>
          <w:lang w:val="es-MX"/>
        </w:rPr>
      </w:pPr>
    </w:p>
    <w:p w14:paraId="45ED27F0" w14:textId="77777777" w:rsidR="00BB00D6" w:rsidRDefault="00BB00D6" w:rsidP="005364CA">
      <w:pPr>
        <w:pStyle w:val="PRIMERAPLANA"/>
        <w:spacing w:line="360" w:lineRule="auto"/>
        <w:rPr>
          <w:rFonts w:ascii="Times New Roman" w:hAnsi="Times New Roman"/>
          <w:iCs/>
          <w:lang w:val="es-MX"/>
        </w:rPr>
      </w:pPr>
    </w:p>
    <w:p w14:paraId="5289164C" w14:textId="77777777" w:rsidR="00BB00D6" w:rsidRDefault="00BB00D6" w:rsidP="005364CA">
      <w:pPr>
        <w:pStyle w:val="PRIMERAPLANA"/>
        <w:spacing w:line="360" w:lineRule="auto"/>
        <w:rPr>
          <w:rFonts w:ascii="Times New Roman" w:hAnsi="Times New Roman"/>
          <w:iCs/>
          <w:lang w:val="es-MX"/>
        </w:rPr>
      </w:pPr>
    </w:p>
    <w:p w14:paraId="0835A892" w14:textId="77777777" w:rsidR="00B67400" w:rsidRPr="00CE2445" w:rsidRDefault="00B67400" w:rsidP="005364CA">
      <w:pPr>
        <w:pStyle w:val="PRIMERAPLANA"/>
        <w:spacing w:line="360" w:lineRule="auto"/>
        <w:rPr>
          <w:rFonts w:ascii="Times New Roman" w:hAnsi="Times New Roman"/>
          <w:iCs/>
          <w:lang w:val="es-MX"/>
        </w:rPr>
      </w:pPr>
    </w:p>
    <w:p w14:paraId="095BC9FB" w14:textId="77777777" w:rsidR="005364CA" w:rsidRPr="001970D5" w:rsidRDefault="005364CA" w:rsidP="005364CA">
      <w:pPr>
        <w:pStyle w:val="p02"/>
        <w:keepLines w:val="0"/>
        <w:widowControl w:val="0"/>
        <w:spacing w:before="0"/>
        <w:ind w:right="0"/>
        <w:jc w:val="center"/>
        <w:rPr>
          <w:rFonts w:ascii="Times New Roman" w:hAnsi="Times New Roman"/>
          <w:b/>
          <w:color w:val="auto"/>
          <w:sz w:val="20"/>
          <w:szCs w:val="18"/>
        </w:rPr>
      </w:pPr>
      <w:r w:rsidRPr="001970D5">
        <w:rPr>
          <w:rFonts w:ascii="Times New Roman" w:hAnsi="Times New Roman"/>
          <w:b/>
          <w:color w:val="auto"/>
          <w:sz w:val="20"/>
          <w:szCs w:val="18"/>
        </w:rPr>
        <w:lastRenderedPageBreak/>
        <w:t xml:space="preserve">Variación anual y contribución de la actividad económica estatal </w:t>
      </w:r>
    </w:p>
    <w:p w14:paraId="2160604D" w14:textId="77777777" w:rsidR="005364CA" w:rsidRDefault="005364CA" w:rsidP="005364CA">
      <w:pPr>
        <w:pStyle w:val="p02"/>
        <w:keepLines w:val="0"/>
        <w:widowControl w:val="0"/>
        <w:spacing w:before="0"/>
        <w:ind w:right="0"/>
        <w:jc w:val="center"/>
        <w:rPr>
          <w:rFonts w:ascii="Times New Roman" w:hAnsi="Times New Roman"/>
          <w:b/>
          <w:color w:val="auto"/>
          <w:sz w:val="20"/>
          <w:vertAlign w:val="superscript"/>
        </w:rPr>
      </w:pPr>
      <w:r w:rsidRPr="001970D5">
        <w:rPr>
          <w:rFonts w:ascii="Times New Roman" w:hAnsi="Times New Roman"/>
          <w:b/>
          <w:color w:val="auto"/>
          <w:sz w:val="20"/>
          <w:szCs w:val="18"/>
        </w:rPr>
        <w:t xml:space="preserve">primer trimestre </w:t>
      </w:r>
      <w:r w:rsidRPr="001970D5">
        <w:rPr>
          <w:rFonts w:ascii="Times New Roman" w:hAnsi="Times New Roman"/>
          <w:b/>
          <w:color w:val="auto"/>
          <w:sz w:val="20"/>
        </w:rPr>
        <w:t>de 2025</w:t>
      </w:r>
      <w:r w:rsidRPr="001970D5">
        <w:rPr>
          <w:rFonts w:ascii="Times New Roman" w:hAnsi="Times New Roman"/>
          <w:b/>
          <w:color w:val="auto"/>
          <w:sz w:val="20"/>
          <w:vertAlign w:val="superscript"/>
        </w:rPr>
        <w:t>1/</w:t>
      </w:r>
    </w:p>
    <w:p w14:paraId="7B69DEF6" w14:textId="77777777" w:rsidR="00BB00D6" w:rsidRPr="00BB00D6" w:rsidRDefault="00BB00D6" w:rsidP="00BB00D6">
      <w:pPr>
        <w:pStyle w:val="PRIMERAPLANA"/>
        <w:spacing w:line="360" w:lineRule="auto"/>
        <w:rPr>
          <w:rFonts w:ascii="Times New Roman" w:hAnsi="Times New Roman"/>
          <w:iCs/>
          <w:lang w:val="es-MX"/>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53"/>
        <w:gridCol w:w="146"/>
        <w:gridCol w:w="4258"/>
      </w:tblGrid>
      <w:tr w:rsidR="005364CA" w:rsidRPr="001970D5" w14:paraId="3148B312" w14:textId="77777777" w:rsidTr="00AC3862">
        <w:trPr>
          <w:trHeight w:hRule="exact" w:val="567"/>
        </w:trPr>
        <w:tc>
          <w:tcPr>
            <w:tcW w:w="4910" w:type="dxa"/>
            <w:vAlign w:val="center"/>
          </w:tcPr>
          <w:p w14:paraId="095B33B5" w14:textId="77777777" w:rsidR="005364CA" w:rsidRPr="001970D5" w:rsidRDefault="005364CA" w:rsidP="00AC3862">
            <w:pPr>
              <w:pStyle w:val="p0"/>
              <w:spacing w:before="0"/>
              <w:jc w:val="center"/>
              <w:rPr>
                <w:rFonts w:ascii="Times New Roman" w:hAnsi="Times New Roman" w:cs="Times New Roman"/>
                <w:b/>
                <w:color w:val="auto"/>
                <w:sz w:val="20"/>
                <w:szCs w:val="20"/>
                <w:lang w:val="es-MX"/>
              </w:rPr>
            </w:pPr>
            <w:r w:rsidRPr="001970D5">
              <w:rPr>
                <w:rFonts w:ascii="Times New Roman" w:hAnsi="Times New Roman" w:cs="Times New Roman"/>
                <w:b/>
                <w:color w:val="auto"/>
                <w:sz w:val="20"/>
                <w:szCs w:val="20"/>
              </w:rPr>
              <w:t xml:space="preserve">Variación porcentual real </w:t>
            </w:r>
            <w:r w:rsidRPr="001970D5">
              <w:rPr>
                <w:rFonts w:ascii="Times New Roman" w:hAnsi="Times New Roman" w:cs="Times New Roman"/>
                <w:b/>
                <w:color w:val="auto"/>
                <w:sz w:val="20"/>
                <w:szCs w:val="20"/>
              </w:rPr>
              <w:br/>
              <w:t>respecto al primer trimestre de 2024</w:t>
            </w:r>
          </w:p>
        </w:tc>
        <w:tc>
          <w:tcPr>
            <w:tcW w:w="148" w:type="dxa"/>
            <w:vAlign w:val="center"/>
          </w:tcPr>
          <w:p w14:paraId="0ADB500B" w14:textId="77777777" w:rsidR="005364CA" w:rsidRPr="001970D5" w:rsidRDefault="005364CA" w:rsidP="00AC3862">
            <w:pPr>
              <w:pStyle w:val="p0"/>
              <w:spacing w:before="0"/>
              <w:jc w:val="center"/>
              <w:rPr>
                <w:rFonts w:ascii="Times New Roman" w:hAnsi="Times New Roman" w:cs="Times New Roman"/>
                <w:b/>
                <w:color w:val="auto"/>
                <w:sz w:val="20"/>
                <w:szCs w:val="20"/>
                <w:lang w:val="es-MX"/>
              </w:rPr>
            </w:pPr>
          </w:p>
        </w:tc>
        <w:tc>
          <w:tcPr>
            <w:tcW w:w="4916" w:type="dxa"/>
            <w:vAlign w:val="center"/>
          </w:tcPr>
          <w:p w14:paraId="1A9A6CB2" w14:textId="77777777" w:rsidR="005364CA" w:rsidRPr="001970D5" w:rsidRDefault="005364CA" w:rsidP="00AC3862">
            <w:pPr>
              <w:pStyle w:val="p0"/>
              <w:spacing w:before="0"/>
              <w:jc w:val="center"/>
              <w:rPr>
                <w:rFonts w:ascii="Times New Roman" w:hAnsi="Times New Roman" w:cs="Times New Roman"/>
                <w:b/>
                <w:color w:val="auto"/>
                <w:sz w:val="20"/>
                <w:szCs w:val="20"/>
                <w:lang w:val="es-MX"/>
              </w:rPr>
            </w:pPr>
            <w:r w:rsidRPr="001970D5">
              <w:rPr>
                <w:rFonts w:ascii="Times New Roman" w:hAnsi="Times New Roman" w:cs="Times New Roman"/>
                <w:b/>
                <w:color w:val="auto"/>
                <w:sz w:val="20"/>
                <w:szCs w:val="20"/>
              </w:rPr>
              <w:t xml:space="preserve">Contribución a la variación real </w:t>
            </w:r>
            <w:r w:rsidRPr="001970D5">
              <w:rPr>
                <w:rFonts w:ascii="Times New Roman" w:hAnsi="Times New Roman" w:cs="Times New Roman"/>
                <w:b/>
                <w:color w:val="auto"/>
                <w:sz w:val="20"/>
                <w:szCs w:val="20"/>
              </w:rPr>
              <w:br/>
              <w:t>de la actividad económica nacional</w:t>
            </w:r>
            <w:r w:rsidRPr="001970D5">
              <w:rPr>
                <w:rFonts w:ascii="Times New Roman" w:hAnsi="Times New Roman" w:cs="Times New Roman"/>
                <w:b/>
                <w:color w:val="auto"/>
                <w:sz w:val="20"/>
                <w:szCs w:val="20"/>
                <w:vertAlign w:val="superscript"/>
              </w:rPr>
              <w:t>2/</w:t>
            </w:r>
          </w:p>
        </w:tc>
      </w:tr>
      <w:tr w:rsidR="005364CA" w:rsidRPr="00121E0C" w14:paraId="762FB300" w14:textId="77777777" w:rsidTr="00AC3862">
        <w:tblPrEx>
          <w:tblCellMar>
            <w:left w:w="70" w:type="dxa"/>
            <w:right w:w="70" w:type="dxa"/>
          </w:tblCellMar>
        </w:tblPrEx>
        <w:trPr>
          <w:trHeight w:val="8562"/>
        </w:trPr>
        <w:tc>
          <w:tcPr>
            <w:tcW w:w="4910" w:type="dxa"/>
            <w:vAlign w:val="center"/>
          </w:tcPr>
          <w:p w14:paraId="4D0A7B2D" w14:textId="77777777" w:rsidR="005364CA" w:rsidRPr="008F164F" w:rsidRDefault="005364CA" w:rsidP="00AC3862">
            <w:pPr>
              <w:pStyle w:val="p0"/>
              <w:spacing w:before="0"/>
              <w:jc w:val="center"/>
              <w:rPr>
                <w:rFonts w:ascii="Arial" w:hAnsi="Arial"/>
                <w:color w:val="auto"/>
                <w:sz w:val="18"/>
                <w:szCs w:val="18"/>
                <w:lang w:val="es-MX"/>
              </w:rPr>
            </w:pPr>
            <w:r>
              <w:rPr>
                <w:noProof/>
              </w:rPr>
              <w:drawing>
                <wp:inline distT="0" distB="0" distL="0" distR="0" wp14:anchorId="505733EA" wp14:editId="3C6F6C87">
                  <wp:extent cx="2275027" cy="5399405"/>
                  <wp:effectExtent l="0" t="0" r="11430" b="10795"/>
                  <wp:docPr id="1991429127" name="Gráfico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154" w:type="dxa"/>
            <w:vAlign w:val="center"/>
          </w:tcPr>
          <w:p w14:paraId="26244BAF" w14:textId="77777777" w:rsidR="005364CA" w:rsidRPr="00121E0C" w:rsidRDefault="005364CA" w:rsidP="00AC3862">
            <w:pPr>
              <w:pStyle w:val="p0"/>
              <w:spacing w:before="0"/>
              <w:jc w:val="center"/>
              <w:rPr>
                <w:rFonts w:ascii="Arial" w:hAnsi="Arial"/>
                <w:color w:val="auto"/>
                <w:sz w:val="16"/>
                <w:szCs w:val="16"/>
                <w:lang w:val="es-MX"/>
              </w:rPr>
            </w:pPr>
          </w:p>
        </w:tc>
        <w:tc>
          <w:tcPr>
            <w:tcW w:w="4910" w:type="dxa"/>
            <w:vAlign w:val="center"/>
          </w:tcPr>
          <w:p w14:paraId="59784659" w14:textId="77777777" w:rsidR="005364CA" w:rsidRPr="00552E8A" w:rsidRDefault="005364CA" w:rsidP="00AC3862">
            <w:pPr>
              <w:pStyle w:val="p0"/>
              <w:spacing w:before="0"/>
              <w:jc w:val="center"/>
              <w:rPr>
                <w:rFonts w:ascii="Arial" w:hAnsi="Arial"/>
                <w:color w:val="4D565E"/>
                <w:sz w:val="16"/>
                <w:szCs w:val="16"/>
                <w:lang w:val="es-MX"/>
              </w:rPr>
            </w:pPr>
            <w:r>
              <w:rPr>
                <w:noProof/>
              </w:rPr>
              <w:drawing>
                <wp:inline distT="0" distB="0" distL="0" distR="0" wp14:anchorId="19A34CB0" wp14:editId="28C1C704">
                  <wp:extent cx="2604211" cy="5399405"/>
                  <wp:effectExtent l="0" t="0" r="5715" b="10795"/>
                  <wp:docPr id="375899583" name="Gráfico 1">
                    <a:extLst xmlns:a="http://schemas.openxmlformats.org/drawingml/2006/main">
                      <a:ext uri="{FF2B5EF4-FFF2-40B4-BE49-F238E27FC236}">
                        <a16:creationId xmlns:a16="http://schemas.microsoft.com/office/drawing/2014/main" id="{300AC4FA-BAE7-41FE-8BEC-9CD1A8154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14:paraId="1EF2EBB5" w14:textId="77777777" w:rsidR="005364CA" w:rsidRPr="001970D5" w:rsidRDefault="005364CA" w:rsidP="005364CA">
      <w:pPr>
        <w:pStyle w:val="Textoindependiente"/>
        <w:ind w:left="742" w:right="91" w:hanging="630"/>
        <w:rPr>
          <w:rFonts w:ascii="Times New Roman" w:hAnsi="Times New Roman" w:cs="Times New Roman"/>
          <w:sz w:val="14"/>
          <w:szCs w:val="14"/>
          <w:vertAlign w:val="superscript"/>
        </w:rPr>
      </w:pPr>
      <w:r w:rsidRPr="001970D5">
        <w:rPr>
          <w:rFonts w:ascii="Times New Roman" w:hAnsi="Times New Roman" w:cs="Times New Roman"/>
          <w:sz w:val="14"/>
          <w:szCs w:val="14"/>
          <w:vertAlign w:val="superscript"/>
        </w:rPr>
        <w:t>1/</w:t>
      </w:r>
      <w:r w:rsidRPr="001970D5">
        <w:rPr>
          <w:rFonts w:ascii="Times New Roman" w:hAnsi="Times New Roman" w:cs="Times New Roman"/>
          <w:sz w:val="14"/>
          <w:szCs w:val="14"/>
          <w:vertAlign w:val="superscript"/>
        </w:rPr>
        <w:tab/>
      </w:r>
      <w:r w:rsidRPr="001970D5">
        <w:rPr>
          <w:rFonts w:ascii="Times New Roman" w:hAnsi="Times New Roman" w:cs="Times New Roman"/>
          <w:sz w:val="14"/>
          <w:szCs w:val="14"/>
        </w:rPr>
        <w:t>Cifras preliminares.</w:t>
      </w:r>
    </w:p>
    <w:p w14:paraId="68493706" w14:textId="77777777" w:rsidR="005364CA" w:rsidRPr="001970D5" w:rsidRDefault="005364CA" w:rsidP="005364CA">
      <w:pPr>
        <w:pStyle w:val="Textoindependiente"/>
        <w:ind w:left="742" w:right="91" w:hanging="630"/>
        <w:rPr>
          <w:rFonts w:ascii="Times New Roman" w:hAnsi="Times New Roman" w:cs="Times New Roman"/>
          <w:sz w:val="14"/>
          <w:szCs w:val="14"/>
        </w:rPr>
      </w:pPr>
      <w:r w:rsidRPr="001970D5">
        <w:rPr>
          <w:rFonts w:ascii="Times New Roman" w:hAnsi="Times New Roman" w:cs="Times New Roman"/>
          <w:sz w:val="14"/>
          <w:szCs w:val="14"/>
          <w:vertAlign w:val="superscript"/>
        </w:rPr>
        <w:t>2/</w:t>
      </w:r>
      <w:r w:rsidRPr="001970D5">
        <w:rPr>
          <w:rFonts w:ascii="Times New Roman" w:hAnsi="Times New Roman" w:cs="Times New Roman"/>
          <w:sz w:val="14"/>
          <w:szCs w:val="14"/>
          <w:vertAlign w:val="superscript"/>
        </w:rPr>
        <w:tab/>
      </w:r>
      <w:r w:rsidRPr="001970D5">
        <w:rPr>
          <w:rFonts w:ascii="Times New Roman" w:hAnsi="Times New Roman" w:cs="Times New Roman"/>
          <w:sz w:val="14"/>
          <w:szCs w:val="14"/>
        </w:rPr>
        <w:t>Las contribuciones se obtienen ponderando las tasas de crecimiento con la participación que cada estado tiene en la actividad económica nacional.</w:t>
      </w:r>
    </w:p>
    <w:p w14:paraId="5BD0CAD4" w14:textId="77777777" w:rsidR="005364CA" w:rsidRPr="001970D5" w:rsidRDefault="005364CA" w:rsidP="005364CA">
      <w:pPr>
        <w:pStyle w:val="Textoindependiente"/>
        <w:ind w:left="742" w:right="91" w:hanging="630"/>
        <w:jc w:val="left"/>
        <w:rPr>
          <w:rFonts w:ascii="Times New Roman" w:hAnsi="Times New Roman" w:cs="Times New Roman"/>
          <w:sz w:val="14"/>
          <w:szCs w:val="14"/>
        </w:rPr>
      </w:pPr>
      <w:r w:rsidRPr="001970D5">
        <w:rPr>
          <w:rFonts w:ascii="Times New Roman" w:hAnsi="Times New Roman" w:cs="Times New Roman"/>
          <w:sz w:val="14"/>
          <w:szCs w:val="14"/>
        </w:rPr>
        <w:t>Fuente:</w:t>
      </w:r>
      <w:r w:rsidRPr="001970D5">
        <w:rPr>
          <w:rFonts w:ascii="Times New Roman" w:hAnsi="Times New Roman" w:cs="Times New Roman"/>
          <w:sz w:val="14"/>
          <w:szCs w:val="14"/>
        </w:rPr>
        <w:tab/>
      </w:r>
      <w:proofErr w:type="spellStart"/>
      <w:r w:rsidRPr="001970D5">
        <w:rPr>
          <w:rFonts w:ascii="Times New Roman" w:hAnsi="Times New Roman" w:cs="Times New Roman"/>
          <w:smallCaps/>
          <w:sz w:val="14"/>
          <w:szCs w:val="14"/>
        </w:rPr>
        <w:t>inegi</w:t>
      </w:r>
      <w:proofErr w:type="spellEnd"/>
      <w:r w:rsidRPr="001970D5">
        <w:rPr>
          <w:rFonts w:ascii="Times New Roman" w:hAnsi="Times New Roman" w:cs="Times New Roman"/>
          <w:smallCaps/>
          <w:sz w:val="14"/>
          <w:szCs w:val="14"/>
        </w:rPr>
        <w:t>.</w:t>
      </w:r>
      <w:r w:rsidRPr="001970D5">
        <w:rPr>
          <w:rFonts w:ascii="Times New Roman" w:hAnsi="Times New Roman" w:cs="Times New Roman"/>
          <w:sz w:val="14"/>
          <w:szCs w:val="14"/>
        </w:rPr>
        <w:t xml:space="preserve"> Sistema de Cuentas Nacionales de México</w:t>
      </w:r>
      <w:r w:rsidRPr="001970D5">
        <w:rPr>
          <w:rFonts w:ascii="Times New Roman" w:hAnsi="Times New Roman" w:cs="Times New Roman"/>
          <w:smallCaps/>
          <w:sz w:val="14"/>
          <w:szCs w:val="14"/>
        </w:rPr>
        <w:t xml:space="preserve"> (</w:t>
      </w:r>
      <w:proofErr w:type="spellStart"/>
      <w:r w:rsidRPr="001970D5">
        <w:rPr>
          <w:rFonts w:ascii="Times New Roman" w:hAnsi="Times New Roman" w:cs="Times New Roman"/>
          <w:smallCaps/>
          <w:sz w:val="14"/>
          <w:szCs w:val="14"/>
        </w:rPr>
        <w:t>scnm</w:t>
      </w:r>
      <w:proofErr w:type="spellEnd"/>
      <w:r w:rsidRPr="001970D5">
        <w:rPr>
          <w:rFonts w:ascii="Times New Roman" w:hAnsi="Times New Roman" w:cs="Times New Roman"/>
          <w:smallCaps/>
          <w:sz w:val="14"/>
          <w:szCs w:val="14"/>
        </w:rPr>
        <w:t xml:space="preserve">). </w:t>
      </w:r>
      <w:r w:rsidRPr="001970D5">
        <w:rPr>
          <w:rFonts w:ascii="Times New Roman" w:hAnsi="Times New Roman" w:cs="Times New Roman"/>
          <w:sz w:val="14"/>
          <w:szCs w:val="14"/>
        </w:rPr>
        <w:t>Indicador Trimestral de la Actividad Económica Estatal (</w:t>
      </w:r>
      <w:proofErr w:type="spellStart"/>
      <w:r w:rsidRPr="001970D5">
        <w:rPr>
          <w:rFonts w:ascii="Times New Roman" w:hAnsi="Times New Roman" w:cs="Times New Roman"/>
          <w:smallCaps/>
          <w:sz w:val="14"/>
          <w:szCs w:val="14"/>
        </w:rPr>
        <w:t>itaee</w:t>
      </w:r>
      <w:proofErr w:type="spellEnd"/>
      <w:r w:rsidRPr="001970D5">
        <w:rPr>
          <w:rFonts w:ascii="Times New Roman" w:hAnsi="Times New Roman" w:cs="Times New Roman"/>
          <w:sz w:val="14"/>
          <w:szCs w:val="14"/>
        </w:rPr>
        <w:t>), 2025.</w:t>
      </w:r>
    </w:p>
    <w:p w14:paraId="74020533" w14:textId="77777777" w:rsidR="005364CA" w:rsidRDefault="005364CA" w:rsidP="005364CA">
      <w:pPr>
        <w:pStyle w:val="PRIMERAPLANA"/>
        <w:spacing w:line="360" w:lineRule="auto"/>
        <w:rPr>
          <w:rFonts w:ascii="Times New Roman" w:hAnsi="Times New Roman"/>
          <w:bCs/>
        </w:rPr>
      </w:pPr>
    </w:p>
    <w:p w14:paraId="0C8E5BBC" w14:textId="77777777" w:rsidR="005364CA" w:rsidRPr="00EA5FCA" w:rsidRDefault="005364CA" w:rsidP="005364CA">
      <w:pPr>
        <w:pStyle w:val="PRIMERAPLANA"/>
        <w:spacing w:line="360" w:lineRule="auto"/>
        <w:rPr>
          <w:rFonts w:ascii="Times New Roman" w:hAnsi="Times New Roman"/>
          <w:bCs/>
        </w:rPr>
      </w:pPr>
      <w:r w:rsidRPr="00EA5FCA">
        <w:rPr>
          <w:rFonts w:ascii="Times New Roman" w:hAnsi="Times New Roman"/>
          <w:bCs/>
        </w:rPr>
        <w:lastRenderedPageBreak/>
        <w:t>El</w:t>
      </w:r>
      <w:r>
        <w:rPr>
          <w:rFonts w:ascii="Times New Roman" w:hAnsi="Times New Roman"/>
          <w:bCs/>
        </w:rPr>
        <w:t xml:space="preserve"> </w:t>
      </w:r>
      <w:r w:rsidRPr="00EA5FCA">
        <w:rPr>
          <w:rFonts w:ascii="Times New Roman" w:hAnsi="Times New Roman"/>
          <w:bCs/>
        </w:rPr>
        <w:t>Indicador Trimestral de Actividad Económica Estatal</w:t>
      </w:r>
      <w:r>
        <w:rPr>
          <w:rFonts w:ascii="Times New Roman" w:hAnsi="Times New Roman"/>
          <w:bCs/>
        </w:rPr>
        <w:t xml:space="preserve"> </w:t>
      </w:r>
      <w:r w:rsidRPr="00EA5FCA">
        <w:rPr>
          <w:rFonts w:ascii="Times New Roman" w:hAnsi="Times New Roman"/>
          <w:bCs/>
        </w:rPr>
        <w:t>(ITAEE)</w:t>
      </w:r>
      <w:r>
        <w:rPr>
          <w:rFonts w:ascii="Times New Roman" w:hAnsi="Times New Roman"/>
          <w:bCs/>
        </w:rPr>
        <w:t>,</w:t>
      </w:r>
      <w:r w:rsidRPr="00EA5FCA">
        <w:rPr>
          <w:rFonts w:ascii="Times New Roman" w:hAnsi="Times New Roman"/>
          <w:bCs/>
        </w:rPr>
        <w:t xml:space="preserve"> ubica a la entidad en la</w:t>
      </w:r>
      <w:r>
        <w:rPr>
          <w:rFonts w:ascii="Times New Roman" w:hAnsi="Times New Roman"/>
          <w:bCs/>
        </w:rPr>
        <w:t xml:space="preserve"> </w:t>
      </w:r>
      <w:r w:rsidRPr="00EA5FCA">
        <w:rPr>
          <w:rFonts w:ascii="Times New Roman" w:hAnsi="Times New Roman"/>
          <w:bCs/>
        </w:rPr>
        <w:t>posición 20 respecto al resto</w:t>
      </w:r>
      <w:r>
        <w:rPr>
          <w:rFonts w:ascii="Times New Roman" w:hAnsi="Times New Roman"/>
          <w:bCs/>
        </w:rPr>
        <w:t xml:space="preserve"> </w:t>
      </w:r>
      <w:r w:rsidRPr="00EA5FCA">
        <w:rPr>
          <w:rFonts w:ascii="Times New Roman" w:hAnsi="Times New Roman"/>
          <w:bCs/>
        </w:rPr>
        <w:t>de los estados en cuanto al crecimiento de su actividad económica. De enero a marzo de este año, las entidades que registraron un mayor incremento en su actividad económica fueron Guerrero (6.8%), Oaxaca (5.6%) y Nayarit (4.7%), mientras que en el otro extremo están Quintana Roo (-9.4%), Tabasco (-12.8%), y Campeche (-16.7%) con pérdidas en su actividad.</w:t>
      </w:r>
    </w:p>
    <w:p w14:paraId="4C61E57B" w14:textId="77777777" w:rsidR="005364CA" w:rsidRPr="00510A66" w:rsidRDefault="005364CA" w:rsidP="005364CA">
      <w:pPr>
        <w:pStyle w:val="PRIMERAPLANA"/>
        <w:spacing w:line="360" w:lineRule="auto"/>
        <w:jc w:val="center"/>
        <w:rPr>
          <w:rFonts w:ascii="Times New Roman" w:hAnsi="Times New Roman"/>
          <w:b/>
        </w:rPr>
      </w:pPr>
    </w:p>
    <w:p w14:paraId="62AD83A3" w14:textId="77777777" w:rsidR="005364CA" w:rsidRPr="00510A66" w:rsidRDefault="005364CA" w:rsidP="005364CA">
      <w:pPr>
        <w:pStyle w:val="PRIMERAPLANA"/>
        <w:spacing w:line="360" w:lineRule="auto"/>
        <w:jc w:val="center"/>
        <w:rPr>
          <w:rFonts w:ascii="Times New Roman" w:hAnsi="Times New Roman"/>
          <w:b/>
        </w:rPr>
      </w:pPr>
      <w:r w:rsidRPr="00510A66">
        <w:rPr>
          <w:rFonts w:ascii="Times New Roman" w:hAnsi="Times New Roman"/>
          <w:b/>
        </w:rPr>
        <w:t>VARIACIÓN DE LA ACTIVIDAD ECONÓMICA ESTATAL</w:t>
      </w:r>
    </w:p>
    <w:p w14:paraId="359FE9E5" w14:textId="77777777" w:rsidR="005364CA" w:rsidRPr="00510A66" w:rsidRDefault="005364CA" w:rsidP="005364CA">
      <w:pPr>
        <w:pStyle w:val="PRIMERAPLANA"/>
        <w:spacing w:line="360" w:lineRule="auto"/>
        <w:jc w:val="center"/>
        <w:rPr>
          <w:rFonts w:ascii="Times New Roman" w:hAnsi="Times New Roman"/>
          <w:b/>
        </w:rPr>
      </w:pPr>
      <w:r w:rsidRPr="00510A66">
        <w:rPr>
          <w:rFonts w:ascii="Times New Roman" w:hAnsi="Times New Roman"/>
          <w:b/>
        </w:rPr>
        <w:t>cifras desestacionalizadas</w:t>
      </w:r>
      <w:r>
        <w:rPr>
          <w:rFonts w:ascii="Times New Roman" w:hAnsi="Times New Roman"/>
          <w:b/>
        </w:rPr>
        <w:t xml:space="preserve">, </w:t>
      </w:r>
      <w:r w:rsidRPr="00510A66">
        <w:rPr>
          <w:rFonts w:ascii="Times New Roman" w:hAnsi="Times New Roman"/>
          <w:b/>
        </w:rPr>
        <w:t>primer trimestre de 2025</w:t>
      </w:r>
    </w:p>
    <w:p w14:paraId="52DCBC53" w14:textId="77777777" w:rsidR="005364CA" w:rsidRPr="00510A66" w:rsidRDefault="005364CA" w:rsidP="005364CA">
      <w:pPr>
        <w:pStyle w:val="PRIMERAPLANA"/>
        <w:spacing w:line="360" w:lineRule="auto"/>
        <w:jc w:val="center"/>
        <w:rPr>
          <w:rFonts w:ascii="Times New Roman" w:hAnsi="Times New Roman"/>
          <w:b/>
        </w:rPr>
      </w:pPr>
      <w:r w:rsidRPr="00510A66">
        <w:rPr>
          <w:rFonts w:ascii="Times New Roman" w:hAnsi="Times New Roman"/>
          <w:b/>
        </w:rPr>
        <w:t>(variación porcentual real trimestral y anual)</w:t>
      </w:r>
    </w:p>
    <w:tbl>
      <w:tblPr>
        <w:tblW w:w="5003" w:type="pct"/>
        <w:jc w:val="center"/>
        <w:tblLayout w:type="fixed"/>
        <w:tblCellMar>
          <w:left w:w="0" w:type="dxa"/>
          <w:right w:w="0" w:type="dxa"/>
        </w:tblCellMar>
        <w:tblLook w:val="04A0" w:firstRow="1" w:lastRow="0" w:firstColumn="1" w:lastColumn="0" w:noHBand="0" w:noVBand="1"/>
      </w:tblPr>
      <w:tblGrid>
        <w:gridCol w:w="1682"/>
        <w:gridCol w:w="1171"/>
        <w:gridCol w:w="1172"/>
        <w:gridCol w:w="146"/>
        <w:gridCol w:w="1637"/>
        <w:gridCol w:w="1172"/>
        <w:gridCol w:w="1172"/>
      </w:tblGrid>
      <w:tr w:rsidR="005364CA" w:rsidRPr="00510A66" w14:paraId="231F7AB4" w14:textId="77777777" w:rsidTr="00AC3862">
        <w:trPr>
          <w:trHeight w:hRule="exact" w:val="510"/>
          <w:jc w:val="center"/>
        </w:trPr>
        <w:tc>
          <w:tcPr>
            <w:tcW w:w="2062" w:type="dxa"/>
            <w:vMerge w:val="restart"/>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8EAADB" w:themeFill="accent5" w:themeFillTint="99"/>
            <w:noWrap/>
            <w:vAlign w:val="center"/>
          </w:tcPr>
          <w:p w14:paraId="79319696" w14:textId="77777777" w:rsidR="005364CA" w:rsidRPr="00510A66" w:rsidRDefault="005364CA" w:rsidP="00AC3862">
            <w:pPr>
              <w:ind w:left="57"/>
              <w:jc w:val="center"/>
              <w:rPr>
                <w:rStyle w:val="Refdecomentario"/>
                <w:color w:val="FFFFFF" w:themeColor="background1"/>
              </w:rPr>
            </w:pPr>
            <w:r w:rsidRPr="00510A66">
              <w:rPr>
                <w:b/>
                <w:bCs/>
                <w:color w:val="FFFFFF" w:themeColor="background1"/>
                <w:sz w:val="16"/>
                <w:szCs w:val="16"/>
              </w:rPr>
              <w:t>Entidad federativa</w:t>
            </w:r>
          </w:p>
        </w:tc>
        <w:tc>
          <w:tcPr>
            <w:tcW w:w="2865"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EAADB" w:themeFill="accent5" w:themeFillTint="99"/>
            <w:vAlign w:val="center"/>
          </w:tcPr>
          <w:p w14:paraId="7E6B01E8" w14:textId="77777777" w:rsidR="005364CA" w:rsidRPr="00510A66" w:rsidRDefault="005364CA" w:rsidP="00AC3862">
            <w:pPr>
              <w:tabs>
                <w:tab w:val="decimal" w:pos="526"/>
              </w:tabs>
              <w:jc w:val="center"/>
              <w:rPr>
                <w:color w:val="FFFFFF" w:themeColor="background1"/>
                <w:sz w:val="16"/>
                <w:szCs w:val="16"/>
              </w:rPr>
            </w:pPr>
            <w:r w:rsidRPr="00510A66">
              <w:rPr>
                <w:b/>
                <w:bCs/>
                <w:color w:val="FFFFFF" w:themeColor="background1"/>
                <w:sz w:val="16"/>
                <w:szCs w:val="16"/>
              </w:rPr>
              <w:t>Variación porcentual real respecto a:</w:t>
            </w:r>
          </w:p>
        </w:tc>
        <w:tc>
          <w:tcPr>
            <w:tcW w:w="172" w:type="dxa"/>
            <w:tcBorders>
              <w:left w:val="single" w:sz="4" w:space="0" w:color="F2F2F2" w:themeColor="background1" w:themeShade="F2"/>
              <w:right w:val="single" w:sz="4" w:space="0" w:color="F2F2F2" w:themeColor="background1" w:themeShade="F2"/>
            </w:tcBorders>
            <w:shd w:val="clear" w:color="auto" w:fill="8EAADB" w:themeFill="accent5" w:themeFillTint="99"/>
            <w:vAlign w:val="center"/>
          </w:tcPr>
          <w:p w14:paraId="6A352694" w14:textId="77777777" w:rsidR="005364CA" w:rsidRPr="00510A66" w:rsidRDefault="005364CA" w:rsidP="00AC3862">
            <w:pPr>
              <w:jc w:val="center"/>
              <w:rPr>
                <w:color w:val="FFFFFF" w:themeColor="background1"/>
                <w:sz w:val="16"/>
                <w:szCs w:val="16"/>
              </w:rPr>
            </w:pPr>
          </w:p>
        </w:tc>
        <w:tc>
          <w:tcPr>
            <w:tcW w:w="2005" w:type="dxa"/>
            <w:vMerge w:val="restart"/>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8EAADB" w:themeFill="accent5" w:themeFillTint="99"/>
            <w:noWrap/>
            <w:vAlign w:val="center"/>
          </w:tcPr>
          <w:p w14:paraId="1415DB01" w14:textId="77777777" w:rsidR="005364CA" w:rsidRPr="00510A66" w:rsidRDefault="005364CA" w:rsidP="00AC3862">
            <w:pPr>
              <w:ind w:left="57" w:right="-38"/>
              <w:jc w:val="center"/>
              <w:rPr>
                <w:color w:val="FFFFFF" w:themeColor="background1"/>
                <w:sz w:val="16"/>
                <w:szCs w:val="16"/>
              </w:rPr>
            </w:pPr>
            <w:r w:rsidRPr="00510A66">
              <w:rPr>
                <w:b/>
                <w:bCs/>
                <w:color w:val="FFFFFF" w:themeColor="background1"/>
                <w:sz w:val="16"/>
                <w:szCs w:val="16"/>
              </w:rPr>
              <w:t>Entidad federativa</w:t>
            </w:r>
          </w:p>
        </w:tc>
        <w:tc>
          <w:tcPr>
            <w:tcW w:w="2866"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EAADB" w:themeFill="accent5" w:themeFillTint="99"/>
            <w:vAlign w:val="center"/>
          </w:tcPr>
          <w:p w14:paraId="257F63AC" w14:textId="77777777" w:rsidR="005364CA" w:rsidRPr="00510A66" w:rsidRDefault="005364CA" w:rsidP="00AC3862">
            <w:pPr>
              <w:tabs>
                <w:tab w:val="decimal" w:pos="633"/>
              </w:tabs>
              <w:jc w:val="center"/>
              <w:rPr>
                <w:color w:val="FFFFFF" w:themeColor="background1"/>
                <w:sz w:val="16"/>
                <w:szCs w:val="16"/>
              </w:rPr>
            </w:pPr>
            <w:r w:rsidRPr="00510A66">
              <w:rPr>
                <w:b/>
                <w:bCs/>
                <w:color w:val="FFFFFF" w:themeColor="background1"/>
                <w:sz w:val="16"/>
                <w:szCs w:val="16"/>
              </w:rPr>
              <w:t>Variación porcentual real respecto a:</w:t>
            </w:r>
          </w:p>
        </w:tc>
      </w:tr>
      <w:tr w:rsidR="005364CA" w:rsidRPr="00510A66" w14:paraId="4467CEA0" w14:textId="77777777" w:rsidTr="00AC3862">
        <w:trPr>
          <w:trHeight w:hRule="exact" w:val="510"/>
          <w:jc w:val="center"/>
        </w:trPr>
        <w:tc>
          <w:tcPr>
            <w:tcW w:w="2062" w:type="dxa"/>
            <w:vMerge/>
            <w:tcBorders>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09B30E3B" w14:textId="77777777" w:rsidR="005364CA" w:rsidRPr="00510A66" w:rsidRDefault="005364CA" w:rsidP="00AC3862">
            <w:pPr>
              <w:ind w:left="57"/>
              <w:rPr>
                <w:rStyle w:val="Refdecomentario"/>
              </w:rPr>
            </w:pP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E74B5" w:themeFill="accent1" w:themeFillShade="BF"/>
            <w:vAlign w:val="center"/>
          </w:tcPr>
          <w:p w14:paraId="3535A1CF" w14:textId="77777777" w:rsidR="005364CA" w:rsidRPr="005F4A89" w:rsidRDefault="005364CA" w:rsidP="00AC3862">
            <w:pPr>
              <w:jc w:val="center"/>
              <w:rPr>
                <w:b/>
                <w:bCs/>
                <w:color w:val="FFFFFF" w:themeColor="background1"/>
                <w:sz w:val="16"/>
                <w:szCs w:val="16"/>
              </w:rPr>
            </w:pPr>
            <w:r w:rsidRPr="005F4A89">
              <w:rPr>
                <w:b/>
                <w:bCs/>
                <w:color w:val="FFFFFF" w:themeColor="background1"/>
                <w:sz w:val="16"/>
                <w:szCs w:val="16"/>
              </w:rPr>
              <w:t>4.° trimestre</w:t>
            </w:r>
          </w:p>
          <w:p w14:paraId="658D5AC3" w14:textId="77777777" w:rsidR="005364CA" w:rsidRPr="005F4A89" w:rsidRDefault="005364CA" w:rsidP="00AC3862">
            <w:pPr>
              <w:jc w:val="center"/>
              <w:rPr>
                <w:b/>
                <w:bCs/>
                <w:color w:val="FFFFFF" w:themeColor="background1"/>
                <w:sz w:val="16"/>
                <w:szCs w:val="16"/>
              </w:rPr>
            </w:pPr>
            <w:r w:rsidRPr="005F4A89">
              <w:rPr>
                <w:b/>
                <w:bCs/>
                <w:color w:val="FFFFFF" w:themeColor="background1"/>
                <w:sz w:val="16"/>
                <w:szCs w:val="16"/>
              </w:rPr>
              <w:t>de 2024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E74B5" w:themeFill="accent1" w:themeFillShade="BF"/>
            <w:noWrap/>
            <w:vAlign w:val="center"/>
          </w:tcPr>
          <w:p w14:paraId="7ADFDF80" w14:textId="77777777" w:rsidR="005364CA" w:rsidRPr="005F4A89" w:rsidRDefault="005364CA" w:rsidP="00AC3862">
            <w:pPr>
              <w:jc w:val="center"/>
              <w:rPr>
                <w:b/>
                <w:bCs/>
                <w:color w:val="FFFFFF" w:themeColor="background1"/>
                <w:sz w:val="16"/>
                <w:szCs w:val="16"/>
              </w:rPr>
            </w:pPr>
            <w:r w:rsidRPr="005F4A89">
              <w:rPr>
                <w:b/>
                <w:bCs/>
                <w:color w:val="FFFFFF" w:themeColor="background1"/>
                <w:sz w:val="16"/>
                <w:szCs w:val="16"/>
              </w:rPr>
              <w:t>1.</w:t>
            </w:r>
            <w:r w:rsidRPr="005F4A89">
              <w:rPr>
                <w:b/>
                <w:bCs/>
                <w:color w:val="FFFFFF" w:themeColor="background1"/>
                <w:sz w:val="16"/>
                <w:szCs w:val="16"/>
                <w:vertAlign w:val="superscript"/>
              </w:rPr>
              <w:t>er</w:t>
            </w:r>
            <w:r w:rsidRPr="005F4A89">
              <w:rPr>
                <w:b/>
                <w:bCs/>
                <w:color w:val="FFFFFF" w:themeColor="background1"/>
                <w:sz w:val="16"/>
                <w:szCs w:val="16"/>
              </w:rPr>
              <w:t xml:space="preserve"> trimestre</w:t>
            </w:r>
          </w:p>
          <w:p w14:paraId="798E2A95" w14:textId="77777777" w:rsidR="005364CA" w:rsidRPr="005F4A89" w:rsidRDefault="005364CA" w:rsidP="00AC3862">
            <w:pPr>
              <w:jc w:val="center"/>
              <w:rPr>
                <w:b/>
                <w:bCs/>
                <w:color w:val="FFFFFF" w:themeColor="background1"/>
                <w:sz w:val="16"/>
                <w:szCs w:val="16"/>
              </w:rPr>
            </w:pPr>
            <w:r w:rsidRPr="005F4A89">
              <w:rPr>
                <w:b/>
                <w:bCs/>
                <w:color w:val="FFFFFF" w:themeColor="background1"/>
                <w:sz w:val="16"/>
                <w:szCs w:val="16"/>
              </w:rPr>
              <w:t>de 2024</w:t>
            </w:r>
          </w:p>
        </w:tc>
        <w:tc>
          <w:tcPr>
            <w:tcW w:w="172" w:type="dxa"/>
            <w:tcBorders>
              <w:left w:val="single" w:sz="4" w:space="0" w:color="F2F2F2" w:themeColor="background1" w:themeShade="F2"/>
              <w:right w:val="single" w:sz="4" w:space="0" w:color="F2F2F2" w:themeColor="background1" w:themeShade="F2"/>
            </w:tcBorders>
            <w:vAlign w:val="center"/>
          </w:tcPr>
          <w:p w14:paraId="5E048459" w14:textId="77777777" w:rsidR="005364CA" w:rsidRPr="00510A66" w:rsidRDefault="005364CA" w:rsidP="00AC3862">
            <w:pPr>
              <w:jc w:val="center"/>
              <w:rPr>
                <w:color w:val="000000"/>
                <w:sz w:val="16"/>
                <w:szCs w:val="16"/>
              </w:rPr>
            </w:pPr>
          </w:p>
        </w:tc>
        <w:tc>
          <w:tcPr>
            <w:tcW w:w="2005" w:type="dxa"/>
            <w:vMerge/>
            <w:tcBorders>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6E562BA9" w14:textId="77777777" w:rsidR="005364CA" w:rsidRPr="00510A66" w:rsidRDefault="005364CA" w:rsidP="00AC3862">
            <w:pPr>
              <w:ind w:left="57" w:right="-38"/>
              <w:rPr>
                <w:color w:val="000000"/>
                <w:sz w:val="16"/>
                <w:szCs w:val="16"/>
              </w:rPr>
            </w:pP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E74B5" w:themeFill="accent1" w:themeFillShade="BF"/>
            <w:vAlign w:val="center"/>
          </w:tcPr>
          <w:p w14:paraId="7AD5F0B8" w14:textId="77777777" w:rsidR="005364CA" w:rsidRPr="005F4A89" w:rsidRDefault="005364CA" w:rsidP="00AC3862">
            <w:pPr>
              <w:jc w:val="center"/>
              <w:rPr>
                <w:b/>
                <w:bCs/>
                <w:color w:val="FFFFFF" w:themeColor="background1"/>
                <w:sz w:val="16"/>
                <w:szCs w:val="16"/>
              </w:rPr>
            </w:pPr>
            <w:r w:rsidRPr="005F4A89">
              <w:rPr>
                <w:b/>
                <w:bCs/>
                <w:color w:val="FFFFFF" w:themeColor="background1"/>
                <w:sz w:val="16"/>
                <w:szCs w:val="16"/>
              </w:rPr>
              <w:t>4.° trimestre</w:t>
            </w:r>
          </w:p>
          <w:p w14:paraId="7C80CCA2" w14:textId="77777777" w:rsidR="005364CA" w:rsidRPr="005F4A89" w:rsidRDefault="005364CA" w:rsidP="00AC3862">
            <w:pPr>
              <w:tabs>
                <w:tab w:val="decimal" w:pos="633"/>
              </w:tabs>
              <w:jc w:val="center"/>
              <w:rPr>
                <w:color w:val="FFFFFF" w:themeColor="background1"/>
                <w:sz w:val="16"/>
                <w:szCs w:val="16"/>
              </w:rPr>
            </w:pPr>
            <w:r w:rsidRPr="005F4A89">
              <w:rPr>
                <w:b/>
                <w:bCs/>
                <w:color w:val="FFFFFF" w:themeColor="background1"/>
                <w:sz w:val="16"/>
                <w:szCs w:val="16"/>
              </w:rPr>
              <w:t>de 2024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E74B5" w:themeFill="accent1" w:themeFillShade="BF"/>
            <w:noWrap/>
            <w:vAlign w:val="center"/>
          </w:tcPr>
          <w:p w14:paraId="7437648D" w14:textId="77777777" w:rsidR="005364CA" w:rsidRPr="005F4A89" w:rsidRDefault="005364CA" w:rsidP="00AC3862">
            <w:pPr>
              <w:jc w:val="center"/>
              <w:rPr>
                <w:b/>
                <w:bCs/>
                <w:color w:val="FFFFFF" w:themeColor="background1"/>
                <w:sz w:val="16"/>
                <w:szCs w:val="16"/>
              </w:rPr>
            </w:pPr>
            <w:r w:rsidRPr="005F4A89">
              <w:rPr>
                <w:b/>
                <w:bCs/>
                <w:color w:val="FFFFFF" w:themeColor="background1"/>
                <w:sz w:val="16"/>
                <w:szCs w:val="16"/>
              </w:rPr>
              <w:t>1.</w:t>
            </w:r>
            <w:r w:rsidRPr="005F4A89">
              <w:rPr>
                <w:b/>
                <w:bCs/>
                <w:color w:val="FFFFFF" w:themeColor="background1"/>
                <w:sz w:val="16"/>
                <w:szCs w:val="16"/>
                <w:vertAlign w:val="superscript"/>
              </w:rPr>
              <w:t>er</w:t>
            </w:r>
            <w:r w:rsidRPr="005F4A89">
              <w:rPr>
                <w:b/>
                <w:bCs/>
                <w:color w:val="FFFFFF" w:themeColor="background1"/>
                <w:sz w:val="16"/>
                <w:szCs w:val="16"/>
              </w:rPr>
              <w:t xml:space="preserve"> trimestre</w:t>
            </w:r>
          </w:p>
          <w:p w14:paraId="0C195F40" w14:textId="77777777" w:rsidR="005364CA" w:rsidRPr="005F4A89" w:rsidRDefault="005364CA" w:rsidP="00AC3862">
            <w:pPr>
              <w:tabs>
                <w:tab w:val="decimal" w:pos="633"/>
              </w:tabs>
              <w:jc w:val="center"/>
              <w:rPr>
                <w:color w:val="FFFFFF" w:themeColor="background1"/>
                <w:sz w:val="16"/>
                <w:szCs w:val="16"/>
              </w:rPr>
            </w:pPr>
            <w:r w:rsidRPr="005F4A89">
              <w:rPr>
                <w:b/>
                <w:bCs/>
                <w:color w:val="FFFFFF" w:themeColor="background1"/>
                <w:sz w:val="16"/>
                <w:szCs w:val="16"/>
              </w:rPr>
              <w:t>de 2024</w:t>
            </w:r>
          </w:p>
        </w:tc>
      </w:tr>
      <w:tr w:rsidR="005364CA" w:rsidRPr="00510A66" w14:paraId="38ECDBFA"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5D6EA8B0" w14:textId="77777777" w:rsidR="005364CA" w:rsidRPr="00510A66" w:rsidRDefault="005364CA" w:rsidP="00AC3862">
            <w:pPr>
              <w:ind w:left="57"/>
              <w:rPr>
                <w:color w:val="000000"/>
                <w:sz w:val="16"/>
                <w:szCs w:val="16"/>
              </w:rPr>
            </w:pPr>
            <w:r w:rsidRPr="00510A66">
              <w:rPr>
                <w:color w:val="000000"/>
                <w:sz w:val="16"/>
                <w:szCs w:val="16"/>
              </w:rPr>
              <w:t>Aguascalientes</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hideMark/>
          </w:tcPr>
          <w:p w14:paraId="794A5C99" w14:textId="77777777" w:rsidR="005364CA" w:rsidRPr="00510A66" w:rsidRDefault="005364CA" w:rsidP="00AC3862">
            <w:pPr>
              <w:tabs>
                <w:tab w:val="decimal" w:pos="631"/>
              </w:tabs>
              <w:rPr>
                <w:color w:val="000000"/>
                <w:sz w:val="16"/>
                <w:szCs w:val="16"/>
              </w:rPr>
            </w:pPr>
            <w:r w:rsidRPr="00510A66">
              <w:rPr>
                <w:color w:val="000000"/>
                <w:sz w:val="16"/>
                <w:szCs w:val="16"/>
              </w:rPr>
              <w:t>0.6</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34CF52AB" w14:textId="77777777" w:rsidR="005364CA" w:rsidRPr="00510A66" w:rsidRDefault="005364CA" w:rsidP="00AC3862">
            <w:pPr>
              <w:tabs>
                <w:tab w:val="decimal" w:pos="608"/>
              </w:tabs>
              <w:rPr>
                <w:color w:val="000000"/>
                <w:sz w:val="16"/>
                <w:szCs w:val="16"/>
              </w:rPr>
            </w:pPr>
            <w:r w:rsidRPr="00510A66">
              <w:rPr>
                <w:color w:val="000000"/>
                <w:sz w:val="16"/>
                <w:szCs w:val="16"/>
              </w:rPr>
              <w:t>0.9</w:t>
            </w:r>
          </w:p>
        </w:tc>
        <w:tc>
          <w:tcPr>
            <w:tcW w:w="172" w:type="dxa"/>
            <w:tcBorders>
              <w:left w:val="single" w:sz="4" w:space="0" w:color="F2F2F2" w:themeColor="background1" w:themeShade="F2"/>
              <w:right w:val="single" w:sz="4" w:space="0" w:color="F2F2F2" w:themeColor="background1" w:themeShade="F2"/>
            </w:tcBorders>
            <w:vAlign w:val="center"/>
          </w:tcPr>
          <w:p w14:paraId="10A331FB"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5FC12513" w14:textId="77777777" w:rsidR="005364CA" w:rsidRPr="00510A66" w:rsidRDefault="005364CA" w:rsidP="00AC3862">
            <w:pPr>
              <w:ind w:left="57" w:right="-38"/>
              <w:rPr>
                <w:color w:val="000000"/>
                <w:sz w:val="16"/>
                <w:szCs w:val="16"/>
              </w:rPr>
            </w:pPr>
            <w:r w:rsidRPr="00510A66">
              <w:rPr>
                <w:color w:val="000000"/>
                <w:sz w:val="16"/>
                <w:szCs w:val="16"/>
              </w:rPr>
              <w:t>Morelos</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0FB84144" w14:textId="77777777" w:rsidR="005364CA" w:rsidRPr="00510A66" w:rsidRDefault="005364CA" w:rsidP="00AC3862">
            <w:pPr>
              <w:tabs>
                <w:tab w:val="decimal" w:pos="633"/>
              </w:tabs>
              <w:rPr>
                <w:color w:val="000000"/>
                <w:sz w:val="16"/>
                <w:szCs w:val="16"/>
              </w:rPr>
            </w:pPr>
            <w:r w:rsidRPr="00510A66">
              <w:rPr>
                <w:color w:val="000000"/>
                <w:sz w:val="16"/>
                <w:szCs w:val="16"/>
              </w:rPr>
              <w:t>1.9</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2AAC8EBE" w14:textId="77777777" w:rsidR="005364CA" w:rsidRPr="00510A66" w:rsidRDefault="005364CA" w:rsidP="00AC3862">
            <w:pPr>
              <w:tabs>
                <w:tab w:val="decimal" w:pos="633"/>
              </w:tabs>
              <w:rPr>
                <w:color w:val="000000"/>
                <w:sz w:val="16"/>
                <w:szCs w:val="16"/>
              </w:rPr>
            </w:pPr>
            <w:r w:rsidRPr="00510A66">
              <w:rPr>
                <w:color w:val="000000"/>
                <w:sz w:val="16"/>
                <w:szCs w:val="16"/>
              </w:rPr>
              <w:t>2.1</w:t>
            </w:r>
          </w:p>
        </w:tc>
      </w:tr>
      <w:tr w:rsidR="005364CA" w:rsidRPr="00510A66" w14:paraId="41548D18"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71BFCE33" w14:textId="77777777" w:rsidR="005364CA" w:rsidRPr="00510A66" w:rsidRDefault="005364CA" w:rsidP="00AC3862">
            <w:pPr>
              <w:ind w:left="57"/>
              <w:rPr>
                <w:color w:val="000000"/>
                <w:sz w:val="16"/>
                <w:szCs w:val="16"/>
              </w:rPr>
            </w:pPr>
            <w:r w:rsidRPr="00510A66">
              <w:rPr>
                <w:color w:val="000000"/>
                <w:sz w:val="16"/>
                <w:szCs w:val="16"/>
              </w:rPr>
              <w:t>Baja California</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hideMark/>
          </w:tcPr>
          <w:p w14:paraId="66566633" w14:textId="77777777" w:rsidR="005364CA" w:rsidRPr="00510A66" w:rsidRDefault="005364CA" w:rsidP="00AC3862">
            <w:pPr>
              <w:tabs>
                <w:tab w:val="decimal" w:pos="631"/>
              </w:tabs>
              <w:rPr>
                <w:color w:val="000000"/>
                <w:sz w:val="16"/>
                <w:szCs w:val="16"/>
              </w:rPr>
            </w:pPr>
            <w:r w:rsidRPr="00510A66">
              <w:rPr>
                <w:color w:val="000000"/>
                <w:sz w:val="16"/>
                <w:szCs w:val="16"/>
              </w:rPr>
              <w:t>0.8</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1B9B8D1E" w14:textId="77777777" w:rsidR="005364CA" w:rsidRPr="00510A66" w:rsidRDefault="005364CA" w:rsidP="00AC3862">
            <w:pPr>
              <w:tabs>
                <w:tab w:val="decimal" w:pos="608"/>
              </w:tabs>
              <w:rPr>
                <w:color w:val="000000"/>
                <w:sz w:val="16"/>
                <w:szCs w:val="16"/>
              </w:rPr>
            </w:pPr>
            <w:r w:rsidRPr="00510A66">
              <w:rPr>
                <w:color w:val="000000"/>
                <w:sz w:val="16"/>
                <w:szCs w:val="16"/>
              </w:rPr>
              <w:t>1.2</w:t>
            </w:r>
          </w:p>
        </w:tc>
        <w:tc>
          <w:tcPr>
            <w:tcW w:w="172" w:type="dxa"/>
            <w:tcBorders>
              <w:left w:val="single" w:sz="4" w:space="0" w:color="F2F2F2" w:themeColor="background1" w:themeShade="F2"/>
              <w:right w:val="single" w:sz="4" w:space="0" w:color="F2F2F2" w:themeColor="background1" w:themeShade="F2"/>
            </w:tcBorders>
            <w:vAlign w:val="center"/>
          </w:tcPr>
          <w:p w14:paraId="39818287"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38794B96" w14:textId="77777777" w:rsidR="005364CA" w:rsidRPr="00510A66" w:rsidRDefault="005364CA" w:rsidP="00AC3862">
            <w:pPr>
              <w:ind w:left="57" w:right="-38"/>
              <w:rPr>
                <w:color w:val="000000"/>
                <w:sz w:val="16"/>
                <w:szCs w:val="16"/>
              </w:rPr>
            </w:pPr>
            <w:r w:rsidRPr="00510A66">
              <w:rPr>
                <w:color w:val="000000"/>
                <w:sz w:val="16"/>
                <w:szCs w:val="16"/>
              </w:rPr>
              <w:t>Nayarit</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20558B77" w14:textId="77777777" w:rsidR="005364CA" w:rsidRPr="00510A66" w:rsidRDefault="005364CA" w:rsidP="00AC3862">
            <w:pPr>
              <w:tabs>
                <w:tab w:val="decimal" w:pos="633"/>
              </w:tabs>
              <w:rPr>
                <w:color w:val="000000"/>
                <w:sz w:val="16"/>
                <w:szCs w:val="16"/>
              </w:rPr>
            </w:pPr>
            <w:r w:rsidRPr="00510A66">
              <w:rPr>
                <w:color w:val="000000"/>
                <w:sz w:val="16"/>
                <w:szCs w:val="16"/>
              </w:rPr>
              <w:t>3.3</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0CD42322" w14:textId="77777777" w:rsidR="005364CA" w:rsidRPr="00510A66" w:rsidRDefault="005364CA" w:rsidP="00AC3862">
            <w:pPr>
              <w:tabs>
                <w:tab w:val="decimal" w:pos="633"/>
              </w:tabs>
              <w:rPr>
                <w:color w:val="000000"/>
                <w:sz w:val="16"/>
                <w:szCs w:val="16"/>
              </w:rPr>
            </w:pPr>
            <w:r w:rsidRPr="00510A66">
              <w:rPr>
                <w:color w:val="000000"/>
                <w:sz w:val="16"/>
                <w:szCs w:val="16"/>
              </w:rPr>
              <w:t>4.7</w:t>
            </w:r>
          </w:p>
        </w:tc>
      </w:tr>
      <w:tr w:rsidR="005364CA" w:rsidRPr="00510A66" w14:paraId="03FEE622"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63B59EF8" w14:textId="77777777" w:rsidR="005364CA" w:rsidRPr="00510A66" w:rsidRDefault="005364CA" w:rsidP="00AC3862">
            <w:pPr>
              <w:ind w:left="57"/>
              <w:rPr>
                <w:color w:val="000000"/>
                <w:sz w:val="16"/>
                <w:szCs w:val="16"/>
              </w:rPr>
            </w:pPr>
            <w:r w:rsidRPr="00510A66">
              <w:rPr>
                <w:color w:val="000000"/>
                <w:sz w:val="16"/>
                <w:szCs w:val="16"/>
              </w:rPr>
              <w:t>Baja California Sur</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hideMark/>
          </w:tcPr>
          <w:p w14:paraId="49A07459" w14:textId="77777777" w:rsidR="005364CA" w:rsidRPr="00510A66" w:rsidRDefault="005364CA" w:rsidP="00AC3862">
            <w:pPr>
              <w:tabs>
                <w:tab w:val="decimal" w:pos="631"/>
              </w:tabs>
              <w:rPr>
                <w:color w:val="000000"/>
                <w:sz w:val="16"/>
                <w:szCs w:val="16"/>
              </w:rPr>
            </w:pPr>
            <w:r w:rsidRPr="00510A66">
              <w:rPr>
                <w:color w:val="000000"/>
                <w:sz w:val="16"/>
                <w:szCs w:val="16"/>
              </w:rPr>
              <w:t>1.8</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2B9C5585" w14:textId="77777777" w:rsidR="005364CA" w:rsidRPr="00510A66" w:rsidRDefault="005364CA" w:rsidP="00AC3862">
            <w:pPr>
              <w:tabs>
                <w:tab w:val="decimal" w:pos="608"/>
              </w:tabs>
              <w:rPr>
                <w:color w:val="000000"/>
                <w:sz w:val="16"/>
                <w:szCs w:val="16"/>
              </w:rPr>
            </w:pPr>
            <w:r w:rsidRPr="00510A66">
              <w:rPr>
                <w:color w:val="000000"/>
                <w:sz w:val="16"/>
                <w:szCs w:val="16"/>
              </w:rPr>
              <w:t>3.9</w:t>
            </w:r>
          </w:p>
        </w:tc>
        <w:tc>
          <w:tcPr>
            <w:tcW w:w="172" w:type="dxa"/>
            <w:tcBorders>
              <w:left w:val="single" w:sz="4" w:space="0" w:color="F2F2F2" w:themeColor="background1" w:themeShade="F2"/>
              <w:right w:val="single" w:sz="4" w:space="0" w:color="F2F2F2" w:themeColor="background1" w:themeShade="F2"/>
            </w:tcBorders>
            <w:vAlign w:val="center"/>
          </w:tcPr>
          <w:p w14:paraId="2789AB55"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677E9173" w14:textId="77777777" w:rsidR="005364CA" w:rsidRPr="00510A66" w:rsidRDefault="005364CA" w:rsidP="00AC3862">
            <w:pPr>
              <w:ind w:left="57" w:right="-38"/>
              <w:rPr>
                <w:color w:val="000000"/>
                <w:sz w:val="16"/>
                <w:szCs w:val="16"/>
              </w:rPr>
            </w:pPr>
            <w:r w:rsidRPr="00510A66">
              <w:rPr>
                <w:color w:val="000000"/>
                <w:sz w:val="16"/>
                <w:szCs w:val="16"/>
              </w:rPr>
              <w:t>Nuevo León</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7D9EE41B" w14:textId="77777777" w:rsidR="005364CA" w:rsidRPr="00510A66" w:rsidRDefault="005364CA" w:rsidP="00AC3862">
            <w:pPr>
              <w:tabs>
                <w:tab w:val="decimal" w:pos="633"/>
              </w:tabs>
              <w:rPr>
                <w:color w:val="000000"/>
                <w:sz w:val="16"/>
                <w:szCs w:val="16"/>
              </w:rPr>
            </w:pPr>
            <w:r w:rsidRPr="00510A66">
              <w:rPr>
                <w:color w:val="000000"/>
                <w:sz w:val="16"/>
                <w:szCs w:val="16"/>
              </w:rPr>
              <w:t>-1.1</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53A1DF43" w14:textId="77777777" w:rsidR="005364CA" w:rsidRPr="00510A66" w:rsidRDefault="005364CA" w:rsidP="00AC3862">
            <w:pPr>
              <w:tabs>
                <w:tab w:val="decimal" w:pos="633"/>
              </w:tabs>
              <w:rPr>
                <w:color w:val="000000"/>
                <w:sz w:val="16"/>
                <w:szCs w:val="16"/>
              </w:rPr>
            </w:pPr>
            <w:r w:rsidRPr="00510A66">
              <w:rPr>
                <w:color w:val="000000"/>
                <w:sz w:val="16"/>
                <w:szCs w:val="16"/>
              </w:rPr>
              <w:t>1.3</w:t>
            </w:r>
          </w:p>
        </w:tc>
      </w:tr>
      <w:tr w:rsidR="005364CA" w:rsidRPr="00510A66" w14:paraId="14D69570"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64CF6331" w14:textId="77777777" w:rsidR="005364CA" w:rsidRPr="00510A66" w:rsidRDefault="005364CA" w:rsidP="00AC3862">
            <w:pPr>
              <w:ind w:left="57"/>
              <w:rPr>
                <w:color w:val="000000"/>
                <w:sz w:val="16"/>
                <w:szCs w:val="16"/>
              </w:rPr>
            </w:pPr>
            <w:r w:rsidRPr="00510A66">
              <w:rPr>
                <w:color w:val="000000"/>
                <w:sz w:val="16"/>
                <w:szCs w:val="16"/>
              </w:rPr>
              <w:t>Campeche</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hideMark/>
          </w:tcPr>
          <w:p w14:paraId="031D3B87" w14:textId="77777777" w:rsidR="005364CA" w:rsidRPr="00510A66" w:rsidRDefault="005364CA" w:rsidP="00AC3862">
            <w:pPr>
              <w:tabs>
                <w:tab w:val="decimal" w:pos="631"/>
              </w:tabs>
              <w:rPr>
                <w:color w:val="000000"/>
                <w:sz w:val="16"/>
                <w:szCs w:val="16"/>
              </w:rPr>
            </w:pPr>
            <w:r w:rsidRPr="00510A66">
              <w:rPr>
                <w:color w:val="000000"/>
                <w:sz w:val="16"/>
                <w:szCs w:val="16"/>
              </w:rPr>
              <w:t>-6.4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13814CAA" w14:textId="77777777" w:rsidR="005364CA" w:rsidRPr="00510A66" w:rsidRDefault="005364CA" w:rsidP="00AC3862">
            <w:pPr>
              <w:tabs>
                <w:tab w:val="decimal" w:pos="608"/>
              </w:tabs>
              <w:rPr>
                <w:color w:val="000000"/>
                <w:sz w:val="16"/>
                <w:szCs w:val="16"/>
              </w:rPr>
            </w:pPr>
            <w:r w:rsidRPr="00510A66">
              <w:rPr>
                <w:color w:val="000000"/>
                <w:sz w:val="16"/>
                <w:szCs w:val="16"/>
              </w:rPr>
              <w:t>-16.8</w:t>
            </w:r>
          </w:p>
        </w:tc>
        <w:tc>
          <w:tcPr>
            <w:tcW w:w="172" w:type="dxa"/>
            <w:tcBorders>
              <w:left w:val="single" w:sz="4" w:space="0" w:color="F2F2F2" w:themeColor="background1" w:themeShade="F2"/>
              <w:right w:val="single" w:sz="4" w:space="0" w:color="F2F2F2" w:themeColor="background1" w:themeShade="F2"/>
            </w:tcBorders>
            <w:vAlign w:val="center"/>
          </w:tcPr>
          <w:p w14:paraId="6266C616"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1BCA30E8" w14:textId="77777777" w:rsidR="005364CA" w:rsidRPr="00510A66" w:rsidRDefault="005364CA" w:rsidP="00AC3862">
            <w:pPr>
              <w:ind w:left="57" w:right="-38"/>
              <w:rPr>
                <w:color w:val="000000"/>
                <w:sz w:val="16"/>
                <w:szCs w:val="16"/>
              </w:rPr>
            </w:pPr>
            <w:r w:rsidRPr="00510A66">
              <w:rPr>
                <w:color w:val="000000"/>
                <w:sz w:val="16"/>
                <w:szCs w:val="16"/>
              </w:rPr>
              <w:t>Oaxaca</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36C2F1E0" w14:textId="77777777" w:rsidR="005364CA" w:rsidRPr="00510A66" w:rsidRDefault="005364CA" w:rsidP="00AC3862">
            <w:pPr>
              <w:tabs>
                <w:tab w:val="decimal" w:pos="633"/>
              </w:tabs>
              <w:rPr>
                <w:color w:val="000000"/>
                <w:sz w:val="16"/>
                <w:szCs w:val="16"/>
              </w:rPr>
            </w:pPr>
            <w:r w:rsidRPr="00510A66">
              <w:rPr>
                <w:color w:val="000000"/>
                <w:sz w:val="16"/>
                <w:szCs w:val="16"/>
              </w:rPr>
              <w:t>1.6</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6FC5DDB0" w14:textId="77777777" w:rsidR="005364CA" w:rsidRPr="00510A66" w:rsidRDefault="005364CA" w:rsidP="00AC3862">
            <w:pPr>
              <w:tabs>
                <w:tab w:val="decimal" w:pos="633"/>
              </w:tabs>
              <w:rPr>
                <w:color w:val="000000"/>
                <w:sz w:val="16"/>
                <w:szCs w:val="16"/>
              </w:rPr>
            </w:pPr>
            <w:r w:rsidRPr="00510A66">
              <w:rPr>
                <w:color w:val="000000"/>
                <w:sz w:val="16"/>
                <w:szCs w:val="16"/>
              </w:rPr>
              <w:t>5.7</w:t>
            </w:r>
          </w:p>
        </w:tc>
      </w:tr>
      <w:tr w:rsidR="005364CA" w:rsidRPr="00510A66" w14:paraId="49D56F3C"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072F9DC4" w14:textId="77777777" w:rsidR="005364CA" w:rsidRPr="00510A66" w:rsidRDefault="005364CA" w:rsidP="00AC3862">
            <w:pPr>
              <w:ind w:left="57"/>
              <w:rPr>
                <w:color w:val="000000"/>
                <w:sz w:val="16"/>
                <w:szCs w:val="16"/>
              </w:rPr>
            </w:pPr>
            <w:r w:rsidRPr="00510A66">
              <w:rPr>
                <w:color w:val="000000"/>
                <w:sz w:val="16"/>
                <w:szCs w:val="16"/>
              </w:rPr>
              <w:t>Coahuila de Zaragoza</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hideMark/>
          </w:tcPr>
          <w:p w14:paraId="48C424E5" w14:textId="77777777" w:rsidR="005364CA" w:rsidRPr="00510A66" w:rsidRDefault="005364CA" w:rsidP="00AC3862">
            <w:pPr>
              <w:tabs>
                <w:tab w:val="decimal" w:pos="631"/>
              </w:tabs>
              <w:rPr>
                <w:color w:val="000000"/>
                <w:sz w:val="16"/>
                <w:szCs w:val="16"/>
              </w:rPr>
            </w:pPr>
            <w:r w:rsidRPr="00510A66">
              <w:rPr>
                <w:color w:val="000000"/>
                <w:sz w:val="16"/>
                <w:szCs w:val="16"/>
              </w:rPr>
              <w:t>-1.4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27C843FA" w14:textId="77777777" w:rsidR="005364CA" w:rsidRPr="00510A66" w:rsidRDefault="005364CA" w:rsidP="00AC3862">
            <w:pPr>
              <w:tabs>
                <w:tab w:val="decimal" w:pos="608"/>
              </w:tabs>
              <w:rPr>
                <w:color w:val="000000"/>
                <w:sz w:val="16"/>
                <w:szCs w:val="16"/>
              </w:rPr>
            </w:pPr>
            <w:r w:rsidRPr="00510A66">
              <w:rPr>
                <w:color w:val="000000"/>
                <w:sz w:val="16"/>
                <w:szCs w:val="16"/>
              </w:rPr>
              <w:t>0.7</w:t>
            </w:r>
          </w:p>
        </w:tc>
        <w:tc>
          <w:tcPr>
            <w:tcW w:w="172" w:type="dxa"/>
            <w:tcBorders>
              <w:left w:val="single" w:sz="4" w:space="0" w:color="F2F2F2" w:themeColor="background1" w:themeShade="F2"/>
              <w:right w:val="single" w:sz="4" w:space="0" w:color="F2F2F2" w:themeColor="background1" w:themeShade="F2"/>
            </w:tcBorders>
            <w:vAlign w:val="center"/>
          </w:tcPr>
          <w:p w14:paraId="48E49F0B"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05B63EF1" w14:textId="77777777" w:rsidR="005364CA" w:rsidRPr="00510A66" w:rsidRDefault="005364CA" w:rsidP="00AC3862">
            <w:pPr>
              <w:ind w:left="57" w:right="-38"/>
              <w:rPr>
                <w:color w:val="000000"/>
                <w:sz w:val="16"/>
                <w:szCs w:val="16"/>
              </w:rPr>
            </w:pPr>
            <w:r w:rsidRPr="00510A66">
              <w:rPr>
                <w:color w:val="000000"/>
                <w:sz w:val="16"/>
                <w:szCs w:val="16"/>
              </w:rPr>
              <w:t>Puebla</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3B996424" w14:textId="77777777" w:rsidR="005364CA" w:rsidRPr="00510A66" w:rsidRDefault="005364CA" w:rsidP="00AC3862">
            <w:pPr>
              <w:tabs>
                <w:tab w:val="decimal" w:pos="633"/>
              </w:tabs>
              <w:rPr>
                <w:color w:val="000000"/>
                <w:sz w:val="16"/>
                <w:szCs w:val="16"/>
              </w:rPr>
            </w:pPr>
            <w:r w:rsidRPr="00510A66">
              <w:rPr>
                <w:color w:val="000000"/>
                <w:sz w:val="16"/>
                <w:szCs w:val="16"/>
              </w:rPr>
              <w:t>-0.7</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06A38296" w14:textId="77777777" w:rsidR="005364CA" w:rsidRPr="00510A66" w:rsidRDefault="005364CA" w:rsidP="00AC3862">
            <w:pPr>
              <w:tabs>
                <w:tab w:val="decimal" w:pos="633"/>
              </w:tabs>
              <w:rPr>
                <w:color w:val="000000"/>
                <w:sz w:val="16"/>
                <w:szCs w:val="16"/>
              </w:rPr>
            </w:pPr>
            <w:r w:rsidRPr="00510A66">
              <w:rPr>
                <w:color w:val="000000"/>
                <w:sz w:val="16"/>
                <w:szCs w:val="16"/>
              </w:rPr>
              <w:t>-0.7</w:t>
            </w:r>
          </w:p>
        </w:tc>
      </w:tr>
      <w:tr w:rsidR="005364CA" w:rsidRPr="00510A66" w14:paraId="58D7B897"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1C193A39" w14:textId="77777777" w:rsidR="005364CA" w:rsidRPr="00510A66" w:rsidRDefault="005364CA" w:rsidP="00AC3862">
            <w:pPr>
              <w:ind w:left="57"/>
              <w:rPr>
                <w:color w:val="000000"/>
                <w:sz w:val="16"/>
                <w:szCs w:val="16"/>
              </w:rPr>
            </w:pPr>
            <w:r w:rsidRPr="00510A66">
              <w:rPr>
                <w:color w:val="000000"/>
                <w:sz w:val="16"/>
                <w:szCs w:val="16"/>
              </w:rPr>
              <w:t>Colima</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hideMark/>
          </w:tcPr>
          <w:p w14:paraId="0EDB65FD" w14:textId="77777777" w:rsidR="005364CA" w:rsidRPr="00510A66" w:rsidRDefault="005364CA" w:rsidP="00AC3862">
            <w:pPr>
              <w:tabs>
                <w:tab w:val="decimal" w:pos="631"/>
              </w:tabs>
              <w:rPr>
                <w:color w:val="000000"/>
                <w:sz w:val="16"/>
                <w:szCs w:val="16"/>
              </w:rPr>
            </w:pPr>
            <w:r w:rsidRPr="00510A66">
              <w:rPr>
                <w:color w:val="000000"/>
                <w:sz w:val="16"/>
                <w:szCs w:val="16"/>
              </w:rPr>
              <w:t>1.6</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11E4671E" w14:textId="77777777" w:rsidR="005364CA" w:rsidRPr="00510A66" w:rsidRDefault="005364CA" w:rsidP="00AC3862">
            <w:pPr>
              <w:tabs>
                <w:tab w:val="decimal" w:pos="608"/>
              </w:tabs>
              <w:rPr>
                <w:color w:val="000000"/>
                <w:sz w:val="16"/>
                <w:szCs w:val="16"/>
              </w:rPr>
            </w:pPr>
            <w:r w:rsidRPr="00510A66">
              <w:rPr>
                <w:color w:val="000000"/>
                <w:sz w:val="16"/>
                <w:szCs w:val="16"/>
              </w:rPr>
              <w:t>2.6</w:t>
            </w:r>
          </w:p>
        </w:tc>
        <w:tc>
          <w:tcPr>
            <w:tcW w:w="172" w:type="dxa"/>
            <w:tcBorders>
              <w:left w:val="single" w:sz="4" w:space="0" w:color="F2F2F2" w:themeColor="background1" w:themeShade="F2"/>
              <w:right w:val="single" w:sz="4" w:space="0" w:color="F2F2F2" w:themeColor="background1" w:themeShade="F2"/>
            </w:tcBorders>
            <w:vAlign w:val="center"/>
          </w:tcPr>
          <w:p w14:paraId="025492F7"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0196AF87" w14:textId="77777777" w:rsidR="005364CA" w:rsidRPr="00510A66" w:rsidRDefault="005364CA" w:rsidP="00AC3862">
            <w:pPr>
              <w:ind w:left="57" w:right="-38"/>
              <w:rPr>
                <w:color w:val="000000"/>
                <w:sz w:val="16"/>
                <w:szCs w:val="16"/>
              </w:rPr>
            </w:pPr>
            <w:r w:rsidRPr="00510A66">
              <w:rPr>
                <w:color w:val="000000"/>
                <w:sz w:val="16"/>
                <w:szCs w:val="16"/>
              </w:rPr>
              <w:t>Querétaro</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0CD87E74" w14:textId="77777777" w:rsidR="005364CA" w:rsidRPr="00510A66" w:rsidRDefault="005364CA" w:rsidP="00AC3862">
            <w:pPr>
              <w:tabs>
                <w:tab w:val="decimal" w:pos="633"/>
              </w:tabs>
              <w:rPr>
                <w:color w:val="000000"/>
                <w:sz w:val="16"/>
                <w:szCs w:val="16"/>
              </w:rPr>
            </w:pPr>
            <w:r w:rsidRPr="00510A66">
              <w:rPr>
                <w:color w:val="000000"/>
                <w:sz w:val="16"/>
                <w:szCs w:val="16"/>
              </w:rPr>
              <w:t>0.7</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6877D949" w14:textId="77777777" w:rsidR="005364CA" w:rsidRPr="00510A66" w:rsidRDefault="005364CA" w:rsidP="00AC3862">
            <w:pPr>
              <w:tabs>
                <w:tab w:val="decimal" w:pos="633"/>
              </w:tabs>
              <w:rPr>
                <w:color w:val="000000"/>
                <w:sz w:val="16"/>
                <w:szCs w:val="16"/>
              </w:rPr>
            </w:pPr>
            <w:r w:rsidRPr="00510A66">
              <w:rPr>
                <w:color w:val="000000"/>
                <w:sz w:val="16"/>
                <w:szCs w:val="16"/>
              </w:rPr>
              <w:t>0.6</w:t>
            </w:r>
          </w:p>
        </w:tc>
      </w:tr>
      <w:tr w:rsidR="005364CA" w:rsidRPr="00510A66" w14:paraId="447FCD5E"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66D15A8F" w14:textId="77777777" w:rsidR="005364CA" w:rsidRPr="00510A66" w:rsidRDefault="005364CA" w:rsidP="00AC3862">
            <w:pPr>
              <w:ind w:left="57"/>
              <w:rPr>
                <w:color w:val="000000"/>
                <w:sz w:val="16"/>
                <w:szCs w:val="16"/>
              </w:rPr>
            </w:pPr>
            <w:r w:rsidRPr="00510A66">
              <w:rPr>
                <w:color w:val="000000"/>
                <w:sz w:val="16"/>
                <w:szCs w:val="16"/>
              </w:rPr>
              <w:t>Chiapas</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hideMark/>
          </w:tcPr>
          <w:p w14:paraId="088C1AC3" w14:textId="77777777" w:rsidR="005364CA" w:rsidRPr="00510A66" w:rsidRDefault="005364CA" w:rsidP="00AC3862">
            <w:pPr>
              <w:tabs>
                <w:tab w:val="decimal" w:pos="631"/>
              </w:tabs>
              <w:rPr>
                <w:color w:val="000000"/>
                <w:sz w:val="16"/>
                <w:szCs w:val="16"/>
              </w:rPr>
            </w:pPr>
            <w:r w:rsidRPr="00510A66">
              <w:rPr>
                <w:color w:val="000000"/>
                <w:sz w:val="16"/>
                <w:szCs w:val="16"/>
              </w:rPr>
              <w:t>-1.2</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01EB5328" w14:textId="77777777" w:rsidR="005364CA" w:rsidRPr="00510A66" w:rsidRDefault="005364CA" w:rsidP="00AC3862">
            <w:pPr>
              <w:tabs>
                <w:tab w:val="decimal" w:pos="608"/>
              </w:tabs>
              <w:rPr>
                <w:color w:val="000000"/>
                <w:sz w:val="16"/>
                <w:szCs w:val="16"/>
              </w:rPr>
            </w:pPr>
            <w:r w:rsidRPr="00510A66">
              <w:rPr>
                <w:color w:val="000000"/>
                <w:sz w:val="16"/>
                <w:szCs w:val="16"/>
              </w:rPr>
              <w:t>0.0</w:t>
            </w:r>
          </w:p>
        </w:tc>
        <w:tc>
          <w:tcPr>
            <w:tcW w:w="172" w:type="dxa"/>
            <w:tcBorders>
              <w:left w:val="single" w:sz="4" w:space="0" w:color="F2F2F2" w:themeColor="background1" w:themeShade="F2"/>
              <w:right w:val="single" w:sz="4" w:space="0" w:color="F2F2F2" w:themeColor="background1" w:themeShade="F2"/>
            </w:tcBorders>
            <w:vAlign w:val="center"/>
          </w:tcPr>
          <w:p w14:paraId="3BE1CE5E"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60B6C5C3" w14:textId="77777777" w:rsidR="005364CA" w:rsidRPr="00510A66" w:rsidRDefault="005364CA" w:rsidP="00AC3862">
            <w:pPr>
              <w:ind w:left="57" w:right="-38"/>
              <w:rPr>
                <w:color w:val="000000"/>
                <w:sz w:val="16"/>
                <w:szCs w:val="16"/>
              </w:rPr>
            </w:pPr>
            <w:r w:rsidRPr="00510A66">
              <w:rPr>
                <w:color w:val="000000"/>
                <w:sz w:val="16"/>
                <w:szCs w:val="16"/>
              </w:rPr>
              <w:t>Quintana Roo</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5ECDC3F9" w14:textId="77777777" w:rsidR="005364CA" w:rsidRPr="00510A66" w:rsidRDefault="005364CA" w:rsidP="00AC3862">
            <w:pPr>
              <w:tabs>
                <w:tab w:val="decimal" w:pos="633"/>
              </w:tabs>
              <w:rPr>
                <w:color w:val="000000"/>
                <w:sz w:val="16"/>
                <w:szCs w:val="16"/>
              </w:rPr>
            </w:pPr>
            <w:r w:rsidRPr="00510A66">
              <w:rPr>
                <w:color w:val="000000"/>
                <w:sz w:val="16"/>
                <w:szCs w:val="16"/>
              </w:rPr>
              <w:t>-4.2</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16E40425" w14:textId="77777777" w:rsidR="005364CA" w:rsidRPr="00510A66" w:rsidRDefault="005364CA" w:rsidP="00AC3862">
            <w:pPr>
              <w:tabs>
                <w:tab w:val="decimal" w:pos="633"/>
              </w:tabs>
              <w:rPr>
                <w:color w:val="000000"/>
                <w:sz w:val="16"/>
                <w:szCs w:val="16"/>
              </w:rPr>
            </w:pPr>
            <w:r w:rsidRPr="00510A66">
              <w:rPr>
                <w:color w:val="000000"/>
                <w:sz w:val="16"/>
                <w:szCs w:val="16"/>
              </w:rPr>
              <w:t>-9.2</w:t>
            </w:r>
          </w:p>
        </w:tc>
      </w:tr>
      <w:tr w:rsidR="005364CA" w:rsidRPr="00510A66" w14:paraId="07C800F7"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75F66563" w14:textId="77777777" w:rsidR="005364CA" w:rsidRPr="00510A66" w:rsidRDefault="005364CA" w:rsidP="00AC3862">
            <w:pPr>
              <w:ind w:left="57"/>
              <w:rPr>
                <w:color w:val="000000"/>
                <w:sz w:val="16"/>
                <w:szCs w:val="16"/>
              </w:rPr>
            </w:pPr>
            <w:r w:rsidRPr="00510A66">
              <w:rPr>
                <w:color w:val="000000"/>
                <w:sz w:val="16"/>
                <w:szCs w:val="16"/>
              </w:rPr>
              <w:t>Chihuahua</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hideMark/>
          </w:tcPr>
          <w:p w14:paraId="089C89CB" w14:textId="77777777" w:rsidR="005364CA" w:rsidRPr="00510A66" w:rsidRDefault="005364CA" w:rsidP="00AC3862">
            <w:pPr>
              <w:tabs>
                <w:tab w:val="decimal" w:pos="631"/>
              </w:tabs>
              <w:rPr>
                <w:color w:val="000000"/>
                <w:sz w:val="16"/>
                <w:szCs w:val="16"/>
              </w:rPr>
            </w:pPr>
            <w:r w:rsidRPr="00510A66">
              <w:rPr>
                <w:color w:val="000000"/>
                <w:sz w:val="16"/>
                <w:szCs w:val="16"/>
              </w:rPr>
              <w:t>-0.9</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785EE9EA" w14:textId="77777777" w:rsidR="005364CA" w:rsidRPr="00510A66" w:rsidRDefault="005364CA" w:rsidP="00AC3862">
            <w:pPr>
              <w:tabs>
                <w:tab w:val="decimal" w:pos="608"/>
              </w:tabs>
              <w:rPr>
                <w:color w:val="000000"/>
                <w:sz w:val="16"/>
                <w:szCs w:val="16"/>
              </w:rPr>
            </w:pPr>
            <w:r w:rsidRPr="00510A66">
              <w:rPr>
                <w:color w:val="000000"/>
                <w:sz w:val="16"/>
                <w:szCs w:val="16"/>
              </w:rPr>
              <w:t>-1.3</w:t>
            </w:r>
          </w:p>
        </w:tc>
        <w:tc>
          <w:tcPr>
            <w:tcW w:w="172" w:type="dxa"/>
            <w:tcBorders>
              <w:left w:val="single" w:sz="4" w:space="0" w:color="F2F2F2" w:themeColor="background1" w:themeShade="F2"/>
              <w:right w:val="single" w:sz="4" w:space="0" w:color="F2F2F2" w:themeColor="background1" w:themeShade="F2"/>
            </w:tcBorders>
            <w:vAlign w:val="center"/>
          </w:tcPr>
          <w:p w14:paraId="6C40A68C"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07424279" w14:textId="77777777" w:rsidR="005364CA" w:rsidRPr="00510A66" w:rsidRDefault="005364CA" w:rsidP="00AC3862">
            <w:pPr>
              <w:ind w:left="57" w:right="-38"/>
              <w:rPr>
                <w:color w:val="000000"/>
                <w:sz w:val="16"/>
                <w:szCs w:val="16"/>
              </w:rPr>
            </w:pPr>
            <w:r w:rsidRPr="00510A66">
              <w:rPr>
                <w:color w:val="000000"/>
                <w:sz w:val="16"/>
                <w:szCs w:val="16"/>
              </w:rPr>
              <w:t>San Luis Potosí</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13FCC7F1" w14:textId="77777777" w:rsidR="005364CA" w:rsidRPr="00510A66" w:rsidRDefault="005364CA" w:rsidP="00AC3862">
            <w:pPr>
              <w:tabs>
                <w:tab w:val="decimal" w:pos="633"/>
              </w:tabs>
              <w:rPr>
                <w:color w:val="000000"/>
                <w:sz w:val="16"/>
                <w:szCs w:val="16"/>
              </w:rPr>
            </w:pPr>
            <w:r w:rsidRPr="00510A66">
              <w:rPr>
                <w:color w:val="000000"/>
                <w:sz w:val="16"/>
                <w:szCs w:val="16"/>
              </w:rPr>
              <w:t>2.3</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638F33ED" w14:textId="77777777" w:rsidR="005364CA" w:rsidRPr="00510A66" w:rsidRDefault="005364CA" w:rsidP="00AC3862">
            <w:pPr>
              <w:tabs>
                <w:tab w:val="decimal" w:pos="633"/>
              </w:tabs>
              <w:rPr>
                <w:color w:val="000000"/>
                <w:sz w:val="16"/>
                <w:szCs w:val="16"/>
              </w:rPr>
            </w:pPr>
            <w:r w:rsidRPr="00510A66">
              <w:rPr>
                <w:color w:val="000000"/>
                <w:sz w:val="16"/>
                <w:szCs w:val="16"/>
              </w:rPr>
              <w:t>2.3</w:t>
            </w:r>
          </w:p>
        </w:tc>
      </w:tr>
      <w:tr w:rsidR="005364CA" w:rsidRPr="00510A66" w14:paraId="3E6047F4"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1ED9AC7E" w14:textId="77777777" w:rsidR="005364CA" w:rsidRPr="00510A66" w:rsidRDefault="005364CA" w:rsidP="00AC3862">
            <w:pPr>
              <w:ind w:left="57"/>
              <w:rPr>
                <w:color w:val="000000"/>
                <w:sz w:val="16"/>
                <w:szCs w:val="16"/>
              </w:rPr>
            </w:pPr>
            <w:r w:rsidRPr="00510A66">
              <w:rPr>
                <w:color w:val="000000"/>
                <w:sz w:val="16"/>
                <w:szCs w:val="16"/>
              </w:rPr>
              <w:t>Ciudad de México</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hideMark/>
          </w:tcPr>
          <w:p w14:paraId="1FBB306C" w14:textId="77777777" w:rsidR="005364CA" w:rsidRPr="00510A66" w:rsidRDefault="005364CA" w:rsidP="00AC3862">
            <w:pPr>
              <w:tabs>
                <w:tab w:val="decimal" w:pos="631"/>
              </w:tabs>
              <w:rPr>
                <w:color w:val="000000"/>
                <w:sz w:val="16"/>
                <w:szCs w:val="16"/>
              </w:rPr>
            </w:pPr>
            <w:r w:rsidRPr="00510A66">
              <w:rPr>
                <w:color w:val="000000"/>
                <w:sz w:val="16"/>
                <w:szCs w:val="16"/>
              </w:rPr>
              <w:t>-0.4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6B3D601F" w14:textId="77777777" w:rsidR="005364CA" w:rsidRPr="00510A66" w:rsidRDefault="005364CA" w:rsidP="00AC3862">
            <w:pPr>
              <w:tabs>
                <w:tab w:val="decimal" w:pos="608"/>
              </w:tabs>
              <w:rPr>
                <w:color w:val="000000"/>
                <w:sz w:val="16"/>
                <w:szCs w:val="16"/>
              </w:rPr>
            </w:pPr>
            <w:r w:rsidRPr="00510A66">
              <w:rPr>
                <w:color w:val="000000"/>
                <w:sz w:val="16"/>
                <w:szCs w:val="16"/>
              </w:rPr>
              <w:t>1.5</w:t>
            </w:r>
          </w:p>
        </w:tc>
        <w:tc>
          <w:tcPr>
            <w:tcW w:w="172" w:type="dxa"/>
            <w:tcBorders>
              <w:left w:val="single" w:sz="4" w:space="0" w:color="F2F2F2" w:themeColor="background1" w:themeShade="F2"/>
              <w:right w:val="single" w:sz="4" w:space="0" w:color="F2F2F2" w:themeColor="background1" w:themeShade="F2"/>
            </w:tcBorders>
            <w:vAlign w:val="center"/>
          </w:tcPr>
          <w:p w14:paraId="2C9D6AA4"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2E10E647" w14:textId="77777777" w:rsidR="005364CA" w:rsidRPr="00510A66" w:rsidRDefault="005364CA" w:rsidP="00AC3862">
            <w:pPr>
              <w:ind w:left="57" w:right="-38"/>
              <w:rPr>
                <w:color w:val="000000"/>
                <w:sz w:val="16"/>
                <w:szCs w:val="16"/>
              </w:rPr>
            </w:pPr>
            <w:r w:rsidRPr="00510A66">
              <w:rPr>
                <w:color w:val="000000"/>
                <w:sz w:val="16"/>
                <w:szCs w:val="16"/>
              </w:rPr>
              <w:t>Sinaloa</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595EFD52" w14:textId="77777777" w:rsidR="005364CA" w:rsidRPr="00510A66" w:rsidRDefault="005364CA" w:rsidP="00AC3862">
            <w:pPr>
              <w:tabs>
                <w:tab w:val="decimal" w:pos="633"/>
              </w:tabs>
              <w:rPr>
                <w:color w:val="000000"/>
                <w:sz w:val="16"/>
                <w:szCs w:val="16"/>
              </w:rPr>
            </w:pPr>
            <w:r w:rsidRPr="00510A66">
              <w:rPr>
                <w:color w:val="000000"/>
                <w:sz w:val="16"/>
                <w:szCs w:val="16"/>
              </w:rPr>
              <w:t>7.0</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2C29103A" w14:textId="77777777" w:rsidR="005364CA" w:rsidRPr="00510A66" w:rsidRDefault="005364CA" w:rsidP="00AC3862">
            <w:pPr>
              <w:tabs>
                <w:tab w:val="decimal" w:pos="633"/>
              </w:tabs>
              <w:rPr>
                <w:color w:val="000000"/>
                <w:sz w:val="16"/>
                <w:szCs w:val="16"/>
              </w:rPr>
            </w:pPr>
            <w:r w:rsidRPr="00510A66">
              <w:rPr>
                <w:color w:val="000000"/>
                <w:sz w:val="16"/>
                <w:szCs w:val="16"/>
              </w:rPr>
              <w:t>2.0</w:t>
            </w:r>
          </w:p>
        </w:tc>
      </w:tr>
      <w:tr w:rsidR="005364CA" w:rsidRPr="00510A66" w14:paraId="28697868"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0EB52F0A" w14:textId="77777777" w:rsidR="005364CA" w:rsidRPr="00510A66" w:rsidRDefault="005364CA" w:rsidP="00AC3862">
            <w:pPr>
              <w:ind w:left="57"/>
              <w:rPr>
                <w:color w:val="000000"/>
                <w:sz w:val="16"/>
                <w:szCs w:val="16"/>
              </w:rPr>
            </w:pPr>
            <w:r w:rsidRPr="00510A66">
              <w:rPr>
                <w:color w:val="000000"/>
                <w:sz w:val="16"/>
                <w:szCs w:val="16"/>
              </w:rPr>
              <w:t>Durango</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hideMark/>
          </w:tcPr>
          <w:p w14:paraId="57DA4C7A" w14:textId="77777777" w:rsidR="005364CA" w:rsidRPr="00510A66" w:rsidRDefault="005364CA" w:rsidP="00AC3862">
            <w:pPr>
              <w:tabs>
                <w:tab w:val="decimal" w:pos="631"/>
              </w:tabs>
              <w:rPr>
                <w:color w:val="000000"/>
                <w:sz w:val="16"/>
                <w:szCs w:val="16"/>
              </w:rPr>
            </w:pPr>
            <w:r w:rsidRPr="00510A66">
              <w:rPr>
                <w:color w:val="000000"/>
                <w:sz w:val="16"/>
                <w:szCs w:val="16"/>
              </w:rPr>
              <w:t>1.2</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6CB4C6D9" w14:textId="77777777" w:rsidR="005364CA" w:rsidRPr="00510A66" w:rsidRDefault="005364CA" w:rsidP="00AC3862">
            <w:pPr>
              <w:tabs>
                <w:tab w:val="decimal" w:pos="608"/>
              </w:tabs>
              <w:rPr>
                <w:color w:val="000000"/>
                <w:sz w:val="16"/>
                <w:szCs w:val="16"/>
              </w:rPr>
            </w:pPr>
            <w:r w:rsidRPr="00510A66">
              <w:rPr>
                <w:color w:val="000000"/>
                <w:sz w:val="16"/>
                <w:szCs w:val="16"/>
              </w:rPr>
              <w:t>-0.4</w:t>
            </w:r>
          </w:p>
        </w:tc>
        <w:tc>
          <w:tcPr>
            <w:tcW w:w="172" w:type="dxa"/>
            <w:tcBorders>
              <w:left w:val="single" w:sz="4" w:space="0" w:color="F2F2F2" w:themeColor="background1" w:themeShade="F2"/>
              <w:right w:val="single" w:sz="4" w:space="0" w:color="F2F2F2" w:themeColor="background1" w:themeShade="F2"/>
            </w:tcBorders>
            <w:vAlign w:val="center"/>
          </w:tcPr>
          <w:p w14:paraId="6E3D6D90"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45A11B88" w14:textId="77777777" w:rsidR="005364CA" w:rsidRPr="00510A66" w:rsidRDefault="005364CA" w:rsidP="00AC3862">
            <w:pPr>
              <w:ind w:left="57" w:right="-38"/>
              <w:rPr>
                <w:color w:val="000000"/>
                <w:sz w:val="16"/>
                <w:szCs w:val="16"/>
              </w:rPr>
            </w:pPr>
            <w:r w:rsidRPr="00510A66">
              <w:rPr>
                <w:color w:val="000000"/>
                <w:sz w:val="16"/>
                <w:szCs w:val="16"/>
              </w:rPr>
              <w:t>Sonora</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50AA11BD" w14:textId="77777777" w:rsidR="005364CA" w:rsidRPr="00510A66" w:rsidRDefault="005364CA" w:rsidP="00AC3862">
            <w:pPr>
              <w:tabs>
                <w:tab w:val="decimal" w:pos="633"/>
              </w:tabs>
              <w:rPr>
                <w:color w:val="000000"/>
                <w:sz w:val="16"/>
                <w:szCs w:val="16"/>
              </w:rPr>
            </w:pPr>
            <w:r w:rsidRPr="00510A66">
              <w:rPr>
                <w:color w:val="000000"/>
                <w:sz w:val="16"/>
                <w:szCs w:val="16"/>
              </w:rPr>
              <w:t>0.2</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277757A1" w14:textId="77777777" w:rsidR="005364CA" w:rsidRPr="00510A66" w:rsidRDefault="005364CA" w:rsidP="00AC3862">
            <w:pPr>
              <w:tabs>
                <w:tab w:val="decimal" w:pos="633"/>
              </w:tabs>
              <w:rPr>
                <w:color w:val="000000"/>
                <w:sz w:val="16"/>
                <w:szCs w:val="16"/>
              </w:rPr>
            </w:pPr>
            <w:r w:rsidRPr="00510A66">
              <w:rPr>
                <w:color w:val="000000"/>
                <w:sz w:val="16"/>
                <w:szCs w:val="16"/>
              </w:rPr>
              <w:t>0.4</w:t>
            </w:r>
          </w:p>
        </w:tc>
      </w:tr>
      <w:tr w:rsidR="005364CA" w:rsidRPr="00510A66" w14:paraId="10F85333"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713CFB1B" w14:textId="77777777" w:rsidR="005364CA" w:rsidRPr="00510A66" w:rsidRDefault="005364CA" w:rsidP="00AC3862">
            <w:pPr>
              <w:ind w:left="57"/>
              <w:rPr>
                <w:color w:val="000000"/>
                <w:sz w:val="16"/>
                <w:szCs w:val="16"/>
              </w:rPr>
            </w:pPr>
            <w:r w:rsidRPr="00510A66">
              <w:rPr>
                <w:color w:val="000000"/>
                <w:sz w:val="16"/>
                <w:szCs w:val="16"/>
              </w:rPr>
              <w:t>Guanajuato</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vAlign w:val="center"/>
          </w:tcPr>
          <w:p w14:paraId="4B7A2608" w14:textId="77777777" w:rsidR="005364CA" w:rsidRPr="00510A66" w:rsidRDefault="005364CA" w:rsidP="00AC3862">
            <w:pPr>
              <w:tabs>
                <w:tab w:val="decimal" w:pos="631"/>
              </w:tabs>
              <w:rPr>
                <w:color w:val="000000"/>
                <w:sz w:val="16"/>
                <w:szCs w:val="16"/>
              </w:rPr>
            </w:pPr>
            <w:r w:rsidRPr="00510A66">
              <w:rPr>
                <w:color w:val="000000"/>
                <w:sz w:val="16"/>
                <w:szCs w:val="16"/>
              </w:rPr>
              <w:t>-1.5</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2811D80D" w14:textId="77777777" w:rsidR="005364CA" w:rsidRPr="00510A66" w:rsidRDefault="005364CA" w:rsidP="00AC3862">
            <w:pPr>
              <w:tabs>
                <w:tab w:val="decimal" w:pos="608"/>
              </w:tabs>
              <w:rPr>
                <w:color w:val="000000"/>
                <w:sz w:val="16"/>
                <w:szCs w:val="16"/>
              </w:rPr>
            </w:pPr>
            <w:r w:rsidRPr="00510A66">
              <w:rPr>
                <w:color w:val="000000"/>
                <w:sz w:val="16"/>
                <w:szCs w:val="16"/>
              </w:rPr>
              <w:t>2.2</w:t>
            </w:r>
          </w:p>
        </w:tc>
        <w:tc>
          <w:tcPr>
            <w:tcW w:w="172" w:type="dxa"/>
            <w:tcBorders>
              <w:left w:val="single" w:sz="4" w:space="0" w:color="F2F2F2" w:themeColor="background1" w:themeShade="F2"/>
              <w:right w:val="single" w:sz="4" w:space="0" w:color="F2F2F2" w:themeColor="background1" w:themeShade="F2"/>
            </w:tcBorders>
            <w:vAlign w:val="center"/>
          </w:tcPr>
          <w:p w14:paraId="4F9A27B7"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67F26BC6" w14:textId="77777777" w:rsidR="005364CA" w:rsidRPr="00510A66" w:rsidRDefault="005364CA" w:rsidP="00AC3862">
            <w:pPr>
              <w:ind w:left="57" w:right="-38"/>
              <w:rPr>
                <w:color w:val="000000"/>
                <w:sz w:val="16"/>
                <w:szCs w:val="16"/>
              </w:rPr>
            </w:pPr>
            <w:r w:rsidRPr="00510A66">
              <w:rPr>
                <w:color w:val="000000"/>
                <w:sz w:val="16"/>
                <w:szCs w:val="16"/>
              </w:rPr>
              <w:t>Tabasco</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5A1D7208" w14:textId="77777777" w:rsidR="005364CA" w:rsidRPr="00510A66" w:rsidRDefault="005364CA" w:rsidP="00AC3862">
            <w:pPr>
              <w:tabs>
                <w:tab w:val="decimal" w:pos="633"/>
              </w:tabs>
              <w:rPr>
                <w:color w:val="000000"/>
                <w:sz w:val="16"/>
                <w:szCs w:val="16"/>
              </w:rPr>
            </w:pPr>
            <w:r w:rsidRPr="00510A66">
              <w:rPr>
                <w:color w:val="000000"/>
                <w:sz w:val="16"/>
                <w:szCs w:val="16"/>
              </w:rPr>
              <w:t>-2.7</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36AC7459" w14:textId="77777777" w:rsidR="005364CA" w:rsidRPr="00510A66" w:rsidRDefault="005364CA" w:rsidP="00AC3862">
            <w:pPr>
              <w:tabs>
                <w:tab w:val="decimal" w:pos="633"/>
              </w:tabs>
              <w:rPr>
                <w:color w:val="000000"/>
                <w:sz w:val="16"/>
                <w:szCs w:val="16"/>
              </w:rPr>
            </w:pPr>
            <w:r w:rsidRPr="00510A66">
              <w:rPr>
                <w:color w:val="000000"/>
                <w:sz w:val="16"/>
                <w:szCs w:val="16"/>
              </w:rPr>
              <w:t>-12.3</w:t>
            </w:r>
          </w:p>
        </w:tc>
      </w:tr>
      <w:tr w:rsidR="005364CA" w:rsidRPr="00510A66" w14:paraId="0269C922"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219C8F57" w14:textId="77777777" w:rsidR="005364CA" w:rsidRPr="00510A66" w:rsidRDefault="005364CA" w:rsidP="00AC3862">
            <w:pPr>
              <w:ind w:left="57"/>
              <w:rPr>
                <w:color w:val="000000"/>
                <w:sz w:val="16"/>
                <w:szCs w:val="16"/>
              </w:rPr>
            </w:pPr>
            <w:r w:rsidRPr="00510A66">
              <w:rPr>
                <w:color w:val="000000"/>
                <w:sz w:val="16"/>
                <w:szCs w:val="16"/>
              </w:rPr>
              <w:t>Guerrero</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0E33BED8" w14:textId="77777777" w:rsidR="005364CA" w:rsidRPr="00510A66" w:rsidRDefault="005364CA" w:rsidP="00AC3862">
            <w:pPr>
              <w:tabs>
                <w:tab w:val="decimal" w:pos="631"/>
              </w:tabs>
              <w:rPr>
                <w:color w:val="000000"/>
                <w:sz w:val="16"/>
                <w:szCs w:val="16"/>
              </w:rPr>
            </w:pPr>
            <w:r w:rsidRPr="00510A66">
              <w:rPr>
                <w:color w:val="000000"/>
                <w:sz w:val="16"/>
                <w:szCs w:val="16"/>
              </w:rPr>
              <w:t>2.4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722D2DD2" w14:textId="77777777" w:rsidR="005364CA" w:rsidRPr="00510A66" w:rsidRDefault="005364CA" w:rsidP="00AC3862">
            <w:pPr>
              <w:tabs>
                <w:tab w:val="decimal" w:pos="608"/>
              </w:tabs>
              <w:rPr>
                <w:color w:val="000000"/>
                <w:sz w:val="16"/>
                <w:szCs w:val="16"/>
              </w:rPr>
            </w:pPr>
            <w:r w:rsidRPr="00510A66">
              <w:rPr>
                <w:color w:val="000000"/>
                <w:sz w:val="16"/>
                <w:szCs w:val="16"/>
              </w:rPr>
              <w:t>8.0</w:t>
            </w:r>
          </w:p>
        </w:tc>
        <w:tc>
          <w:tcPr>
            <w:tcW w:w="172" w:type="dxa"/>
            <w:tcBorders>
              <w:left w:val="single" w:sz="4" w:space="0" w:color="F2F2F2" w:themeColor="background1" w:themeShade="F2"/>
              <w:right w:val="single" w:sz="4" w:space="0" w:color="F2F2F2" w:themeColor="background1" w:themeShade="F2"/>
            </w:tcBorders>
            <w:vAlign w:val="center"/>
          </w:tcPr>
          <w:p w14:paraId="4A43CAD3"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25C8CC1B" w14:textId="77777777" w:rsidR="005364CA" w:rsidRPr="00510A66" w:rsidRDefault="005364CA" w:rsidP="00AC3862">
            <w:pPr>
              <w:ind w:left="57" w:right="-38"/>
              <w:rPr>
                <w:color w:val="000000"/>
                <w:sz w:val="16"/>
                <w:szCs w:val="16"/>
              </w:rPr>
            </w:pPr>
            <w:r w:rsidRPr="00510A66">
              <w:rPr>
                <w:color w:val="000000"/>
                <w:sz w:val="16"/>
                <w:szCs w:val="16"/>
              </w:rPr>
              <w:t>Tamaulipas</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234AFE47" w14:textId="77777777" w:rsidR="005364CA" w:rsidRPr="00510A66" w:rsidRDefault="005364CA" w:rsidP="00AC3862">
            <w:pPr>
              <w:tabs>
                <w:tab w:val="decimal" w:pos="633"/>
              </w:tabs>
              <w:rPr>
                <w:color w:val="000000"/>
                <w:sz w:val="16"/>
                <w:szCs w:val="16"/>
              </w:rPr>
            </w:pPr>
            <w:r w:rsidRPr="00510A66">
              <w:rPr>
                <w:color w:val="000000"/>
                <w:sz w:val="16"/>
                <w:szCs w:val="16"/>
              </w:rPr>
              <w:t>-0.7</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0F09B4CD" w14:textId="77777777" w:rsidR="005364CA" w:rsidRPr="00510A66" w:rsidRDefault="005364CA" w:rsidP="00AC3862">
            <w:pPr>
              <w:tabs>
                <w:tab w:val="decimal" w:pos="633"/>
              </w:tabs>
              <w:rPr>
                <w:color w:val="000000"/>
                <w:sz w:val="16"/>
                <w:szCs w:val="16"/>
              </w:rPr>
            </w:pPr>
            <w:r w:rsidRPr="00510A66">
              <w:rPr>
                <w:color w:val="000000"/>
                <w:sz w:val="16"/>
                <w:szCs w:val="16"/>
              </w:rPr>
              <w:t>2.9</w:t>
            </w:r>
          </w:p>
        </w:tc>
      </w:tr>
      <w:tr w:rsidR="005364CA" w:rsidRPr="00510A66" w14:paraId="1C2320ED"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2F55DAB8" w14:textId="77777777" w:rsidR="005364CA" w:rsidRPr="00510A66" w:rsidRDefault="005364CA" w:rsidP="00AC3862">
            <w:pPr>
              <w:ind w:left="57"/>
              <w:rPr>
                <w:color w:val="000000"/>
                <w:sz w:val="16"/>
                <w:szCs w:val="16"/>
              </w:rPr>
            </w:pPr>
            <w:r w:rsidRPr="00510A66">
              <w:rPr>
                <w:color w:val="000000"/>
                <w:sz w:val="16"/>
                <w:szCs w:val="16"/>
              </w:rPr>
              <w:t>Hidalgo</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0BB4959F" w14:textId="77777777" w:rsidR="005364CA" w:rsidRPr="00510A66" w:rsidRDefault="005364CA" w:rsidP="00AC3862">
            <w:pPr>
              <w:tabs>
                <w:tab w:val="decimal" w:pos="631"/>
              </w:tabs>
              <w:rPr>
                <w:color w:val="000000"/>
                <w:sz w:val="16"/>
                <w:szCs w:val="16"/>
              </w:rPr>
            </w:pPr>
            <w:r w:rsidRPr="00510A66">
              <w:rPr>
                <w:color w:val="000000"/>
                <w:sz w:val="16"/>
                <w:szCs w:val="16"/>
              </w:rPr>
              <w:t>0.7</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29DCB7E6" w14:textId="77777777" w:rsidR="005364CA" w:rsidRPr="00510A66" w:rsidRDefault="005364CA" w:rsidP="00AC3862">
            <w:pPr>
              <w:tabs>
                <w:tab w:val="decimal" w:pos="608"/>
              </w:tabs>
              <w:rPr>
                <w:color w:val="000000"/>
                <w:sz w:val="16"/>
                <w:szCs w:val="16"/>
              </w:rPr>
            </w:pPr>
            <w:r w:rsidRPr="00510A66">
              <w:rPr>
                <w:color w:val="000000"/>
                <w:sz w:val="16"/>
                <w:szCs w:val="16"/>
              </w:rPr>
              <w:t>0.5</w:t>
            </w:r>
          </w:p>
        </w:tc>
        <w:tc>
          <w:tcPr>
            <w:tcW w:w="172" w:type="dxa"/>
            <w:tcBorders>
              <w:left w:val="single" w:sz="4" w:space="0" w:color="F2F2F2" w:themeColor="background1" w:themeShade="F2"/>
              <w:right w:val="single" w:sz="4" w:space="0" w:color="F2F2F2" w:themeColor="background1" w:themeShade="F2"/>
            </w:tcBorders>
            <w:vAlign w:val="center"/>
          </w:tcPr>
          <w:p w14:paraId="1387C2CE"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5A4920EA" w14:textId="77777777" w:rsidR="005364CA" w:rsidRPr="00510A66" w:rsidRDefault="005364CA" w:rsidP="00AC3862">
            <w:pPr>
              <w:ind w:left="57" w:right="-38"/>
              <w:rPr>
                <w:color w:val="000000"/>
                <w:sz w:val="16"/>
                <w:szCs w:val="16"/>
              </w:rPr>
            </w:pPr>
            <w:r w:rsidRPr="00510A66">
              <w:rPr>
                <w:color w:val="000000"/>
                <w:sz w:val="16"/>
                <w:szCs w:val="16"/>
              </w:rPr>
              <w:t>Tlaxcala</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4280A72B" w14:textId="77777777" w:rsidR="005364CA" w:rsidRPr="00510A66" w:rsidRDefault="005364CA" w:rsidP="00AC3862">
            <w:pPr>
              <w:tabs>
                <w:tab w:val="decimal" w:pos="633"/>
              </w:tabs>
              <w:rPr>
                <w:color w:val="000000"/>
                <w:sz w:val="16"/>
                <w:szCs w:val="16"/>
              </w:rPr>
            </w:pPr>
            <w:r w:rsidRPr="00510A66">
              <w:rPr>
                <w:color w:val="000000"/>
                <w:sz w:val="16"/>
                <w:szCs w:val="16"/>
              </w:rPr>
              <w:t>1.4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5C9A079E" w14:textId="77777777" w:rsidR="005364CA" w:rsidRPr="00510A66" w:rsidRDefault="005364CA" w:rsidP="00AC3862">
            <w:pPr>
              <w:tabs>
                <w:tab w:val="decimal" w:pos="633"/>
              </w:tabs>
              <w:rPr>
                <w:color w:val="000000"/>
                <w:sz w:val="16"/>
                <w:szCs w:val="16"/>
              </w:rPr>
            </w:pPr>
            <w:r w:rsidRPr="00510A66">
              <w:rPr>
                <w:color w:val="000000"/>
                <w:sz w:val="16"/>
                <w:szCs w:val="16"/>
              </w:rPr>
              <w:t>1.2</w:t>
            </w:r>
          </w:p>
        </w:tc>
      </w:tr>
      <w:tr w:rsidR="005364CA" w:rsidRPr="00510A66" w14:paraId="18D48509"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0AB2E67D" w14:textId="77777777" w:rsidR="005364CA" w:rsidRPr="00510A66" w:rsidRDefault="005364CA" w:rsidP="00AC3862">
            <w:pPr>
              <w:ind w:left="57"/>
              <w:rPr>
                <w:color w:val="000000"/>
                <w:sz w:val="16"/>
                <w:szCs w:val="16"/>
              </w:rPr>
            </w:pPr>
            <w:r w:rsidRPr="00510A66">
              <w:rPr>
                <w:color w:val="000000"/>
                <w:sz w:val="16"/>
                <w:szCs w:val="16"/>
              </w:rPr>
              <w:t>Jalisco</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0C40FA58" w14:textId="77777777" w:rsidR="005364CA" w:rsidRPr="00510A66" w:rsidRDefault="005364CA" w:rsidP="00AC3862">
            <w:pPr>
              <w:tabs>
                <w:tab w:val="decimal" w:pos="631"/>
              </w:tabs>
              <w:rPr>
                <w:color w:val="000000"/>
                <w:sz w:val="16"/>
                <w:szCs w:val="16"/>
              </w:rPr>
            </w:pPr>
            <w:r w:rsidRPr="00510A66">
              <w:rPr>
                <w:color w:val="000000"/>
                <w:sz w:val="16"/>
                <w:szCs w:val="16"/>
              </w:rPr>
              <w:t>0.8</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33D0A689" w14:textId="77777777" w:rsidR="005364CA" w:rsidRPr="00510A66" w:rsidRDefault="005364CA" w:rsidP="00AC3862">
            <w:pPr>
              <w:tabs>
                <w:tab w:val="decimal" w:pos="608"/>
              </w:tabs>
              <w:rPr>
                <w:color w:val="000000"/>
                <w:sz w:val="16"/>
                <w:szCs w:val="16"/>
              </w:rPr>
            </w:pPr>
            <w:r w:rsidRPr="00510A66">
              <w:rPr>
                <w:color w:val="000000"/>
                <w:sz w:val="16"/>
                <w:szCs w:val="16"/>
              </w:rPr>
              <w:t>0.6</w:t>
            </w:r>
          </w:p>
        </w:tc>
        <w:tc>
          <w:tcPr>
            <w:tcW w:w="172" w:type="dxa"/>
            <w:tcBorders>
              <w:left w:val="single" w:sz="4" w:space="0" w:color="F2F2F2" w:themeColor="background1" w:themeShade="F2"/>
              <w:right w:val="single" w:sz="4" w:space="0" w:color="F2F2F2" w:themeColor="background1" w:themeShade="F2"/>
            </w:tcBorders>
            <w:vAlign w:val="center"/>
          </w:tcPr>
          <w:p w14:paraId="6691A1D2"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7BF9DD23" w14:textId="77777777" w:rsidR="005364CA" w:rsidRPr="00510A66" w:rsidRDefault="005364CA" w:rsidP="00AC3862">
            <w:pPr>
              <w:ind w:left="57" w:right="-38"/>
              <w:rPr>
                <w:color w:val="000000"/>
                <w:sz w:val="16"/>
                <w:szCs w:val="16"/>
              </w:rPr>
            </w:pPr>
            <w:r w:rsidRPr="00510A66">
              <w:rPr>
                <w:color w:val="000000"/>
                <w:sz w:val="16"/>
                <w:szCs w:val="16"/>
              </w:rPr>
              <w:t xml:space="preserve">Veracruz de Ignacio de la Llave </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3BA57E7A" w14:textId="77777777" w:rsidR="005364CA" w:rsidRPr="00510A66" w:rsidRDefault="005364CA" w:rsidP="00AC3862">
            <w:pPr>
              <w:tabs>
                <w:tab w:val="decimal" w:pos="633"/>
              </w:tabs>
              <w:rPr>
                <w:color w:val="000000"/>
                <w:sz w:val="16"/>
                <w:szCs w:val="16"/>
              </w:rPr>
            </w:pPr>
            <w:r w:rsidRPr="00510A66">
              <w:rPr>
                <w:color w:val="000000"/>
                <w:sz w:val="16"/>
                <w:szCs w:val="16"/>
              </w:rPr>
              <w:t>-0.6</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56F1E469" w14:textId="77777777" w:rsidR="005364CA" w:rsidRPr="00510A66" w:rsidRDefault="005364CA" w:rsidP="00AC3862">
            <w:pPr>
              <w:tabs>
                <w:tab w:val="decimal" w:pos="633"/>
              </w:tabs>
              <w:rPr>
                <w:color w:val="000000"/>
                <w:sz w:val="16"/>
                <w:szCs w:val="16"/>
              </w:rPr>
            </w:pPr>
            <w:r w:rsidRPr="00510A66">
              <w:rPr>
                <w:color w:val="000000"/>
                <w:sz w:val="16"/>
                <w:szCs w:val="16"/>
              </w:rPr>
              <w:t>-0.4</w:t>
            </w:r>
          </w:p>
        </w:tc>
      </w:tr>
      <w:tr w:rsidR="005364CA" w:rsidRPr="00510A66" w14:paraId="7CAFD8AA"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2C006B89" w14:textId="77777777" w:rsidR="005364CA" w:rsidRPr="00510A66" w:rsidRDefault="005364CA" w:rsidP="00AC3862">
            <w:pPr>
              <w:ind w:left="57"/>
              <w:rPr>
                <w:color w:val="000000"/>
                <w:sz w:val="16"/>
                <w:szCs w:val="16"/>
              </w:rPr>
            </w:pPr>
            <w:r w:rsidRPr="00510A66">
              <w:rPr>
                <w:color w:val="000000"/>
                <w:sz w:val="16"/>
                <w:szCs w:val="16"/>
              </w:rPr>
              <w:t>México</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272A2244" w14:textId="77777777" w:rsidR="005364CA" w:rsidRPr="00510A66" w:rsidRDefault="005364CA" w:rsidP="00AC3862">
            <w:pPr>
              <w:tabs>
                <w:tab w:val="decimal" w:pos="631"/>
              </w:tabs>
              <w:rPr>
                <w:color w:val="000000"/>
                <w:sz w:val="16"/>
                <w:szCs w:val="16"/>
              </w:rPr>
            </w:pPr>
            <w:r w:rsidRPr="00510A66">
              <w:rPr>
                <w:color w:val="000000"/>
                <w:sz w:val="16"/>
                <w:szCs w:val="16"/>
              </w:rPr>
              <w:t>0.4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167146B9" w14:textId="77777777" w:rsidR="005364CA" w:rsidRPr="00510A66" w:rsidRDefault="005364CA" w:rsidP="00AC3862">
            <w:pPr>
              <w:tabs>
                <w:tab w:val="decimal" w:pos="608"/>
              </w:tabs>
              <w:rPr>
                <w:color w:val="000000"/>
                <w:sz w:val="16"/>
                <w:szCs w:val="16"/>
              </w:rPr>
            </w:pPr>
            <w:r w:rsidRPr="00510A66">
              <w:rPr>
                <w:color w:val="000000"/>
                <w:sz w:val="16"/>
                <w:szCs w:val="16"/>
              </w:rPr>
              <w:t>0.6</w:t>
            </w:r>
          </w:p>
        </w:tc>
        <w:tc>
          <w:tcPr>
            <w:tcW w:w="172" w:type="dxa"/>
            <w:tcBorders>
              <w:left w:val="single" w:sz="4" w:space="0" w:color="F2F2F2" w:themeColor="background1" w:themeShade="F2"/>
              <w:right w:val="single" w:sz="4" w:space="0" w:color="F2F2F2" w:themeColor="background1" w:themeShade="F2"/>
            </w:tcBorders>
            <w:vAlign w:val="center"/>
          </w:tcPr>
          <w:p w14:paraId="12B2EDA5"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75537C86" w14:textId="77777777" w:rsidR="005364CA" w:rsidRPr="00510A66" w:rsidRDefault="005364CA" w:rsidP="00AC3862">
            <w:pPr>
              <w:ind w:left="57" w:right="-38"/>
              <w:rPr>
                <w:color w:val="000000"/>
                <w:sz w:val="16"/>
                <w:szCs w:val="16"/>
              </w:rPr>
            </w:pPr>
            <w:r w:rsidRPr="00510A66">
              <w:rPr>
                <w:color w:val="000000"/>
                <w:sz w:val="16"/>
                <w:szCs w:val="16"/>
              </w:rPr>
              <w:t>Yucatán</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1EDD199E" w14:textId="77777777" w:rsidR="005364CA" w:rsidRPr="00510A66" w:rsidRDefault="005364CA" w:rsidP="00AC3862">
            <w:pPr>
              <w:tabs>
                <w:tab w:val="decimal" w:pos="633"/>
              </w:tabs>
              <w:rPr>
                <w:color w:val="000000"/>
                <w:sz w:val="16"/>
                <w:szCs w:val="16"/>
              </w:rPr>
            </w:pPr>
            <w:r w:rsidRPr="00510A66">
              <w:rPr>
                <w:color w:val="000000"/>
                <w:sz w:val="16"/>
                <w:szCs w:val="16"/>
              </w:rPr>
              <w:t>0.6</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232C7C78" w14:textId="77777777" w:rsidR="005364CA" w:rsidRPr="00510A66" w:rsidRDefault="005364CA" w:rsidP="00AC3862">
            <w:pPr>
              <w:tabs>
                <w:tab w:val="decimal" w:pos="633"/>
              </w:tabs>
              <w:rPr>
                <w:color w:val="000000"/>
                <w:sz w:val="16"/>
                <w:szCs w:val="16"/>
              </w:rPr>
            </w:pPr>
            <w:r w:rsidRPr="00510A66">
              <w:rPr>
                <w:color w:val="000000"/>
                <w:sz w:val="16"/>
                <w:szCs w:val="16"/>
              </w:rPr>
              <w:t>2.1</w:t>
            </w:r>
          </w:p>
        </w:tc>
      </w:tr>
      <w:tr w:rsidR="005364CA" w:rsidRPr="00510A66" w14:paraId="2A61DB3D" w14:textId="77777777" w:rsidTr="00AC3862">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0117E022" w14:textId="77777777" w:rsidR="005364CA" w:rsidRPr="00510A66" w:rsidRDefault="005364CA" w:rsidP="00AC3862">
            <w:pPr>
              <w:ind w:left="57"/>
              <w:rPr>
                <w:color w:val="000000"/>
                <w:sz w:val="16"/>
                <w:szCs w:val="16"/>
              </w:rPr>
            </w:pPr>
            <w:r w:rsidRPr="00510A66">
              <w:rPr>
                <w:color w:val="000000"/>
                <w:sz w:val="16"/>
                <w:szCs w:val="16"/>
              </w:rPr>
              <w:t xml:space="preserve">Michoacán de Ocampo </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0BFE1AE6" w14:textId="77777777" w:rsidR="005364CA" w:rsidRPr="00510A66" w:rsidRDefault="005364CA" w:rsidP="00AC3862">
            <w:pPr>
              <w:tabs>
                <w:tab w:val="decimal" w:pos="631"/>
              </w:tabs>
              <w:rPr>
                <w:color w:val="000000"/>
                <w:sz w:val="16"/>
                <w:szCs w:val="16"/>
              </w:rPr>
            </w:pPr>
            <w:r w:rsidRPr="00510A66">
              <w:rPr>
                <w:color w:val="000000"/>
                <w:sz w:val="16"/>
                <w:szCs w:val="16"/>
              </w:rPr>
              <w:t>2.0</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2E5A92EB" w14:textId="77777777" w:rsidR="005364CA" w:rsidRPr="00510A66" w:rsidRDefault="005364CA" w:rsidP="00AC3862">
            <w:pPr>
              <w:tabs>
                <w:tab w:val="decimal" w:pos="608"/>
              </w:tabs>
              <w:rPr>
                <w:color w:val="000000"/>
                <w:sz w:val="16"/>
                <w:szCs w:val="16"/>
              </w:rPr>
            </w:pPr>
            <w:r w:rsidRPr="00510A66">
              <w:rPr>
                <w:color w:val="000000"/>
                <w:sz w:val="16"/>
                <w:szCs w:val="16"/>
              </w:rPr>
              <w:t>1.3</w:t>
            </w:r>
          </w:p>
        </w:tc>
        <w:tc>
          <w:tcPr>
            <w:tcW w:w="172" w:type="dxa"/>
            <w:tcBorders>
              <w:left w:val="single" w:sz="4" w:space="0" w:color="F2F2F2" w:themeColor="background1" w:themeShade="F2"/>
              <w:right w:val="single" w:sz="4" w:space="0" w:color="F2F2F2" w:themeColor="background1" w:themeShade="F2"/>
            </w:tcBorders>
            <w:vAlign w:val="center"/>
          </w:tcPr>
          <w:p w14:paraId="63C30A89" w14:textId="77777777" w:rsidR="005364CA" w:rsidRPr="00510A66" w:rsidRDefault="005364CA" w:rsidP="00AC3862">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4C782510" w14:textId="77777777" w:rsidR="005364CA" w:rsidRPr="00510A66" w:rsidRDefault="005364CA" w:rsidP="00AC3862">
            <w:pPr>
              <w:ind w:left="57" w:right="-38"/>
              <w:rPr>
                <w:color w:val="000000"/>
                <w:sz w:val="16"/>
                <w:szCs w:val="16"/>
              </w:rPr>
            </w:pPr>
            <w:r w:rsidRPr="00510A66">
              <w:rPr>
                <w:color w:val="000000"/>
                <w:sz w:val="16"/>
                <w:szCs w:val="16"/>
              </w:rPr>
              <w:t>Zacatecas</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3832BF90" w14:textId="77777777" w:rsidR="005364CA" w:rsidRPr="00510A66" w:rsidRDefault="005364CA" w:rsidP="00AC3862">
            <w:pPr>
              <w:tabs>
                <w:tab w:val="decimal" w:pos="633"/>
              </w:tabs>
              <w:rPr>
                <w:color w:val="000000"/>
                <w:sz w:val="16"/>
                <w:szCs w:val="16"/>
              </w:rPr>
            </w:pPr>
            <w:r w:rsidRPr="00510A66">
              <w:rPr>
                <w:color w:val="000000"/>
                <w:sz w:val="16"/>
                <w:szCs w:val="16"/>
              </w:rPr>
              <w:t>2.2</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0DEBCE9B" w14:textId="77777777" w:rsidR="005364CA" w:rsidRPr="00510A66" w:rsidRDefault="005364CA" w:rsidP="00AC3862">
            <w:pPr>
              <w:tabs>
                <w:tab w:val="decimal" w:pos="633"/>
              </w:tabs>
              <w:rPr>
                <w:color w:val="000000"/>
                <w:sz w:val="16"/>
                <w:szCs w:val="16"/>
              </w:rPr>
            </w:pPr>
            <w:r w:rsidRPr="00510A66">
              <w:rPr>
                <w:color w:val="000000"/>
                <w:sz w:val="16"/>
                <w:szCs w:val="16"/>
              </w:rPr>
              <w:t>3.6</w:t>
            </w:r>
          </w:p>
        </w:tc>
      </w:tr>
    </w:tbl>
    <w:p w14:paraId="07247F37" w14:textId="77777777" w:rsidR="005364CA" w:rsidRPr="00450AD2" w:rsidRDefault="005364CA" w:rsidP="005364CA">
      <w:pPr>
        <w:autoSpaceDE w:val="0"/>
        <w:autoSpaceDN w:val="0"/>
        <w:adjustRightInd w:val="0"/>
        <w:ind w:left="714" w:right="193" w:hanging="616"/>
        <w:rPr>
          <w:b/>
          <w:bCs/>
          <w:sz w:val="14"/>
          <w:szCs w:val="14"/>
        </w:rPr>
      </w:pPr>
      <w:r w:rsidRPr="00450AD2">
        <w:rPr>
          <w:b/>
          <w:bCs/>
          <w:sz w:val="14"/>
          <w:szCs w:val="14"/>
        </w:rPr>
        <w:t>Nota:</w:t>
      </w:r>
      <w:r w:rsidRPr="00450AD2">
        <w:rPr>
          <w:b/>
          <w:bCs/>
          <w:sz w:val="14"/>
          <w:szCs w:val="14"/>
        </w:rPr>
        <w:tab/>
        <w:t>Cifras elaboradas mediante métodos econométricos.</w:t>
      </w:r>
    </w:p>
    <w:p w14:paraId="1E312278" w14:textId="77777777" w:rsidR="005364CA" w:rsidRPr="00450AD2" w:rsidRDefault="005364CA" w:rsidP="005364CA">
      <w:pPr>
        <w:autoSpaceDE w:val="0"/>
        <w:autoSpaceDN w:val="0"/>
        <w:adjustRightInd w:val="0"/>
        <w:ind w:left="714" w:right="193" w:hanging="616"/>
        <w:rPr>
          <w:b/>
          <w:bCs/>
          <w:sz w:val="16"/>
          <w:szCs w:val="16"/>
        </w:rPr>
      </w:pPr>
      <w:r w:rsidRPr="00450AD2">
        <w:rPr>
          <w:b/>
          <w:bCs/>
          <w:sz w:val="14"/>
          <w:szCs w:val="14"/>
        </w:rPr>
        <w:t>Fuente:</w:t>
      </w:r>
      <w:r w:rsidRPr="00450AD2">
        <w:rPr>
          <w:b/>
          <w:bCs/>
          <w:sz w:val="22"/>
          <w:szCs w:val="22"/>
        </w:rPr>
        <w:tab/>
      </w:r>
      <w:proofErr w:type="spellStart"/>
      <w:r w:rsidRPr="00450AD2">
        <w:rPr>
          <w:b/>
          <w:bCs/>
          <w:smallCaps/>
          <w:sz w:val="14"/>
          <w:szCs w:val="14"/>
        </w:rPr>
        <w:t>inegi</w:t>
      </w:r>
      <w:proofErr w:type="spellEnd"/>
      <w:r w:rsidRPr="00450AD2">
        <w:rPr>
          <w:b/>
          <w:bCs/>
          <w:smallCaps/>
          <w:sz w:val="14"/>
          <w:szCs w:val="14"/>
        </w:rPr>
        <w:t xml:space="preserve">. </w:t>
      </w:r>
      <w:r w:rsidRPr="00450AD2">
        <w:rPr>
          <w:b/>
          <w:bCs/>
          <w:sz w:val="14"/>
          <w:szCs w:val="14"/>
        </w:rPr>
        <w:t>Sistema de Cuentas Nacionales de México (</w:t>
      </w:r>
      <w:proofErr w:type="spellStart"/>
      <w:r w:rsidRPr="00450AD2">
        <w:rPr>
          <w:b/>
          <w:bCs/>
          <w:smallCaps/>
          <w:sz w:val="14"/>
          <w:szCs w:val="14"/>
        </w:rPr>
        <w:t>scnm</w:t>
      </w:r>
      <w:proofErr w:type="spellEnd"/>
      <w:r w:rsidRPr="00450AD2">
        <w:rPr>
          <w:b/>
          <w:bCs/>
          <w:sz w:val="14"/>
          <w:szCs w:val="14"/>
        </w:rPr>
        <w:t>). Indicador Trimestral de la Actividad Económica Estatal (</w:t>
      </w:r>
      <w:proofErr w:type="spellStart"/>
      <w:r w:rsidRPr="00450AD2">
        <w:rPr>
          <w:b/>
          <w:bCs/>
          <w:smallCaps/>
          <w:sz w:val="14"/>
          <w:szCs w:val="14"/>
        </w:rPr>
        <w:t>itaee</w:t>
      </w:r>
      <w:proofErr w:type="spellEnd"/>
      <w:r w:rsidRPr="00450AD2">
        <w:rPr>
          <w:b/>
          <w:bCs/>
          <w:sz w:val="14"/>
          <w:szCs w:val="14"/>
        </w:rPr>
        <w:t xml:space="preserve">), 2025. </w:t>
      </w:r>
    </w:p>
    <w:p w14:paraId="5E0425FE" w14:textId="77777777" w:rsidR="005364CA" w:rsidRDefault="005364CA" w:rsidP="005364CA">
      <w:pPr>
        <w:pStyle w:val="PRIMERAPLANA"/>
        <w:spacing w:line="360" w:lineRule="auto"/>
        <w:rPr>
          <w:rFonts w:ascii="Times New Roman" w:hAnsi="Times New Roman"/>
          <w:bCs/>
        </w:rPr>
      </w:pPr>
    </w:p>
    <w:p w14:paraId="6032574A" w14:textId="302F31B0" w:rsidR="005364CA" w:rsidRPr="00EA5FCA" w:rsidRDefault="005364CA" w:rsidP="005364CA">
      <w:pPr>
        <w:pStyle w:val="PRIMERAPLANA"/>
        <w:spacing w:line="360" w:lineRule="auto"/>
        <w:rPr>
          <w:rFonts w:ascii="Times New Roman" w:hAnsi="Times New Roman"/>
          <w:bCs/>
        </w:rPr>
      </w:pPr>
      <w:r w:rsidRPr="00EA5FCA">
        <w:rPr>
          <w:rFonts w:ascii="Times New Roman" w:hAnsi="Times New Roman"/>
          <w:bCs/>
        </w:rPr>
        <w:t>En este periodo,</w:t>
      </w:r>
      <w:r>
        <w:rPr>
          <w:rFonts w:ascii="Times New Roman" w:hAnsi="Times New Roman"/>
          <w:bCs/>
        </w:rPr>
        <w:t xml:space="preserve"> </w:t>
      </w:r>
      <w:r w:rsidRPr="00EA5FCA">
        <w:rPr>
          <w:rFonts w:ascii="Times New Roman" w:hAnsi="Times New Roman"/>
          <w:bCs/>
        </w:rPr>
        <w:t>las actividades terciarias</w:t>
      </w:r>
      <w:r>
        <w:rPr>
          <w:rFonts w:ascii="Times New Roman" w:hAnsi="Times New Roman"/>
          <w:bCs/>
        </w:rPr>
        <w:t xml:space="preserve"> </w:t>
      </w:r>
      <w:r w:rsidRPr="00EA5FCA">
        <w:rPr>
          <w:rFonts w:ascii="Times New Roman" w:hAnsi="Times New Roman"/>
          <w:bCs/>
        </w:rPr>
        <w:t>(comercio, operaciones con información y servicios) fueron las que presentaron el</w:t>
      </w:r>
      <w:r>
        <w:rPr>
          <w:rFonts w:ascii="Times New Roman" w:hAnsi="Times New Roman"/>
          <w:bCs/>
        </w:rPr>
        <w:t xml:space="preserve"> </w:t>
      </w:r>
      <w:r w:rsidRPr="00EA5FCA">
        <w:rPr>
          <w:rFonts w:ascii="Times New Roman" w:hAnsi="Times New Roman"/>
          <w:bCs/>
        </w:rPr>
        <w:t>mejor comportamiento</w:t>
      </w:r>
      <w:r>
        <w:rPr>
          <w:rFonts w:ascii="Times New Roman" w:hAnsi="Times New Roman"/>
          <w:bCs/>
        </w:rPr>
        <w:t xml:space="preserve"> </w:t>
      </w:r>
      <w:r w:rsidRPr="00EA5FCA">
        <w:rPr>
          <w:rFonts w:ascii="Times New Roman" w:hAnsi="Times New Roman"/>
          <w:bCs/>
        </w:rPr>
        <w:t>al crecer en</w:t>
      </w:r>
      <w:r>
        <w:rPr>
          <w:rFonts w:ascii="Times New Roman" w:hAnsi="Times New Roman"/>
          <w:bCs/>
        </w:rPr>
        <w:t xml:space="preserve"> </w:t>
      </w:r>
      <w:r w:rsidRPr="00EA5FCA">
        <w:rPr>
          <w:rFonts w:ascii="Times New Roman" w:hAnsi="Times New Roman"/>
          <w:bCs/>
        </w:rPr>
        <w:t>1.5</w:t>
      </w:r>
      <w:r>
        <w:rPr>
          <w:rFonts w:ascii="Times New Roman" w:hAnsi="Times New Roman"/>
          <w:bCs/>
        </w:rPr>
        <w:t>%</w:t>
      </w:r>
      <w:r w:rsidRPr="00EA5FCA">
        <w:rPr>
          <w:rFonts w:ascii="Times New Roman" w:hAnsi="Times New Roman"/>
          <w:bCs/>
        </w:rPr>
        <w:t xml:space="preserve"> anual</w:t>
      </w:r>
      <w:r w:rsidR="003B68A8">
        <w:rPr>
          <w:rFonts w:ascii="Times New Roman" w:hAnsi="Times New Roman"/>
          <w:bCs/>
        </w:rPr>
        <w:t>,</w:t>
      </w:r>
      <w:r>
        <w:rPr>
          <w:rFonts w:ascii="Times New Roman" w:hAnsi="Times New Roman"/>
          <w:bCs/>
        </w:rPr>
        <w:t xml:space="preserve"> </w:t>
      </w:r>
      <w:r w:rsidRPr="00EA5FCA">
        <w:rPr>
          <w:rFonts w:ascii="Times New Roman" w:hAnsi="Times New Roman"/>
          <w:bCs/>
        </w:rPr>
        <w:t>que ubicó a Tlaxcala en el lugar 11 respecto al resto de las entidades federativas. En los primeros lugares estuvieron Guerrero (8.8%), Baja California Sur (3.2%) y Yucatán (2.7%); mientras que las entidades con números negativos del periodo fueron Chiapas (1.9%), Baja California (0.6%), y Oaxaca (0.4%).</w:t>
      </w:r>
    </w:p>
    <w:p w14:paraId="064B9FCE" w14:textId="77777777" w:rsidR="005364CA" w:rsidRDefault="005364CA" w:rsidP="005364CA">
      <w:pPr>
        <w:pStyle w:val="PRIMERAPLANA"/>
        <w:spacing w:line="360" w:lineRule="auto"/>
        <w:rPr>
          <w:rFonts w:ascii="Times New Roman" w:hAnsi="Times New Roman"/>
          <w:bCs/>
        </w:rPr>
      </w:pPr>
    </w:p>
    <w:p w14:paraId="4029C1F9" w14:textId="77777777" w:rsidR="005364CA" w:rsidRPr="00450AD2" w:rsidRDefault="005364CA" w:rsidP="005364CA">
      <w:pPr>
        <w:pStyle w:val="p02"/>
        <w:keepLines w:val="0"/>
        <w:widowControl w:val="0"/>
        <w:spacing w:before="0"/>
        <w:ind w:right="0"/>
        <w:jc w:val="center"/>
        <w:rPr>
          <w:rFonts w:ascii="Times New Roman" w:hAnsi="Times New Roman"/>
          <w:b/>
          <w:color w:val="auto"/>
          <w:sz w:val="18"/>
          <w:szCs w:val="18"/>
        </w:rPr>
      </w:pPr>
      <w:r w:rsidRPr="00450AD2">
        <w:rPr>
          <w:rFonts w:ascii="Times New Roman" w:hAnsi="Times New Roman"/>
          <w:b/>
          <w:color w:val="auto"/>
          <w:sz w:val="18"/>
          <w:szCs w:val="18"/>
        </w:rPr>
        <w:lastRenderedPageBreak/>
        <w:t xml:space="preserve">Variación anual y contribución de las actividades terciarias </w:t>
      </w:r>
    </w:p>
    <w:p w14:paraId="1D034D98" w14:textId="77777777" w:rsidR="005364CA" w:rsidRPr="00450AD2" w:rsidRDefault="005364CA" w:rsidP="005364CA">
      <w:pPr>
        <w:pStyle w:val="p02"/>
        <w:keepLines w:val="0"/>
        <w:widowControl w:val="0"/>
        <w:spacing w:before="0"/>
        <w:ind w:right="0"/>
        <w:jc w:val="center"/>
        <w:rPr>
          <w:rFonts w:ascii="Times New Roman" w:hAnsi="Times New Roman"/>
          <w:b/>
          <w:color w:val="auto"/>
          <w:sz w:val="18"/>
          <w:szCs w:val="18"/>
        </w:rPr>
      </w:pPr>
      <w:r w:rsidRPr="00450AD2">
        <w:rPr>
          <w:rFonts w:ascii="Times New Roman" w:hAnsi="Times New Roman"/>
          <w:b/>
          <w:color w:val="auto"/>
          <w:sz w:val="18"/>
          <w:szCs w:val="18"/>
        </w:rPr>
        <w:t>primer trimestre de 2025</w:t>
      </w:r>
      <w:r w:rsidRPr="00450AD2">
        <w:rPr>
          <w:rFonts w:ascii="Times New Roman" w:hAnsi="Times New Roman"/>
          <w:b/>
          <w:color w:val="auto"/>
          <w:sz w:val="18"/>
          <w:szCs w:val="18"/>
          <w:vertAlign w:val="superscript"/>
        </w:rPr>
        <w:t>1/</w:t>
      </w:r>
    </w:p>
    <w:tbl>
      <w:tblPr>
        <w:tblStyle w:val="Tablaconcuadrcula"/>
        <w:tblW w:w="50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70"/>
        <w:gridCol w:w="136"/>
        <w:gridCol w:w="10"/>
        <w:gridCol w:w="4220"/>
      </w:tblGrid>
      <w:tr w:rsidR="005364CA" w:rsidRPr="00450AD2" w14:paraId="7DF7C2BD" w14:textId="77777777" w:rsidTr="00AC3862">
        <w:trPr>
          <w:trHeight w:hRule="exact" w:val="525"/>
        </w:trPr>
        <w:tc>
          <w:tcPr>
            <w:tcW w:w="3753" w:type="dxa"/>
            <w:vAlign w:val="center"/>
          </w:tcPr>
          <w:p w14:paraId="22C4756C" w14:textId="77777777" w:rsidR="005364CA" w:rsidRPr="00450AD2" w:rsidRDefault="005364CA" w:rsidP="00AC3862">
            <w:pPr>
              <w:pStyle w:val="p0"/>
              <w:spacing w:before="0"/>
              <w:jc w:val="center"/>
              <w:rPr>
                <w:rFonts w:ascii="Times New Roman" w:hAnsi="Times New Roman" w:cs="Times New Roman"/>
                <w:b/>
                <w:color w:val="auto"/>
                <w:sz w:val="18"/>
                <w:szCs w:val="18"/>
                <w:lang w:val="es-MX"/>
              </w:rPr>
            </w:pPr>
            <w:r w:rsidRPr="00450AD2">
              <w:rPr>
                <w:rFonts w:ascii="Times New Roman" w:hAnsi="Times New Roman" w:cs="Times New Roman"/>
                <w:b/>
                <w:color w:val="auto"/>
                <w:sz w:val="18"/>
                <w:szCs w:val="18"/>
              </w:rPr>
              <w:t xml:space="preserve">Variación porcentual real </w:t>
            </w:r>
            <w:r w:rsidRPr="00450AD2">
              <w:rPr>
                <w:rFonts w:ascii="Times New Roman" w:hAnsi="Times New Roman" w:cs="Times New Roman"/>
                <w:b/>
                <w:color w:val="auto"/>
                <w:sz w:val="18"/>
                <w:szCs w:val="18"/>
              </w:rPr>
              <w:br/>
              <w:t>respecto al primer trimestre de 2024</w:t>
            </w:r>
          </w:p>
        </w:tc>
        <w:tc>
          <w:tcPr>
            <w:tcW w:w="146" w:type="dxa"/>
            <w:vAlign w:val="center"/>
          </w:tcPr>
          <w:p w14:paraId="65D9625C" w14:textId="77777777" w:rsidR="005364CA" w:rsidRPr="00450AD2" w:rsidRDefault="005364CA" w:rsidP="00AC3862">
            <w:pPr>
              <w:pStyle w:val="p0"/>
              <w:spacing w:before="0"/>
              <w:jc w:val="center"/>
              <w:rPr>
                <w:rFonts w:ascii="Times New Roman" w:hAnsi="Times New Roman" w:cs="Times New Roman"/>
                <w:b/>
                <w:color w:val="auto"/>
                <w:sz w:val="18"/>
                <w:szCs w:val="18"/>
                <w:lang w:val="es-MX"/>
              </w:rPr>
            </w:pPr>
          </w:p>
        </w:tc>
        <w:tc>
          <w:tcPr>
            <w:tcW w:w="4211" w:type="dxa"/>
            <w:gridSpan w:val="2"/>
            <w:vAlign w:val="center"/>
          </w:tcPr>
          <w:p w14:paraId="5F9F511E" w14:textId="77777777" w:rsidR="005364CA" w:rsidRPr="00450AD2" w:rsidRDefault="005364CA" w:rsidP="00AC3862">
            <w:pPr>
              <w:pStyle w:val="p0"/>
              <w:spacing w:before="0"/>
              <w:jc w:val="center"/>
              <w:rPr>
                <w:rFonts w:ascii="Times New Roman" w:hAnsi="Times New Roman" w:cs="Times New Roman"/>
                <w:b/>
                <w:color w:val="auto"/>
                <w:sz w:val="18"/>
                <w:szCs w:val="18"/>
                <w:lang w:val="es-MX"/>
              </w:rPr>
            </w:pPr>
            <w:r w:rsidRPr="00450AD2">
              <w:rPr>
                <w:rFonts w:ascii="Times New Roman" w:hAnsi="Times New Roman" w:cs="Times New Roman"/>
                <w:b/>
                <w:color w:val="auto"/>
                <w:sz w:val="18"/>
                <w:szCs w:val="18"/>
              </w:rPr>
              <w:t xml:space="preserve">Contribución a la variación total real </w:t>
            </w:r>
            <w:r w:rsidRPr="00450AD2">
              <w:rPr>
                <w:rFonts w:ascii="Times New Roman" w:hAnsi="Times New Roman" w:cs="Times New Roman"/>
                <w:b/>
                <w:color w:val="auto"/>
                <w:sz w:val="18"/>
                <w:szCs w:val="18"/>
              </w:rPr>
              <w:br/>
              <w:t>de las actividades terciarias</w:t>
            </w:r>
            <w:r w:rsidRPr="00450AD2">
              <w:rPr>
                <w:rFonts w:ascii="Times New Roman" w:hAnsi="Times New Roman" w:cs="Times New Roman"/>
                <w:b/>
                <w:color w:val="auto"/>
                <w:sz w:val="18"/>
                <w:szCs w:val="18"/>
                <w:vertAlign w:val="superscript"/>
              </w:rPr>
              <w:t>2/</w:t>
            </w:r>
          </w:p>
        </w:tc>
      </w:tr>
      <w:tr w:rsidR="005364CA" w:rsidRPr="00121E0C" w14:paraId="49B6F605" w14:textId="77777777" w:rsidTr="00AC3862">
        <w:tblPrEx>
          <w:tblCellMar>
            <w:left w:w="70" w:type="dxa"/>
            <w:right w:w="70" w:type="dxa"/>
          </w:tblCellMar>
        </w:tblPrEx>
        <w:trPr>
          <w:trHeight w:val="7933"/>
        </w:trPr>
        <w:tc>
          <w:tcPr>
            <w:tcW w:w="3753" w:type="dxa"/>
            <w:vAlign w:val="center"/>
          </w:tcPr>
          <w:p w14:paraId="24F6BA82" w14:textId="77777777" w:rsidR="005364CA" w:rsidRPr="00121E0C" w:rsidRDefault="005364CA" w:rsidP="00AC3862">
            <w:pPr>
              <w:pStyle w:val="p0"/>
              <w:spacing w:before="0"/>
              <w:jc w:val="center"/>
              <w:rPr>
                <w:rFonts w:ascii="Arial" w:hAnsi="Arial"/>
                <w:color w:val="auto"/>
                <w:sz w:val="16"/>
                <w:szCs w:val="16"/>
                <w:lang w:val="es-MX"/>
              </w:rPr>
            </w:pPr>
            <w:r>
              <w:rPr>
                <w:noProof/>
              </w:rPr>
              <w:drawing>
                <wp:inline distT="0" distB="0" distL="0" distR="0" wp14:anchorId="2CFCBE72" wp14:editId="7722D4A8">
                  <wp:extent cx="2479675" cy="4678878"/>
                  <wp:effectExtent l="0" t="0" r="15875" b="7620"/>
                  <wp:docPr id="1641551537" name="Gráfico 1">
                    <a:extLst xmlns:a="http://schemas.openxmlformats.org/drawingml/2006/main">
                      <a:ext uri="{FF2B5EF4-FFF2-40B4-BE49-F238E27FC236}">
                        <a16:creationId xmlns:a16="http://schemas.microsoft.com/office/drawing/2014/main" id="{87C407B7-785D-4F6B-8708-4A906AE81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160" w:type="dxa"/>
            <w:gridSpan w:val="2"/>
            <w:vAlign w:val="center"/>
          </w:tcPr>
          <w:p w14:paraId="285DCBCB" w14:textId="77777777" w:rsidR="005364CA" w:rsidRPr="00121E0C" w:rsidRDefault="005364CA" w:rsidP="00AC3862">
            <w:pPr>
              <w:pStyle w:val="p0"/>
              <w:spacing w:before="0"/>
              <w:jc w:val="center"/>
              <w:rPr>
                <w:rFonts w:ascii="Arial" w:hAnsi="Arial"/>
                <w:color w:val="auto"/>
                <w:sz w:val="16"/>
                <w:szCs w:val="16"/>
                <w:lang w:val="es-MX"/>
              </w:rPr>
            </w:pPr>
          </w:p>
        </w:tc>
        <w:tc>
          <w:tcPr>
            <w:tcW w:w="4201" w:type="dxa"/>
            <w:vAlign w:val="center"/>
          </w:tcPr>
          <w:p w14:paraId="315FF7EC" w14:textId="77777777" w:rsidR="005364CA" w:rsidRPr="00121E0C" w:rsidRDefault="005364CA" w:rsidP="00AC3862">
            <w:pPr>
              <w:pStyle w:val="p0"/>
              <w:spacing w:before="0"/>
              <w:jc w:val="center"/>
              <w:rPr>
                <w:rFonts w:ascii="Arial" w:hAnsi="Arial"/>
                <w:color w:val="auto"/>
                <w:sz w:val="16"/>
                <w:szCs w:val="16"/>
                <w:lang w:val="es-MX"/>
              </w:rPr>
            </w:pPr>
            <w:r>
              <w:rPr>
                <w:noProof/>
              </w:rPr>
              <w:drawing>
                <wp:inline distT="0" distB="0" distL="0" distR="0" wp14:anchorId="0E45288C" wp14:editId="0E312B8C">
                  <wp:extent cx="2588895" cy="4672940"/>
                  <wp:effectExtent l="0" t="0" r="1905" b="13970"/>
                  <wp:docPr id="324933151" name="Gráfico 1">
                    <a:extLst xmlns:a="http://schemas.openxmlformats.org/drawingml/2006/main">
                      <a:ext uri="{FF2B5EF4-FFF2-40B4-BE49-F238E27FC236}">
                        <a16:creationId xmlns:a16="http://schemas.microsoft.com/office/drawing/2014/main" id="{04F8A0A2-B27D-42AD-9134-6757F6548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0B08FD21" w14:textId="77777777" w:rsidR="005364CA" w:rsidRPr="00034E31" w:rsidRDefault="005364CA" w:rsidP="005364CA">
      <w:pPr>
        <w:pStyle w:val="Textoindependiente"/>
        <w:spacing w:line="240" w:lineRule="auto"/>
        <w:ind w:left="742" w:right="91" w:hanging="630"/>
        <w:rPr>
          <w:rFonts w:ascii="Times New Roman" w:hAnsi="Times New Roman" w:cs="Times New Roman"/>
          <w:sz w:val="14"/>
          <w:szCs w:val="14"/>
          <w:vertAlign w:val="superscript"/>
        </w:rPr>
      </w:pPr>
      <w:r w:rsidRPr="00034E31">
        <w:rPr>
          <w:rFonts w:ascii="Times New Roman" w:hAnsi="Times New Roman" w:cs="Times New Roman"/>
          <w:sz w:val="14"/>
          <w:szCs w:val="14"/>
          <w:vertAlign w:val="superscript"/>
        </w:rPr>
        <w:t>1/</w:t>
      </w:r>
      <w:r w:rsidRPr="00034E31">
        <w:rPr>
          <w:rFonts w:ascii="Times New Roman" w:hAnsi="Times New Roman" w:cs="Times New Roman"/>
          <w:sz w:val="14"/>
          <w:szCs w:val="14"/>
          <w:vertAlign w:val="superscript"/>
        </w:rPr>
        <w:tab/>
      </w:r>
      <w:r w:rsidRPr="00034E31">
        <w:rPr>
          <w:rFonts w:ascii="Times New Roman" w:hAnsi="Times New Roman" w:cs="Times New Roman"/>
          <w:sz w:val="14"/>
          <w:szCs w:val="14"/>
        </w:rPr>
        <w:t>Cifras preliminares.</w:t>
      </w:r>
    </w:p>
    <w:p w14:paraId="72E39042" w14:textId="77777777" w:rsidR="005364CA" w:rsidRPr="00034E31" w:rsidRDefault="005364CA" w:rsidP="005364CA">
      <w:pPr>
        <w:pStyle w:val="Textoindependiente"/>
        <w:spacing w:line="240" w:lineRule="auto"/>
        <w:ind w:left="742" w:right="91" w:hanging="630"/>
        <w:rPr>
          <w:rFonts w:ascii="Times New Roman" w:hAnsi="Times New Roman" w:cs="Times New Roman"/>
          <w:sz w:val="14"/>
          <w:szCs w:val="14"/>
        </w:rPr>
      </w:pPr>
      <w:r w:rsidRPr="00034E31">
        <w:rPr>
          <w:rFonts w:ascii="Times New Roman" w:hAnsi="Times New Roman" w:cs="Times New Roman"/>
          <w:sz w:val="14"/>
          <w:szCs w:val="14"/>
          <w:vertAlign w:val="superscript"/>
        </w:rPr>
        <w:t>2/</w:t>
      </w:r>
      <w:r w:rsidRPr="00034E31">
        <w:rPr>
          <w:rFonts w:ascii="Times New Roman" w:hAnsi="Times New Roman" w:cs="Times New Roman"/>
          <w:sz w:val="14"/>
          <w:szCs w:val="14"/>
          <w:vertAlign w:val="superscript"/>
        </w:rPr>
        <w:tab/>
      </w:r>
      <w:r w:rsidRPr="00034E31">
        <w:rPr>
          <w:rFonts w:ascii="Times New Roman" w:hAnsi="Times New Roman" w:cs="Times New Roman"/>
          <w:sz w:val="14"/>
          <w:szCs w:val="14"/>
        </w:rPr>
        <w:t>Las contribuciones se obtienen ponderando las tasas de crecimiento con la participación que cada estado tiene en las actividades terciarias.</w:t>
      </w:r>
    </w:p>
    <w:p w14:paraId="1F2239CD" w14:textId="77777777" w:rsidR="005364CA" w:rsidRPr="00034E31" w:rsidRDefault="005364CA" w:rsidP="005364CA">
      <w:pPr>
        <w:pStyle w:val="Textoindependiente"/>
        <w:spacing w:line="240" w:lineRule="auto"/>
        <w:ind w:left="742" w:right="91" w:hanging="630"/>
        <w:rPr>
          <w:rFonts w:ascii="Times New Roman" w:hAnsi="Times New Roman" w:cs="Times New Roman"/>
          <w:snapToGrid w:val="0"/>
          <w:sz w:val="18"/>
          <w:szCs w:val="22"/>
        </w:rPr>
      </w:pPr>
      <w:r w:rsidRPr="00034E31">
        <w:rPr>
          <w:rFonts w:ascii="Times New Roman" w:hAnsi="Times New Roman" w:cs="Times New Roman"/>
          <w:sz w:val="14"/>
          <w:szCs w:val="14"/>
        </w:rPr>
        <w:t>Fuente:</w:t>
      </w:r>
      <w:r w:rsidRPr="00034E31">
        <w:rPr>
          <w:rFonts w:ascii="Times New Roman" w:hAnsi="Times New Roman" w:cs="Times New Roman"/>
          <w:sz w:val="14"/>
          <w:szCs w:val="14"/>
        </w:rPr>
        <w:tab/>
      </w:r>
      <w:proofErr w:type="spellStart"/>
      <w:r w:rsidRPr="00034E31">
        <w:rPr>
          <w:rFonts w:ascii="Times New Roman" w:hAnsi="Times New Roman" w:cs="Times New Roman"/>
          <w:smallCaps/>
          <w:sz w:val="14"/>
          <w:szCs w:val="14"/>
        </w:rPr>
        <w:t>inegi</w:t>
      </w:r>
      <w:proofErr w:type="spellEnd"/>
      <w:r w:rsidRPr="00034E31">
        <w:rPr>
          <w:rFonts w:ascii="Times New Roman" w:hAnsi="Times New Roman" w:cs="Times New Roman"/>
          <w:smallCaps/>
          <w:sz w:val="14"/>
          <w:szCs w:val="14"/>
        </w:rPr>
        <w:t>.</w:t>
      </w:r>
      <w:r w:rsidRPr="00034E31">
        <w:rPr>
          <w:rFonts w:ascii="Times New Roman" w:hAnsi="Times New Roman" w:cs="Times New Roman"/>
          <w:sz w:val="14"/>
          <w:szCs w:val="14"/>
        </w:rPr>
        <w:t xml:space="preserve"> Sistema de Cuentas Nacionales de México</w:t>
      </w:r>
      <w:r w:rsidRPr="00034E31">
        <w:rPr>
          <w:rFonts w:ascii="Times New Roman" w:hAnsi="Times New Roman" w:cs="Times New Roman"/>
          <w:smallCaps/>
          <w:sz w:val="14"/>
          <w:szCs w:val="14"/>
        </w:rPr>
        <w:t xml:space="preserve"> (</w:t>
      </w:r>
      <w:proofErr w:type="spellStart"/>
      <w:r w:rsidRPr="00034E31">
        <w:rPr>
          <w:rFonts w:ascii="Times New Roman" w:hAnsi="Times New Roman" w:cs="Times New Roman"/>
          <w:smallCaps/>
          <w:sz w:val="14"/>
          <w:szCs w:val="14"/>
        </w:rPr>
        <w:t>scnm</w:t>
      </w:r>
      <w:proofErr w:type="spellEnd"/>
      <w:r w:rsidRPr="00034E31">
        <w:rPr>
          <w:rFonts w:ascii="Times New Roman" w:hAnsi="Times New Roman" w:cs="Times New Roman"/>
          <w:smallCaps/>
          <w:sz w:val="14"/>
          <w:szCs w:val="14"/>
        </w:rPr>
        <w:t xml:space="preserve">). </w:t>
      </w:r>
      <w:r w:rsidRPr="00034E31">
        <w:rPr>
          <w:rFonts w:ascii="Times New Roman" w:hAnsi="Times New Roman" w:cs="Times New Roman"/>
          <w:sz w:val="14"/>
          <w:szCs w:val="14"/>
        </w:rPr>
        <w:t>Indicador Trimestral de la Actividad Económica Estatal (</w:t>
      </w:r>
      <w:proofErr w:type="spellStart"/>
      <w:r w:rsidRPr="00034E31">
        <w:rPr>
          <w:rFonts w:ascii="Times New Roman" w:hAnsi="Times New Roman" w:cs="Times New Roman"/>
          <w:smallCaps/>
          <w:sz w:val="14"/>
          <w:szCs w:val="14"/>
        </w:rPr>
        <w:t>itaee</w:t>
      </w:r>
      <w:proofErr w:type="spellEnd"/>
      <w:r w:rsidRPr="00034E31">
        <w:rPr>
          <w:rFonts w:ascii="Times New Roman" w:hAnsi="Times New Roman" w:cs="Times New Roman"/>
          <w:sz w:val="14"/>
          <w:szCs w:val="14"/>
        </w:rPr>
        <w:t>), 2025.</w:t>
      </w:r>
    </w:p>
    <w:p w14:paraId="7F1030D4" w14:textId="77777777" w:rsidR="005364CA" w:rsidRPr="00EA5FCA" w:rsidRDefault="005364CA" w:rsidP="005364CA">
      <w:pPr>
        <w:pStyle w:val="PRIMERAPLANA"/>
        <w:spacing w:line="360" w:lineRule="auto"/>
        <w:rPr>
          <w:rFonts w:ascii="Times New Roman" w:hAnsi="Times New Roman"/>
          <w:bCs/>
        </w:rPr>
      </w:pPr>
    </w:p>
    <w:p w14:paraId="2B2E4089" w14:textId="77777777" w:rsidR="005364CA" w:rsidRPr="00EA5FCA" w:rsidRDefault="005364CA" w:rsidP="005364CA">
      <w:pPr>
        <w:pStyle w:val="PRIMERAPLANA"/>
        <w:spacing w:line="360" w:lineRule="auto"/>
        <w:rPr>
          <w:rFonts w:ascii="Times New Roman" w:hAnsi="Times New Roman"/>
          <w:bCs/>
        </w:rPr>
      </w:pPr>
      <w:r w:rsidRPr="00EA5FCA">
        <w:rPr>
          <w:rFonts w:ascii="Times New Roman" w:hAnsi="Times New Roman"/>
          <w:bCs/>
        </w:rPr>
        <w:t xml:space="preserve">A </w:t>
      </w:r>
      <w:proofErr w:type="gramStart"/>
      <w:r w:rsidRPr="00EA5FCA">
        <w:rPr>
          <w:rFonts w:ascii="Times New Roman" w:hAnsi="Times New Roman"/>
          <w:bCs/>
        </w:rPr>
        <w:t>continuación</w:t>
      </w:r>
      <w:proofErr w:type="gramEnd"/>
      <w:r w:rsidRPr="00EA5FCA">
        <w:rPr>
          <w:rFonts w:ascii="Times New Roman" w:hAnsi="Times New Roman"/>
          <w:bCs/>
        </w:rPr>
        <w:t xml:space="preserve"> se colocaron</w:t>
      </w:r>
      <w:r>
        <w:rPr>
          <w:rFonts w:ascii="Times New Roman" w:hAnsi="Times New Roman"/>
          <w:bCs/>
        </w:rPr>
        <w:t xml:space="preserve"> </w:t>
      </w:r>
      <w:r w:rsidRPr="00EA5FCA">
        <w:rPr>
          <w:rFonts w:ascii="Times New Roman" w:hAnsi="Times New Roman"/>
          <w:bCs/>
        </w:rPr>
        <w:t>las actividades primarias</w:t>
      </w:r>
      <w:r>
        <w:rPr>
          <w:rFonts w:ascii="Times New Roman" w:hAnsi="Times New Roman"/>
          <w:bCs/>
        </w:rPr>
        <w:t xml:space="preserve"> </w:t>
      </w:r>
      <w:r w:rsidRPr="00EA5FCA">
        <w:rPr>
          <w:rFonts w:ascii="Times New Roman" w:hAnsi="Times New Roman"/>
          <w:bCs/>
        </w:rPr>
        <w:t>(agricultura, cría y exploración de animales, aprovechamiento forestal, caza y pesca) que registraron un</w:t>
      </w:r>
      <w:r>
        <w:rPr>
          <w:rFonts w:ascii="Times New Roman" w:hAnsi="Times New Roman"/>
          <w:bCs/>
        </w:rPr>
        <w:t xml:space="preserve"> </w:t>
      </w:r>
      <w:r w:rsidRPr="00EA5FCA">
        <w:rPr>
          <w:rFonts w:ascii="Times New Roman" w:hAnsi="Times New Roman"/>
          <w:bCs/>
        </w:rPr>
        <w:t>crecimiento de 1.3</w:t>
      </w:r>
      <w:r>
        <w:rPr>
          <w:rFonts w:ascii="Times New Roman" w:hAnsi="Times New Roman"/>
          <w:bCs/>
        </w:rPr>
        <w:t xml:space="preserve">% </w:t>
      </w:r>
      <w:r w:rsidRPr="00EA5FCA">
        <w:rPr>
          <w:rFonts w:ascii="Times New Roman" w:hAnsi="Times New Roman"/>
          <w:bCs/>
        </w:rPr>
        <w:t>en comparación con el primer trimestre de 2024. En este caso, Tlaxcala obtuvo el lugar 22 a nivel nacional, mientras que los primeros los ocuparon Tamaulipas (24.3%), Baja California (23%) y Zacatecas (23%).</w:t>
      </w:r>
    </w:p>
    <w:p w14:paraId="6BDB7F75" w14:textId="77777777" w:rsidR="005364CA" w:rsidRPr="00034E31" w:rsidRDefault="005364CA" w:rsidP="005364CA">
      <w:pPr>
        <w:pStyle w:val="PRIMERAPLANA"/>
        <w:spacing w:line="360" w:lineRule="auto"/>
        <w:rPr>
          <w:rFonts w:ascii="Times New Roman" w:hAnsi="Times New Roman"/>
          <w:bCs/>
        </w:rPr>
      </w:pPr>
    </w:p>
    <w:p w14:paraId="5EB597EC" w14:textId="77777777" w:rsidR="005364CA" w:rsidRPr="00450AD2" w:rsidRDefault="005364CA" w:rsidP="005364CA">
      <w:pPr>
        <w:pStyle w:val="p02"/>
        <w:keepLines w:val="0"/>
        <w:widowControl w:val="0"/>
        <w:spacing w:before="0"/>
        <w:ind w:right="0"/>
        <w:jc w:val="center"/>
        <w:rPr>
          <w:rFonts w:ascii="Times New Roman" w:hAnsi="Times New Roman"/>
          <w:b/>
          <w:color w:val="auto"/>
          <w:sz w:val="18"/>
          <w:szCs w:val="18"/>
        </w:rPr>
      </w:pPr>
      <w:r w:rsidRPr="00450AD2">
        <w:rPr>
          <w:rFonts w:ascii="Times New Roman" w:hAnsi="Times New Roman"/>
          <w:b/>
          <w:color w:val="auto"/>
          <w:sz w:val="18"/>
          <w:szCs w:val="18"/>
        </w:rPr>
        <w:lastRenderedPageBreak/>
        <w:t xml:space="preserve">Variación anual y contribución de las actividades primarias </w:t>
      </w:r>
    </w:p>
    <w:p w14:paraId="779232A4" w14:textId="77777777" w:rsidR="005364CA" w:rsidRDefault="005364CA" w:rsidP="005364CA">
      <w:pPr>
        <w:pStyle w:val="p02"/>
        <w:keepLines w:val="0"/>
        <w:widowControl w:val="0"/>
        <w:spacing w:before="0"/>
        <w:ind w:right="0"/>
        <w:jc w:val="center"/>
        <w:rPr>
          <w:rFonts w:ascii="Times New Roman" w:hAnsi="Times New Roman"/>
          <w:b/>
          <w:color w:val="auto"/>
          <w:sz w:val="18"/>
          <w:szCs w:val="18"/>
        </w:rPr>
      </w:pPr>
      <w:r w:rsidRPr="00450AD2">
        <w:rPr>
          <w:rFonts w:ascii="Times New Roman" w:hAnsi="Times New Roman"/>
          <w:b/>
          <w:color w:val="auto"/>
          <w:sz w:val="18"/>
          <w:szCs w:val="18"/>
        </w:rPr>
        <w:t>primer trimestre de 2025</w:t>
      </w:r>
      <w:r w:rsidRPr="00450AD2">
        <w:rPr>
          <w:rFonts w:ascii="Times New Roman" w:hAnsi="Times New Roman"/>
          <w:b/>
          <w:color w:val="auto"/>
          <w:sz w:val="18"/>
          <w:szCs w:val="18"/>
          <w:vertAlign w:val="superscript"/>
        </w:rPr>
        <w:t>1/</w:t>
      </w:r>
    </w:p>
    <w:p w14:paraId="6479E81B" w14:textId="77777777" w:rsidR="00BB00D6" w:rsidRPr="00BB00D6" w:rsidRDefault="00BB00D6" w:rsidP="00BB00D6">
      <w:pPr>
        <w:pStyle w:val="PRIMERAPLANA"/>
        <w:spacing w:line="360" w:lineRule="auto"/>
        <w:rPr>
          <w:rFonts w:ascii="Times New Roman" w:hAnsi="Times New Roman"/>
          <w:bCs/>
        </w:rPr>
      </w:pPr>
    </w:p>
    <w:tbl>
      <w:tblPr>
        <w:tblStyle w:val="Tablaconcuadrcula"/>
        <w:tblW w:w="44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65"/>
        <w:gridCol w:w="146"/>
        <w:gridCol w:w="3946"/>
      </w:tblGrid>
      <w:tr w:rsidR="005364CA" w:rsidRPr="00450AD2" w14:paraId="5963836B" w14:textId="77777777" w:rsidTr="00AC3862">
        <w:trPr>
          <w:trHeight w:hRule="exact" w:val="414"/>
        </w:trPr>
        <w:tc>
          <w:tcPr>
            <w:tcW w:w="3561" w:type="dxa"/>
            <w:vAlign w:val="center"/>
          </w:tcPr>
          <w:p w14:paraId="3EADABB9" w14:textId="77777777" w:rsidR="005364CA" w:rsidRPr="00450AD2" w:rsidRDefault="005364CA" w:rsidP="00AC3862">
            <w:pPr>
              <w:pStyle w:val="p0"/>
              <w:spacing w:before="0"/>
              <w:jc w:val="center"/>
              <w:rPr>
                <w:rFonts w:ascii="Times New Roman" w:hAnsi="Times New Roman" w:cs="Times New Roman"/>
                <w:b/>
                <w:bCs/>
                <w:color w:val="auto"/>
                <w:sz w:val="18"/>
                <w:szCs w:val="18"/>
                <w:lang w:val="es-MX"/>
              </w:rPr>
            </w:pPr>
            <w:r w:rsidRPr="00450AD2">
              <w:rPr>
                <w:rFonts w:ascii="Times New Roman" w:hAnsi="Times New Roman" w:cs="Times New Roman"/>
                <w:b/>
                <w:bCs/>
                <w:color w:val="auto"/>
                <w:sz w:val="18"/>
                <w:szCs w:val="18"/>
              </w:rPr>
              <w:t xml:space="preserve">Variación porcentual real </w:t>
            </w:r>
            <w:r w:rsidRPr="00450AD2">
              <w:rPr>
                <w:rFonts w:ascii="Times New Roman" w:hAnsi="Times New Roman" w:cs="Times New Roman"/>
                <w:b/>
                <w:bCs/>
                <w:color w:val="auto"/>
                <w:sz w:val="18"/>
                <w:szCs w:val="18"/>
              </w:rPr>
              <w:br/>
              <w:t>respecto al primer trimestre de 2024</w:t>
            </w:r>
          </w:p>
        </w:tc>
        <w:tc>
          <w:tcPr>
            <w:tcW w:w="128" w:type="dxa"/>
            <w:vAlign w:val="center"/>
          </w:tcPr>
          <w:p w14:paraId="27A1B2A6" w14:textId="77777777" w:rsidR="005364CA" w:rsidRPr="00450AD2" w:rsidRDefault="005364CA" w:rsidP="00AC3862">
            <w:pPr>
              <w:pStyle w:val="p0"/>
              <w:spacing w:before="0"/>
              <w:jc w:val="center"/>
              <w:rPr>
                <w:rFonts w:ascii="Times New Roman" w:hAnsi="Times New Roman" w:cs="Times New Roman"/>
                <w:b/>
                <w:bCs/>
                <w:color w:val="auto"/>
                <w:sz w:val="18"/>
                <w:szCs w:val="18"/>
                <w:lang w:val="es-MX"/>
              </w:rPr>
            </w:pPr>
          </w:p>
        </w:tc>
        <w:tc>
          <w:tcPr>
            <w:tcW w:w="3456" w:type="dxa"/>
            <w:vAlign w:val="center"/>
          </w:tcPr>
          <w:p w14:paraId="014F4700" w14:textId="77777777" w:rsidR="005364CA" w:rsidRPr="00450AD2" w:rsidRDefault="005364CA" w:rsidP="00AC3862">
            <w:pPr>
              <w:pStyle w:val="p0"/>
              <w:spacing w:before="0"/>
              <w:jc w:val="center"/>
              <w:rPr>
                <w:rFonts w:ascii="Times New Roman" w:hAnsi="Times New Roman" w:cs="Times New Roman"/>
                <w:b/>
                <w:bCs/>
                <w:color w:val="auto"/>
                <w:sz w:val="18"/>
                <w:szCs w:val="18"/>
                <w:lang w:val="es-MX"/>
              </w:rPr>
            </w:pPr>
            <w:r w:rsidRPr="00450AD2">
              <w:rPr>
                <w:rFonts w:ascii="Times New Roman" w:hAnsi="Times New Roman" w:cs="Times New Roman"/>
                <w:b/>
                <w:bCs/>
                <w:color w:val="auto"/>
                <w:sz w:val="18"/>
                <w:szCs w:val="18"/>
              </w:rPr>
              <w:t xml:space="preserve">Contribución a la variación total real </w:t>
            </w:r>
            <w:r w:rsidRPr="00450AD2">
              <w:rPr>
                <w:rFonts w:ascii="Times New Roman" w:hAnsi="Times New Roman" w:cs="Times New Roman"/>
                <w:b/>
                <w:bCs/>
                <w:color w:val="auto"/>
                <w:sz w:val="18"/>
                <w:szCs w:val="18"/>
              </w:rPr>
              <w:br/>
              <w:t>de las actividades primarias</w:t>
            </w:r>
            <w:r w:rsidRPr="00450AD2">
              <w:rPr>
                <w:rFonts w:ascii="Times New Roman" w:hAnsi="Times New Roman" w:cs="Times New Roman"/>
                <w:b/>
                <w:bCs/>
                <w:color w:val="auto"/>
                <w:sz w:val="18"/>
                <w:szCs w:val="18"/>
                <w:vertAlign w:val="superscript"/>
              </w:rPr>
              <w:t>2/</w:t>
            </w:r>
          </w:p>
        </w:tc>
      </w:tr>
      <w:tr w:rsidR="005364CA" w:rsidRPr="00121E0C" w14:paraId="3C3E75ED" w14:textId="77777777" w:rsidTr="00AC3862">
        <w:tblPrEx>
          <w:tblCellMar>
            <w:left w:w="70" w:type="dxa"/>
            <w:right w:w="70" w:type="dxa"/>
          </w:tblCellMar>
        </w:tblPrEx>
        <w:trPr>
          <w:trHeight w:val="6274"/>
        </w:trPr>
        <w:tc>
          <w:tcPr>
            <w:tcW w:w="3561" w:type="dxa"/>
            <w:vAlign w:val="center"/>
          </w:tcPr>
          <w:p w14:paraId="59B59775" w14:textId="77777777" w:rsidR="005364CA" w:rsidRPr="00121E0C" w:rsidRDefault="005364CA" w:rsidP="00AC3862">
            <w:pPr>
              <w:pStyle w:val="p0"/>
              <w:spacing w:before="0"/>
              <w:jc w:val="center"/>
              <w:rPr>
                <w:rFonts w:ascii="Arial" w:hAnsi="Arial"/>
                <w:color w:val="auto"/>
                <w:sz w:val="16"/>
                <w:szCs w:val="16"/>
                <w:lang w:val="es-MX"/>
              </w:rPr>
            </w:pPr>
            <w:r>
              <w:rPr>
                <w:noProof/>
              </w:rPr>
              <w:drawing>
                <wp:inline distT="0" distB="0" distL="0" distR="0" wp14:anchorId="0F60658A" wp14:editId="00242425">
                  <wp:extent cx="2494280" cy="4436828"/>
                  <wp:effectExtent l="0" t="0" r="1270" b="1905"/>
                  <wp:docPr id="527116628" name="Gráfico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128" w:type="dxa"/>
            <w:vAlign w:val="center"/>
          </w:tcPr>
          <w:p w14:paraId="268044EA" w14:textId="77777777" w:rsidR="005364CA" w:rsidRPr="00121E0C" w:rsidRDefault="005364CA" w:rsidP="00AC3862">
            <w:pPr>
              <w:pStyle w:val="p0"/>
              <w:spacing w:before="0"/>
              <w:jc w:val="center"/>
              <w:rPr>
                <w:rFonts w:ascii="Arial" w:hAnsi="Arial"/>
                <w:color w:val="auto"/>
                <w:sz w:val="16"/>
                <w:szCs w:val="16"/>
                <w:lang w:val="es-MX"/>
              </w:rPr>
            </w:pPr>
          </w:p>
        </w:tc>
        <w:tc>
          <w:tcPr>
            <w:tcW w:w="3456" w:type="dxa"/>
            <w:vAlign w:val="center"/>
          </w:tcPr>
          <w:p w14:paraId="21E07D95" w14:textId="77777777" w:rsidR="005364CA" w:rsidRPr="00121E0C" w:rsidRDefault="005364CA" w:rsidP="00AC3862">
            <w:pPr>
              <w:pStyle w:val="p0"/>
              <w:spacing w:before="0"/>
              <w:jc w:val="center"/>
              <w:rPr>
                <w:rFonts w:ascii="Arial" w:hAnsi="Arial"/>
                <w:color w:val="auto"/>
                <w:sz w:val="16"/>
                <w:szCs w:val="16"/>
                <w:lang w:val="es-MX"/>
              </w:rPr>
            </w:pPr>
            <w:r>
              <w:rPr>
                <w:noProof/>
              </w:rPr>
              <w:drawing>
                <wp:inline distT="0" distB="0" distL="0" distR="0" wp14:anchorId="058B5E16" wp14:editId="4EA51FC6">
                  <wp:extent cx="2406650" cy="4460682"/>
                  <wp:effectExtent l="0" t="0" r="12700" b="16510"/>
                  <wp:docPr id="1248112392" name="Gráfico 1">
                    <a:extLst xmlns:a="http://schemas.openxmlformats.org/drawingml/2006/main">
                      <a:ext uri="{FF2B5EF4-FFF2-40B4-BE49-F238E27FC236}">
                        <a16:creationId xmlns:a16="http://schemas.microsoft.com/office/drawing/2014/main" id="{354D1881-021D-42B8-BB4A-190F3F2D32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433ED2CC" w14:textId="77777777" w:rsidR="005364CA" w:rsidRPr="001970D5" w:rsidRDefault="005364CA" w:rsidP="005364CA">
      <w:pPr>
        <w:pStyle w:val="Textoindependiente"/>
        <w:spacing w:line="240" w:lineRule="auto"/>
        <w:ind w:left="742" w:right="91" w:hanging="630"/>
        <w:rPr>
          <w:rFonts w:ascii="Times New Roman" w:hAnsi="Times New Roman" w:cs="Times New Roman"/>
          <w:sz w:val="14"/>
          <w:szCs w:val="14"/>
          <w:vertAlign w:val="superscript"/>
        </w:rPr>
      </w:pPr>
      <w:r w:rsidRPr="001970D5">
        <w:rPr>
          <w:rFonts w:ascii="Times New Roman" w:hAnsi="Times New Roman" w:cs="Times New Roman"/>
          <w:sz w:val="14"/>
          <w:szCs w:val="14"/>
          <w:vertAlign w:val="superscript"/>
        </w:rPr>
        <w:t>1/</w:t>
      </w:r>
      <w:r w:rsidRPr="001970D5">
        <w:rPr>
          <w:rFonts w:ascii="Times New Roman" w:hAnsi="Times New Roman" w:cs="Times New Roman"/>
          <w:sz w:val="14"/>
          <w:szCs w:val="14"/>
          <w:vertAlign w:val="superscript"/>
        </w:rPr>
        <w:tab/>
      </w:r>
      <w:r w:rsidRPr="001970D5">
        <w:rPr>
          <w:rFonts w:ascii="Times New Roman" w:hAnsi="Times New Roman" w:cs="Times New Roman"/>
          <w:sz w:val="14"/>
          <w:szCs w:val="14"/>
        </w:rPr>
        <w:t>Cifras preliminares.</w:t>
      </w:r>
    </w:p>
    <w:p w14:paraId="5C29C3CF" w14:textId="77777777" w:rsidR="005364CA" w:rsidRPr="001970D5" w:rsidRDefault="005364CA" w:rsidP="005364CA">
      <w:pPr>
        <w:pStyle w:val="Textoindependiente"/>
        <w:spacing w:line="240" w:lineRule="auto"/>
        <w:ind w:left="742" w:right="91" w:hanging="630"/>
        <w:rPr>
          <w:rFonts w:ascii="Times New Roman" w:hAnsi="Times New Roman" w:cs="Times New Roman"/>
          <w:sz w:val="14"/>
          <w:szCs w:val="14"/>
        </w:rPr>
      </w:pPr>
      <w:r w:rsidRPr="001970D5">
        <w:rPr>
          <w:rFonts w:ascii="Times New Roman" w:hAnsi="Times New Roman" w:cs="Times New Roman"/>
          <w:sz w:val="14"/>
          <w:szCs w:val="14"/>
          <w:vertAlign w:val="superscript"/>
        </w:rPr>
        <w:t>2/</w:t>
      </w:r>
      <w:r w:rsidRPr="001970D5">
        <w:rPr>
          <w:rFonts w:ascii="Times New Roman" w:hAnsi="Times New Roman" w:cs="Times New Roman"/>
          <w:sz w:val="14"/>
          <w:szCs w:val="14"/>
          <w:vertAlign w:val="superscript"/>
        </w:rPr>
        <w:tab/>
      </w:r>
      <w:r w:rsidRPr="001970D5">
        <w:rPr>
          <w:rFonts w:ascii="Times New Roman" w:hAnsi="Times New Roman" w:cs="Times New Roman"/>
          <w:sz w:val="14"/>
          <w:szCs w:val="14"/>
        </w:rPr>
        <w:t>Las contribuciones se obtienen ponderando las tasas de crecimiento con la participación que cada estado tiene en las actividades primarias.</w:t>
      </w:r>
    </w:p>
    <w:p w14:paraId="4949C506" w14:textId="77777777" w:rsidR="005364CA" w:rsidRPr="001970D5" w:rsidRDefault="005364CA" w:rsidP="005364CA">
      <w:pPr>
        <w:pStyle w:val="Textoindependiente"/>
        <w:spacing w:line="240" w:lineRule="auto"/>
        <w:ind w:left="742" w:right="91" w:hanging="630"/>
        <w:rPr>
          <w:rFonts w:ascii="Times New Roman" w:hAnsi="Times New Roman" w:cs="Times New Roman"/>
          <w:snapToGrid w:val="0"/>
          <w:sz w:val="14"/>
          <w:szCs w:val="22"/>
        </w:rPr>
      </w:pPr>
      <w:r w:rsidRPr="001970D5">
        <w:rPr>
          <w:rFonts w:ascii="Times New Roman" w:hAnsi="Times New Roman" w:cs="Times New Roman"/>
          <w:sz w:val="14"/>
          <w:szCs w:val="14"/>
        </w:rPr>
        <w:t>Fuente:</w:t>
      </w:r>
      <w:r w:rsidRPr="001970D5">
        <w:rPr>
          <w:rFonts w:ascii="Times New Roman" w:hAnsi="Times New Roman" w:cs="Times New Roman"/>
          <w:sz w:val="14"/>
          <w:szCs w:val="14"/>
        </w:rPr>
        <w:tab/>
      </w:r>
      <w:proofErr w:type="spellStart"/>
      <w:r w:rsidRPr="001970D5">
        <w:rPr>
          <w:rFonts w:ascii="Times New Roman" w:hAnsi="Times New Roman" w:cs="Times New Roman"/>
          <w:smallCaps/>
          <w:sz w:val="14"/>
          <w:szCs w:val="14"/>
        </w:rPr>
        <w:t>inegi</w:t>
      </w:r>
      <w:proofErr w:type="spellEnd"/>
      <w:r w:rsidRPr="001970D5">
        <w:rPr>
          <w:rFonts w:ascii="Times New Roman" w:hAnsi="Times New Roman" w:cs="Times New Roman"/>
          <w:smallCaps/>
          <w:sz w:val="14"/>
          <w:szCs w:val="14"/>
        </w:rPr>
        <w:t>.</w:t>
      </w:r>
      <w:r w:rsidRPr="001970D5">
        <w:rPr>
          <w:rFonts w:ascii="Times New Roman" w:hAnsi="Times New Roman" w:cs="Times New Roman"/>
          <w:sz w:val="14"/>
          <w:szCs w:val="14"/>
        </w:rPr>
        <w:t xml:space="preserve"> Sistema de Cuentas Nacionales de México</w:t>
      </w:r>
      <w:r w:rsidRPr="001970D5">
        <w:rPr>
          <w:rFonts w:ascii="Times New Roman" w:hAnsi="Times New Roman" w:cs="Times New Roman"/>
          <w:smallCaps/>
          <w:sz w:val="14"/>
          <w:szCs w:val="14"/>
        </w:rPr>
        <w:t xml:space="preserve"> (</w:t>
      </w:r>
      <w:proofErr w:type="spellStart"/>
      <w:r w:rsidRPr="001970D5">
        <w:rPr>
          <w:rFonts w:ascii="Times New Roman" w:hAnsi="Times New Roman" w:cs="Times New Roman"/>
          <w:smallCaps/>
          <w:sz w:val="14"/>
          <w:szCs w:val="14"/>
        </w:rPr>
        <w:t>scnm</w:t>
      </w:r>
      <w:proofErr w:type="spellEnd"/>
      <w:r w:rsidRPr="001970D5">
        <w:rPr>
          <w:rFonts w:ascii="Times New Roman" w:hAnsi="Times New Roman" w:cs="Times New Roman"/>
          <w:smallCaps/>
          <w:sz w:val="14"/>
          <w:szCs w:val="14"/>
        </w:rPr>
        <w:t xml:space="preserve">). </w:t>
      </w:r>
      <w:r w:rsidRPr="001970D5">
        <w:rPr>
          <w:rFonts w:ascii="Times New Roman" w:hAnsi="Times New Roman" w:cs="Times New Roman"/>
          <w:sz w:val="14"/>
          <w:szCs w:val="14"/>
        </w:rPr>
        <w:t>Indicador Trimestral de la Actividad Económica Estatal (</w:t>
      </w:r>
      <w:proofErr w:type="spellStart"/>
      <w:r w:rsidRPr="001970D5">
        <w:rPr>
          <w:rFonts w:ascii="Times New Roman" w:hAnsi="Times New Roman" w:cs="Times New Roman"/>
          <w:smallCaps/>
          <w:sz w:val="14"/>
          <w:szCs w:val="14"/>
        </w:rPr>
        <w:t>itaee</w:t>
      </w:r>
      <w:proofErr w:type="spellEnd"/>
      <w:r w:rsidRPr="001970D5">
        <w:rPr>
          <w:rFonts w:ascii="Times New Roman" w:hAnsi="Times New Roman" w:cs="Times New Roman"/>
          <w:sz w:val="14"/>
          <w:szCs w:val="14"/>
        </w:rPr>
        <w:t>), 2025.</w:t>
      </w:r>
    </w:p>
    <w:p w14:paraId="2E185571" w14:textId="77777777" w:rsidR="005364CA" w:rsidRPr="00EA5FCA" w:rsidRDefault="005364CA" w:rsidP="005364CA">
      <w:pPr>
        <w:pStyle w:val="PRIMERAPLANA"/>
        <w:spacing w:line="360" w:lineRule="auto"/>
        <w:rPr>
          <w:rFonts w:ascii="Times New Roman" w:hAnsi="Times New Roman"/>
          <w:bCs/>
        </w:rPr>
      </w:pPr>
    </w:p>
    <w:p w14:paraId="769296DB" w14:textId="77777777" w:rsidR="005364CA" w:rsidRDefault="005364CA" w:rsidP="005364CA">
      <w:pPr>
        <w:pStyle w:val="PRIMERAPLANA"/>
        <w:spacing w:line="360" w:lineRule="auto"/>
        <w:rPr>
          <w:rFonts w:ascii="Times New Roman" w:hAnsi="Times New Roman"/>
          <w:bCs/>
        </w:rPr>
      </w:pPr>
      <w:r w:rsidRPr="00EA5FCA">
        <w:rPr>
          <w:rFonts w:ascii="Times New Roman" w:hAnsi="Times New Roman"/>
          <w:bCs/>
        </w:rPr>
        <w:t>Las</w:t>
      </w:r>
      <w:r>
        <w:rPr>
          <w:rFonts w:ascii="Times New Roman" w:hAnsi="Times New Roman"/>
          <w:bCs/>
        </w:rPr>
        <w:t xml:space="preserve"> </w:t>
      </w:r>
      <w:r w:rsidRPr="00EA5FCA">
        <w:rPr>
          <w:rFonts w:ascii="Times New Roman" w:hAnsi="Times New Roman"/>
          <w:bCs/>
        </w:rPr>
        <w:t>actividades secundarias</w:t>
      </w:r>
      <w:r>
        <w:rPr>
          <w:rFonts w:ascii="Times New Roman" w:hAnsi="Times New Roman"/>
          <w:bCs/>
        </w:rPr>
        <w:t xml:space="preserve"> </w:t>
      </w:r>
      <w:r w:rsidRPr="00EA5FCA">
        <w:rPr>
          <w:rFonts w:ascii="Times New Roman" w:hAnsi="Times New Roman"/>
          <w:bCs/>
        </w:rPr>
        <w:t>(minería, manufacturas, construcción y electricidad) fueron el sector con menor crecimiento en los primeros tres meses de este año con</w:t>
      </w:r>
      <w:r>
        <w:rPr>
          <w:rFonts w:ascii="Times New Roman" w:hAnsi="Times New Roman"/>
          <w:bCs/>
        </w:rPr>
        <w:t xml:space="preserve"> </w:t>
      </w:r>
      <w:r w:rsidRPr="00EA5FCA">
        <w:rPr>
          <w:rFonts w:ascii="Times New Roman" w:hAnsi="Times New Roman"/>
          <w:bCs/>
        </w:rPr>
        <w:t>apenas 0.4</w:t>
      </w:r>
      <w:r>
        <w:rPr>
          <w:rFonts w:ascii="Times New Roman" w:hAnsi="Times New Roman"/>
          <w:bCs/>
        </w:rPr>
        <w:t xml:space="preserve">% </w:t>
      </w:r>
      <w:r w:rsidRPr="00EA5FCA">
        <w:rPr>
          <w:rFonts w:ascii="Times New Roman" w:hAnsi="Times New Roman"/>
          <w:bCs/>
        </w:rPr>
        <w:t xml:space="preserve">que le </w:t>
      </w:r>
      <w:proofErr w:type="spellStart"/>
      <w:r w:rsidRPr="00EA5FCA">
        <w:rPr>
          <w:rFonts w:ascii="Times New Roman" w:hAnsi="Times New Roman"/>
          <w:bCs/>
        </w:rPr>
        <w:t>dió</w:t>
      </w:r>
      <w:proofErr w:type="spellEnd"/>
      <w:r w:rsidRPr="00EA5FCA">
        <w:rPr>
          <w:rFonts w:ascii="Times New Roman" w:hAnsi="Times New Roman"/>
          <w:bCs/>
        </w:rPr>
        <w:t xml:space="preserve"> a la entidad la posición 19 respecto al resto del país. En tanto que las actividades de este rubro en Oaxaca (15%), Nayarit (12.6%) y la Ciudad de México (8.9%) tuvieron el mejor comportamiento del periodo.</w:t>
      </w:r>
    </w:p>
    <w:p w14:paraId="7C9B7494" w14:textId="77777777" w:rsidR="00BB00D6" w:rsidRDefault="00BB00D6" w:rsidP="005364CA">
      <w:pPr>
        <w:pStyle w:val="PRIMERAPLANA"/>
        <w:spacing w:line="360" w:lineRule="auto"/>
        <w:rPr>
          <w:rFonts w:ascii="Times New Roman" w:hAnsi="Times New Roman"/>
          <w:bCs/>
        </w:rPr>
      </w:pPr>
    </w:p>
    <w:p w14:paraId="57E05740" w14:textId="77777777" w:rsidR="00BB00D6" w:rsidRDefault="00BB00D6" w:rsidP="005364CA">
      <w:pPr>
        <w:pStyle w:val="PRIMERAPLANA"/>
        <w:spacing w:line="360" w:lineRule="auto"/>
        <w:rPr>
          <w:rFonts w:ascii="Times New Roman" w:hAnsi="Times New Roman"/>
          <w:bCs/>
        </w:rPr>
      </w:pPr>
    </w:p>
    <w:p w14:paraId="52987AC8" w14:textId="77777777" w:rsidR="00BB00D6" w:rsidRDefault="00BB00D6" w:rsidP="005364CA">
      <w:pPr>
        <w:pStyle w:val="PRIMERAPLANA"/>
        <w:spacing w:line="360" w:lineRule="auto"/>
        <w:rPr>
          <w:rFonts w:ascii="Times New Roman" w:hAnsi="Times New Roman"/>
          <w:bCs/>
        </w:rPr>
      </w:pPr>
    </w:p>
    <w:p w14:paraId="49CA23EC" w14:textId="03F5FFEF" w:rsidR="005364CA" w:rsidRPr="00450AD2" w:rsidRDefault="005364CA" w:rsidP="005364CA">
      <w:pPr>
        <w:pStyle w:val="p02"/>
        <w:keepLines w:val="0"/>
        <w:widowControl w:val="0"/>
        <w:spacing w:before="0"/>
        <w:ind w:right="0"/>
        <w:jc w:val="center"/>
        <w:rPr>
          <w:rFonts w:ascii="Times New Roman" w:hAnsi="Times New Roman"/>
          <w:b/>
          <w:color w:val="auto"/>
          <w:sz w:val="18"/>
          <w:szCs w:val="16"/>
        </w:rPr>
      </w:pPr>
      <w:r w:rsidRPr="00450AD2">
        <w:rPr>
          <w:rFonts w:ascii="Times New Roman" w:hAnsi="Times New Roman"/>
          <w:b/>
          <w:color w:val="auto"/>
          <w:sz w:val="18"/>
          <w:szCs w:val="16"/>
        </w:rPr>
        <w:lastRenderedPageBreak/>
        <w:t xml:space="preserve">Variación anual y contribución de las actividades secundarias </w:t>
      </w:r>
    </w:p>
    <w:p w14:paraId="6AD103C7" w14:textId="77777777" w:rsidR="005364CA" w:rsidRDefault="005364CA" w:rsidP="005364CA">
      <w:pPr>
        <w:pStyle w:val="p02"/>
        <w:keepLines w:val="0"/>
        <w:widowControl w:val="0"/>
        <w:spacing w:before="0"/>
        <w:ind w:right="0"/>
        <w:jc w:val="center"/>
        <w:rPr>
          <w:rFonts w:ascii="Times New Roman" w:hAnsi="Times New Roman"/>
          <w:b/>
          <w:color w:val="auto"/>
          <w:sz w:val="16"/>
          <w:szCs w:val="16"/>
        </w:rPr>
      </w:pPr>
      <w:r w:rsidRPr="00450AD2">
        <w:rPr>
          <w:rFonts w:ascii="Times New Roman" w:hAnsi="Times New Roman"/>
          <w:b/>
          <w:color w:val="auto"/>
          <w:sz w:val="16"/>
          <w:szCs w:val="14"/>
        </w:rPr>
        <w:t xml:space="preserve">primer trimestre </w:t>
      </w:r>
      <w:r w:rsidRPr="00450AD2">
        <w:rPr>
          <w:rFonts w:ascii="Times New Roman" w:hAnsi="Times New Roman"/>
          <w:b/>
          <w:color w:val="auto"/>
          <w:sz w:val="16"/>
          <w:szCs w:val="16"/>
        </w:rPr>
        <w:t>de 2025</w:t>
      </w:r>
      <w:r w:rsidRPr="00450AD2">
        <w:rPr>
          <w:rFonts w:ascii="Times New Roman" w:hAnsi="Times New Roman"/>
          <w:b/>
          <w:color w:val="auto"/>
          <w:sz w:val="16"/>
          <w:szCs w:val="16"/>
          <w:vertAlign w:val="superscript"/>
        </w:rPr>
        <w:t>1/</w:t>
      </w:r>
    </w:p>
    <w:p w14:paraId="2C3E0461" w14:textId="77777777" w:rsidR="00BB00D6" w:rsidRPr="00BB00D6" w:rsidRDefault="00BB00D6" w:rsidP="00BB00D6">
      <w:pPr>
        <w:pStyle w:val="PRIMERAPLANA"/>
        <w:spacing w:line="360" w:lineRule="auto"/>
        <w:rPr>
          <w:rFonts w:ascii="Times New Roman" w:hAnsi="Times New Roman"/>
          <w:bCs/>
        </w:rPr>
      </w:pPr>
    </w:p>
    <w:tbl>
      <w:tblPr>
        <w:tblStyle w:val="Tablaconcuadrcula"/>
        <w:tblW w:w="49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25"/>
        <w:gridCol w:w="146"/>
        <w:gridCol w:w="3886"/>
      </w:tblGrid>
      <w:tr w:rsidR="005364CA" w:rsidRPr="00450AD2" w14:paraId="0ADB98E6" w14:textId="77777777" w:rsidTr="00AC3862">
        <w:trPr>
          <w:trHeight w:hRule="exact" w:val="367"/>
        </w:trPr>
        <w:tc>
          <w:tcPr>
            <w:tcW w:w="4058" w:type="dxa"/>
            <w:vAlign w:val="center"/>
          </w:tcPr>
          <w:p w14:paraId="6F8ACA79" w14:textId="77777777" w:rsidR="005364CA" w:rsidRPr="00450AD2" w:rsidRDefault="005364CA" w:rsidP="00AC3862">
            <w:pPr>
              <w:pStyle w:val="p0"/>
              <w:spacing w:before="0"/>
              <w:jc w:val="center"/>
              <w:rPr>
                <w:rFonts w:ascii="Times New Roman" w:hAnsi="Times New Roman" w:cs="Times New Roman"/>
                <w:b/>
                <w:bCs/>
                <w:color w:val="auto"/>
                <w:sz w:val="16"/>
                <w:szCs w:val="16"/>
                <w:lang w:val="es-MX"/>
              </w:rPr>
            </w:pPr>
            <w:r w:rsidRPr="00450AD2">
              <w:rPr>
                <w:rFonts w:ascii="Times New Roman" w:hAnsi="Times New Roman" w:cs="Times New Roman"/>
                <w:b/>
                <w:bCs/>
                <w:color w:val="auto"/>
                <w:sz w:val="16"/>
                <w:szCs w:val="16"/>
              </w:rPr>
              <w:t xml:space="preserve">Variación porcentual real </w:t>
            </w:r>
            <w:r w:rsidRPr="00450AD2">
              <w:rPr>
                <w:rFonts w:ascii="Times New Roman" w:hAnsi="Times New Roman" w:cs="Times New Roman"/>
                <w:b/>
                <w:bCs/>
                <w:color w:val="auto"/>
                <w:sz w:val="16"/>
                <w:szCs w:val="16"/>
              </w:rPr>
              <w:br/>
              <w:t>respecto al primer trimestre de 2024</w:t>
            </w:r>
          </w:p>
        </w:tc>
        <w:tc>
          <w:tcPr>
            <w:tcW w:w="144" w:type="dxa"/>
            <w:vAlign w:val="center"/>
          </w:tcPr>
          <w:p w14:paraId="3A86746D" w14:textId="77777777" w:rsidR="005364CA" w:rsidRPr="00450AD2" w:rsidRDefault="005364CA" w:rsidP="00AC3862">
            <w:pPr>
              <w:pStyle w:val="p0"/>
              <w:spacing w:before="0"/>
              <w:jc w:val="center"/>
              <w:rPr>
                <w:rFonts w:ascii="Times New Roman" w:hAnsi="Times New Roman" w:cs="Times New Roman"/>
                <w:b/>
                <w:bCs/>
                <w:color w:val="auto"/>
                <w:sz w:val="16"/>
                <w:szCs w:val="16"/>
                <w:lang w:val="es-MX"/>
              </w:rPr>
            </w:pPr>
          </w:p>
        </w:tc>
        <w:tc>
          <w:tcPr>
            <w:tcW w:w="3822" w:type="dxa"/>
            <w:vAlign w:val="center"/>
          </w:tcPr>
          <w:p w14:paraId="532D45CD" w14:textId="77777777" w:rsidR="005364CA" w:rsidRPr="00450AD2" w:rsidRDefault="005364CA" w:rsidP="00AC3862">
            <w:pPr>
              <w:pStyle w:val="p0"/>
              <w:spacing w:before="0"/>
              <w:jc w:val="center"/>
              <w:rPr>
                <w:rFonts w:ascii="Times New Roman" w:hAnsi="Times New Roman" w:cs="Times New Roman"/>
                <w:b/>
                <w:bCs/>
                <w:color w:val="auto"/>
                <w:sz w:val="16"/>
                <w:szCs w:val="16"/>
                <w:lang w:val="es-MX"/>
              </w:rPr>
            </w:pPr>
            <w:r w:rsidRPr="00450AD2">
              <w:rPr>
                <w:rFonts w:ascii="Times New Roman" w:hAnsi="Times New Roman" w:cs="Times New Roman"/>
                <w:b/>
                <w:bCs/>
                <w:color w:val="auto"/>
                <w:sz w:val="16"/>
                <w:szCs w:val="16"/>
              </w:rPr>
              <w:t xml:space="preserve">Contribución a la variación total real </w:t>
            </w:r>
            <w:r w:rsidRPr="00450AD2">
              <w:rPr>
                <w:rFonts w:ascii="Times New Roman" w:hAnsi="Times New Roman" w:cs="Times New Roman"/>
                <w:b/>
                <w:bCs/>
                <w:color w:val="auto"/>
                <w:sz w:val="16"/>
                <w:szCs w:val="16"/>
              </w:rPr>
              <w:br/>
              <w:t>de las actividades secundarias</w:t>
            </w:r>
            <w:r w:rsidRPr="00450AD2">
              <w:rPr>
                <w:rFonts w:ascii="Times New Roman" w:hAnsi="Times New Roman" w:cs="Times New Roman"/>
                <w:b/>
                <w:bCs/>
                <w:color w:val="auto"/>
                <w:sz w:val="16"/>
                <w:szCs w:val="16"/>
                <w:vertAlign w:val="superscript"/>
              </w:rPr>
              <w:t>2/</w:t>
            </w:r>
          </w:p>
        </w:tc>
      </w:tr>
      <w:tr w:rsidR="005364CA" w:rsidRPr="00450AD2" w14:paraId="5504E2B8" w14:textId="77777777" w:rsidTr="00AC3862">
        <w:tblPrEx>
          <w:tblCellMar>
            <w:left w:w="70" w:type="dxa"/>
            <w:right w:w="70" w:type="dxa"/>
          </w:tblCellMar>
        </w:tblPrEx>
        <w:trPr>
          <w:trHeight w:val="5568"/>
        </w:trPr>
        <w:tc>
          <w:tcPr>
            <w:tcW w:w="4058" w:type="dxa"/>
            <w:vAlign w:val="center"/>
          </w:tcPr>
          <w:p w14:paraId="258577B6" w14:textId="77777777" w:rsidR="005364CA" w:rsidRPr="00450AD2" w:rsidRDefault="005364CA" w:rsidP="00AC3862">
            <w:pPr>
              <w:pStyle w:val="p0"/>
              <w:spacing w:before="0"/>
              <w:jc w:val="center"/>
              <w:rPr>
                <w:rFonts w:ascii="Arial" w:hAnsi="Arial"/>
                <w:b/>
                <w:bCs/>
                <w:color w:val="4D565E"/>
                <w:sz w:val="16"/>
                <w:szCs w:val="16"/>
                <w:lang w:val="es-MX"/>
              </w:rPr>
            </w:pPr>
            <w:r w:rsidRPr="00450AD2">
              <w:rPr>
                <w:noProof/>
                <w:sz w:val="16"/>
                <w:szCs w:val="16"/>
              </w:rPr>
              <w:drawing>
                <wp:inline distT="0" distB="0" distL="0" distR="0" wp14:anchorId="2FC0D678" wp14:editId="13F07DA2">
                  <wp:extent cx="2523490" cy="4595854"/>
                  <wp:effectExtent l="0" t="0" r="10160" b="14605"/>
                  <wp:docPr id="1031353204" name="Gráfico 1">
                    <a:extLst xmlns:a="http://schemas.openxmlformats.org/drawingml/2006/main">
                      <a:ext uri="{FF2B5EF4-FFF2-40B4-BE49-F238E27FC236}">
                        <a16:creationId xmlns:a16="http://schemas.microsoft.com/office/drawing/2014/main" id="{3BE532D4-0D08-43CE-B144-47EA4546F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144" w:type="dxa"/>
            <w:vAlign w:val="center"/>
          </w:tcPr>
          <w:p w14:paraId="0C4E57E3" w14:textId="77777777" w:rsidR="005364CA" w:rsidRPr="00450AD2" w:rsidRDefault="005364CA" w:rsidP="00AC3862">
            <w:pPr>
              <w:pStyle w:val="p0"/>
              <w:spacing w:before="0"/>
              <w:jc w:val="center"/>
              <w:rPr>
                <w:rFonts w:ascii="Arial" w:hAnsi="Arial"/>
                <w:color w:val="auto"/>
                <w:sz w:val="16"/>
                <w:szCs w:val="16"/>
                <w:lang w:val="es-MX"/>
              </w:rPr>
            </w:pPr>
          </w:p>
        </w:tc>
        <w:tc>
          <w:tcPr>
            <w:tcW w:w="3822" w:type="dxa"/>
            <w:vAlign w:val="center"/>
          </w:tcPr>
          <w:p w14:paraId="348E5FFB" w14:textId="77777777" w:rsidR="005364CA" w:rsidRPr="00450AD2" w:rsidRDefault="005364CA" w:rsidP="00AC3862">
            <w:pPr>
              <w:pStyle w:val="p0"/>
              <w:spacing w:before="0"/>
              <w:jc w:val="center"/>
              <w:rPr>
                <w:rFonts w:ascii="Arial" w:hAnsi="Arial"/>
                <w:color w:val="auto"/>
                <w:sz w:val="16"/>
                <w:szCs w:val="16"/>
                <w:lang w:val="es-MX"/>
              </w:rPr>
            </w:pPr>
            <w:r w:rsidRPr="00450AD2">
              <w:rPr>
                <w:noProof/>
                <w:sz w:val="16"/>
                <w:szCs w:val="16"/>
              </w:rPr>
              <w:drawing>
                <wp:inline distT="0" distB="0" distL="0" distR="0" wp14:anchorId="0C1060A2" wp14:editId="6B57E3D7">
                  <wp:extent cx="2377440" cy="4587903"/>
                  <wp:effectExtent l="0" t="0" r="3810" b="3175"/>
                  <wp:docPr id="424019486" name="Gráfico 1">
                    <a:extLst xmlns:a="http://schemas.openxmlformats.org/drawingml/2006/main">
                      <a:ext uri="{FF2B5EF4-FFF2-40B4-BE49-F238E27FC236}">
                        <a16:creationId xmlns:a16="http://schemas.microsoft.com/office/drawing/2014/main" id="{FBAEC800-1CAC-4BE0-B60D-B9BA7770F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377A9213" w14:textId="77777777" w:rsidR="005364CA" w:rsidRPr="001970D5" w:rsidRDefault="005364CA" w:rsidP="005364CA">
      <w:pPr>
        <w:pStyle w:val="Textoindependiente"/>
        <w:ind w:left="742" w:right="91" w:hanging="630"/>
        <w:rPr>
          <w:rFonts w:ascii="Times New Roman" w:hAnsi="Times New Roman" w:cs="Times New Roman"/>
          <w:sz w:val="14"/>
          <w:szCs w:val="14"/>
          <w:vertAlign w:val="superscript"/>
        </w:rPr>
      </w:pPr>
      <w:r w:rsidRPr="001970D5">
        <w:rPr>
          <w:rFonts w:ascii="Times New Roman" w:hAnsi="Times New Roman" w:cs="Times New Roman"/>
          <w:sz w:val="14"/>
          <w:szCs w:val="14"/>
          <w:vertAlign w:val="superscript"/>
        </w:rPr>
        <w:t>1/</w:t>
      </w:r>
      <w:r w:rsidRPr="001970D5">
        <w:rPr>
          <w:rFonts w:ascii="Times New Roman" w:hAnsi="Times New Roman" w:cs="Times New Roman"/>
          <w:sz w:val="14"/>
          <w:szCs w:val="14"/>
          <w:vertAlign w:val="superscript"/>
        </w:rPr>
        <w:tab/>
      </w:r>
      <w:r w:rsidRPr="001970D5">
        <w:rPr>
          <w:rFonts w:ascii="Times New Roman" w:hAnsi="Times New Roman" w:cs="Times New Roman"/>
          <w:sz w:val="14"/>
          <w:szCs w:val="14"/>
        </w:rPr>
        <w:t>Cifras preliminares.</w:t>
      </w:r>
    </w:p>
    <w:p w14:paraId="7442A596" w14:textId="77777777" w:rsidR="005364CA" w:rsidRPr="001970D5" w:rsidRDefault="005364CA" w:rsidP="005364CA">
      <w:pPr>
        <w:pStyle w:val="Textoindependiente"/>
        <w:ind w:left="742" w:right="91" w:hanging="630"/>
        <w:rPr>
          <w:rFonts w:ascii="Times New Roman" w:hAnsi="Times New Roman" w:cs="Times New Roman"/>
          <w:sz w:val="14"/>
          <w:szCs w:val="14"/>
        </w:rPr>
      </w:pPr>
      <w:r w:rsidRPr="001970D5">
        <w:rPr>
          <w:rFonts w:ascii="Times New Roman" w:hAnsi="Times New Roman" w:cs="Times New Roman"/>
          <w:sz w:val="14"/>
          <w:szCs w:val="14"/>
          <w:vertAlign w:val="superscript"/>
        </w:rPr>
        <w:t>2/</w:t>
      </w:r>
      <w:r w:rsidRPr="001970D5">
        <w:rPr>
          <w:rFonts w:ascii="Times New Roman" w:hAnsi="Times New Roman" w:cs="Times New Roman"/>
          <w:sz w:val="14"/>
          <w:szCs w:val="14"/>
          <w:vertAlign w:val="superscript"/>
        </w:rPr>
        <w:tab/>
      </w:r>
      <w:r w:rsidRPr="001970D5">
        <w:rPr>
          <w:rFonts w:ascii="Times New Roman" w:hAnsi="Times New Roman" w:cs="Times New Roman"/>
          <w:sz w:val="14"/>
          <w:szCs w:val="14"/>
        </w:rPr>
        <w:t xml:space="preserve">Las contribuciones se obtienen ponderando las tasas de crecimiento con la participación que cada estado tiene en las actividades secundarias. </w:t>
      </w:r>
    </w:p>
    <w:p w14:paraId="3BD75EA8" w14:textId="77777777" w:rsidR="005364CA" w:rsidRPr="001970D5" w:rsidRDefault="005364CA" w:rsidP="005364CA">
      <w:pPr>
        <w:pStyle w:val="Textoindependiente"/>
        <w:ind w:left="742" w:right="91" w:hanging="630"/>
        <w:rPr>
          <w:rFonts w:ascii="Times New Roman" w:hAnsi="Times New Roman" w:cs="Times New Roman"/>
          <w:sz w:val="14"/>
          <w:szCs w:val="14"/>
        </w:rPr>
      </w:pPr>
      <w:r w:rsidRPr="001970D5">
        <w:rPr>
          <w:rFonts w:ascii="Times New Roman" w:hAnsi="Times New Roman" w:cs="Times New Roman"/>
          <w:sz w:val="14"/>
          <w:szCs w:val="14"/>
        </w:rPr>
        <w:t>Fuente:</w:t>
      </w:r>
      <w:r w:rsidRPr="001970D5">
        <w:rPr>
          <w:rFonts w:ascii="Times New Roman" w:hAnsi="Times New Roman" w:cs="Times New Roman"/>
          <w:sz w:val="14"/>
          <w:szCs w:val="14"/>
        </w:rPr>
        <w:tab/>
      </w:r>
      <w:proofErr w:type="spellStart"/>
      <w:r w:rsidRPr="001970D5">
        <w:rPr>
          <w:rFonts w:ascii="Times New Roman" w:hAnsi="Times New Roman" w:cs="Times New Roman"/>
          <w:smallCaps/>
          <w:sz w:val="14"/>
          <w:szCs w:val="14"/>
        </w:rPr>
        <w:t>inegi</w:t>
      </w:r>
      <w:proofErr w:type="spellEnd"/>
      <w:r w:rsidRPr="001970D5">
        <w:rPr>
          <w:rFonts w:ascii="Times New Roman" w:hAnsi="Times New Roman" w:cs="Times New Roman"/>
          <w:smallCaps/>
          <w:sz w:val="14"/>
          <w:szCs w:val="14"/>
        </w:rPr>
        <w:t>.</w:t>
      </w:r>
      <w:r w:rsidRPr="001970D5">
        <w:rPr>
          <w:rFonts w:ascii="Times New Roman" w:hAnsi="Times New Roman" w:cs="Times New Roman"/>
          <w:sz w:val="14"/>
          <w:szCs w:val="14"/>
        </w:rPr>
        <w:t xml:space="preserve"> Sistema de Cuentas Nacionales de México</w:t>
      </w:r>
      <w:r w:rsidRPr="001970D5">
        <w:rPr>
          <w:rFonts w:ascii="Times New Roman" w:hAnsi="Times New Roman" w:cs="Times New Roman"/>
          <w:smallCaps/>
          <w:sz w:val="14"/>
          <w:szCs w:val="14"/>
        </w:rPr>
        <w:t xml:space="preserve"> (</w:t>
      </w:r>
      <w:proofErr w:type="spellStart"/>
      <w:r w:rsidRPr="001970D5">
        <w:rPr>
          <w:rFonts w:ascii="Times New Roman" w:hAnsi="Times New Roman" w:cs="Times New Roman"/>
          <w:smallCaps/>
          <w:sz w:val="14"/>
          <w:szCs w:val="14"/>
        </w:rPr>
        <w:t>scnm</w:t>
      </w:r>
      <w:proofErr w:type="spellEnd"/>
      <w:r w:rsidRPr="001970D5">
        <w:rPr>
          <w:rFonts w:ascii="Times New Roman" w:hAnsi="Times New Roman" w:cs="Times New Roman"/>
          <w:smallCaps/>
          <w:sz w:val="14"/>
          <w:szCs w:val="14"/>
        </w:rPr>
        <w:t xml:space="preserve">). </w:t>
      </w:r>
      <w:r w:rsidRPr="001970D5">
        <w:rPr>
          <w:rFonts w:ascii="Times New Roman" w:hAnsi="Times New Roman" w:cs="Times New Roman"/>
          <w:sz w:val="14"/>
          <w:szCs w:val="14"/>
        </w:rPr>
        <w:t>Indicador Trimestral de la Actividad Económica Estatal (</w:t>
      </w:r>
      <w:proofErr w:type="spellStart"/>
      <w:r w:rsidRPr="001970D5">
        <w:rPr>
          <w:rFonts w:ascii="Times New Roman" w:hAnsi="Times New Roman" w:cs="Times New Roman"/>
          <w:smallCaps/>
          <w:sz w:val="14"/>
          <w:szCs w:val="14"/>
        </w:rPr>
        <w:t>itaee</w:t>
      </w:r>
      <w:proofErr w:type="spellEnd"/>
      <w:r w:rsidRPr="001970D5">
        <w:rPr>
          <w:rFonts w:ascii="Times New Roman" w:hAnsi="Times New Roman" w:cs="Times New Roman"/>
          <w:sz w:val="14"/>
          <w:szCs w:val="14"/>
        </w:rPr>
        <w:t>), 2025.</w:t>
      </w:r>
    </w:p>
    <w:p w14:paraId="52D70918" w14:textId="5A288404" w:rsidR="00CE2445" w:rsidRPr="00CE2445" w:rsidRDefault="00754CF1" w:rsidP="00CE2445">
      <w:pPr>
        <w:pStyle w:val="PRIMERAPLANA"/>
        <w:spacing w:line="360" w:lineRule="auto"/>
        <w:jc w:val="center"/>
        <w:rPr>
          <w:rFonts w:ascii="Times New Roman" w:hAnsi="Times New Roman"/>
          <w:iCs/>
          <w:lang w:val="es-MX"/>
        </w:rPr>
      </w:pPr>
      <w:r>
        <w:rPr>
          <w:noProof/>
          <w:lang w:val="es-MX" w:eastAsia="es-MX"/>
        </w:rPr>
        <mc:AlternateContent>
          <mc:Choice Requires="wps">
            <w:drawing>
              <wp:anchor distT="45720" distB="45720" distL="114300" distR="114300" simplePos="0" relativeHeight="251728896" behindDoc="0" locked="0" layoutInCell="1" allowOverlap="1" wp14:anchorId="160FB324" wp14:editId="19C07E44">
                <wp:simplePos x="0" y="0"/>
                <wp:positionH relativeFrom="column">
                  <wp:posOffset>1950720</wp:posOffset>
                </wp:positionH>
                <wp:positionV relativeFrom="paragraph">
                  <wp:posOffset>2525395</wp:posOffset>
                </wp:positionV>
                <wp:extent cx="1112520" cy="20828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08280"/>
                        </a:xfrm>
                        <a:prstGeom prst="rect">
                          <a:avLst/>
                        </a:prstGeom>
                        <a:solidFill>
                          <a:srgbClr val="FFFFFF"/>
                        </a:solidFill>
                        <a:ln w="9525">
                          <a:noFill/>
                          <a:miter lim="800000"/>
                          <a:headEnd/>
                          <a:tailEnd/>
                        </a:ln>
                      </wps:spPr>
                      <wps:txbx>
                        <w:txbxContent>
                          <w:p w14:paraId="704EAAAA" w14:textId="77777777" w:rsidR="0043720D" w:rsidRPr="001D4071" w:rsidRDefault="0043720D" w:rsidP="00CE2445">
                            <w:pPr>
                              <w:rPr>
                                <w:rFonts w:ascii="Arial" w:hAnsi="Arial" w:cs="Arial"/>
                                <w:b/>
                                <w:bCs/>
                                <w:sz w:val="16"/>
                                <w:szCs w:val="16"/>
                              </w:rPr>
                            </w:pPr>
                            <w:r w:rsidRPr="001D4071">
                              <w:rPr>
                                <w:rFonts w:ascii="Arial" w:hAnsi="Arial" w:cs="Arial"/>
                                <w:b/>
                                <w:bCs/>
                                <w:sz w:val="16"/>
                                <w:szCs w:val="16"/>
                              </w:rPr>
                              <w:t>Trimestre/Año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type w14:anchorId="160FB324" id="_x0000_t202" coordsize="21600,21600" o:spt="202" path="m,l,21600r21600,l21600,xe">
                <v:stroke joinstyle="miter"/>
                <v:path gradientshapeok="t" o:connecttype="rect"/>
              </v:shapetype>
              <v:shape id="Cuadro de texto 10" o:spid="_x0000_s1026" type="#_x0000_t202" style="position:absolute;left:0;text-align:left;margin-left:153.6pt;margin-top:198.85pt;width:87.6pt;height:16.4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" stroked="f">
                <v:textbox style="mso-fit-shape-to-text:t">
                  <w:txbxContent>
                    <w:p w14:paraId="704EAAAA" w14:textId="77777777" w:rsidR="0043720D" w:rsidRPr="001D4071" w:rsidRDefault="0043720D" w:rsidP="00CE2445">
                      <w:pPr>
                        <w:rPr>
                          <w:rFonts w:ascii="Arial" w:hAnsi="Arial" w:cs="Arial"/>
                          <w:b/>
                          <w:bCs/>
                          <w:sz w:val="16"/>
                          <w:szCs w:val="16"/>
                        </w:rPr>
                      </w:pPr>
                      <w:r w:rsidRPr="001D4071">
                        <w:rPr>
                          <w:rFonts w:ascii="Arial" w:hAnsi="Arial" w:cs="Arial"/>
                          <w:b/>
                          <w:bCs/>
                          <w:sz w:val="16"/>
                          <w:szCs w:val="16"/>
                        </w:rPr>
                        <w:t>Trimestre/Año</w:t>
                      </w:r>
                    </w:p>
                  </w:txbxContent>
                </v:textbox>
              </v:shape>
            </w:pict>
          </mc:Fallback>
        </mc:AlternateContent>
      </w:r>
    </w:p>
    <w:p w14:paraId="62BDF43A" w14:textId="262A2DF4" w:rsidR="000F5B29" w:rsidRPr="00EA5FCA" w:rsidRDefault="000F5B29" w:rsidP="000F5B29">
      <w:pPr>
        <w:pStyle w:val="PRIMERAPLANA"/>
        <w:spacing w:line="360" w:lineRule="auto"/>
        <w:rPr>
          <w:rFonts w:ascii="Times New Roman" w:hAnsi="Times New Roman"/>
          <w:bCs/>
        </w:rPr>
      </w:pPr>
      <w:r w:rsidRPr="00EA5FCA">
        <w:rPr>
          <w:rFonts w:ascii="Times New Roman" w:hAnsi="Times New Roman"/>
          <w:bCs/>
        </w:rPr>
        <w:t>Tlaxcala</w:t>
      </w:r>
      <w:r w:rsidR="00BB00D6">
        <w:rPr>
          <w:rFonts w:ascii="Times New Roman" w:hAnsi="Times New Roman"/>
          <w:bCs/>
        </w:rPr>
        <w:t>,</w:t>
      </w:r>
      <w:r>
        <w:rPr>
          <w:rFonts w:ascii="Times New Roman" w:hAnsi="Times New Roman"/>
          <w:bCs/>
        </w:rPr>
        <w:t xml:space="preserve"> </w:t>
      </w:r>
      <w:r w:rsidRPr="00EA5FCA">
        <w:rPr>
          <w:rFonts w:ascii="Times New Roman" w:hAnsi="Times New Roman"/>
          <w:bCs/>
        </w:rPr>
        <w:t>junto a Guerrero, Hidalgo, Michoacán, Morelo</w:t>
      </w:r>
      <w:r>
        <w:rPr>
          <w:rFonts w:ascii="Times New Roman" w:hAnsi="Times New Roman"/>
          <w:bCs/>
        </w:rPr>
        <w:t>s</w:t>
      </w:r>
      <w:r w:rsidRPr="00EA5FCA">
        <w:rPr>
          <w:rFonts w:ascii="Times New Roman" w:hAnsi="Times New Roman"/>
          <w:bCs/>
        </w:rPr>
        <w:t>, Puebla y Querétaro</w:t>
      </w:r>
      <w:r w:rsidR="00BB00D6">
        <w:rPr>
          <w:rFonts w:ascii="Times New Roman" w:hAnsi="Times New Roman"/>
          <w:bCs/>
        </w:rPr>
        <w:t>,</w:t>
      </w:r>
      <w:r w:rsidRPr="00EA5FCA">
        <w:rPr>
          <w:rFonts w:ascii="Times New Roman" w:hAnsi="Times New Roman"/>
          <w:bCs/>
        </w:rPr>
        <w:t xml:space="preserve"> forma</w:t>
      </w:r>
      <w:r w:rsidR="00BB00D6">
        <w:rPr>
          <w:rFonts w:ascii="Times New Roman" w:hAnsi="Times New Roman"/>
          <w:bCs/>
        </w:rPr>
        <w:t>n</w:t>
      </w:r>
      <w:r w:rsidRPr="00EA5FCA">
        <w:rPr>
          <w:rFonts w:ascii="Times New Roman" w:hAnsi="Times New Roman"/>
          <w:bCs/>
        </w:rPr>
        <w:t xml:space="preserve"> parte de la</w:t>
      </w:r>
      <w:r>
        <w:rPr>
          <w:rFonts w:ascii="Times New Roman" w:hAnsi="Times New Roman"/>
          <w:bCs/>
        </w:rPr>
        <w:t xml:space="preserve"> </w:t>
      </w:r>
      <w:r w:rsidRPr="00EA5FCA">
        <w:rPr>
          <w:rFonts w:ascii="Times New Roman" w:hAnsi="Times New Roman"/>
          <w:bCs/>
        </w:rPr>
        <w:t>región centro sur</w:t>
      </w:r>
      <w:r>
        <w:rPr>
          <w:rFonts w:ascii="Times New Roman" w:hAnsi="Times New Roman"/>
          <w:bCs/>
        </w:rPr>
        <w:t xml:space="preserve"> </w:t>
      </w:r>
      <w:r w:rsidRPr="00EA5FCA">
        <w:rPr>
          <w:rFonts w:ascii="Times New Roman" w:hAnsi="Times New Roman"/>
          <w:bCs/>
        </w:rPr>
        <w:t>del país que en el mismo periodo registró un</w:t>
      </w:r>
      <w:r>
        <w:rPr>
          <w:rFonts w:ascii="Times New Roman" w:hAnsi="Times New Roman"/>
          <w:bCs/>
        </w:rPr>
        <w:t xml:space="preserve"> </w:t>
      </w:r>
      <w:r w:rsidRPr="00EA5FCA">
        <w:rPr>
          <w:rFonts w:ascii="Times New Roman" w:hAnsi="Times New Roman"/>
          <w:bCs/>
        </w:rPr>
        <w:t>incremento de 1.4</w:t>
      </w:r>
      <w:r>
        <w:rPr>
          <w:rFonts w:ascii="Times New Roman" w:hAnsi="Times New Roman"/>
          <w:bCs/>
        </w:rPr>
        <w:t>%</w:t>
      </w:r>
      <w:r w:rsidRPr="00EA5FCA">
        <w:rPr>
          <w:rFonts w:ascii="Times New Roman" w:hAnsi="Times New Roman"/>
          <w:bCs/>
        </w:rPr>
        <w:t xml:space="preserve"> en su actividad económica; principalmente impulsado por el sector primario con 4.7</w:t>
      </w:r>
      <w:r>
        <w:rPr>
          <w:rFonts w:ascii="Times New Roman" w:hAnsi="Times New Roman"/>
          <w:bCs/>
        </w:rPr>
        <w:t>%</w:t>
      </w:r>
      <w:r w:rsidRPr="00EA5FCA">
        <w:rPr>
          <w:rFonts w:ascii="Times New Roman" w:hAnsi="Times New Roman"/>
          <w:bCs/>
        </w:rPr>
        <w:t xml:space="preserve"> de crecimiento, seguido de las actividades terciarias que tuvieron 2.1</w:t>
      </w:r>
      <w:r>
        <w:rPr>
          <w:rFonts w:ascii="Times New Roman" w:hAnsi="Times New Roman"/>
          <w:bCs/>
        </w:rPr>
        <w:t>%</w:t>
      </w:r>
      <w:r w:rsidRPr="00EA5FCA">
        <w:rPr>
          <w:rFonts w:ascii="Times New Roman" w:hAnsi="Times New Roman"/>
          <w:bCs/>
        </w:rPr>
        <w:t xml:space="preserve"> más actividad económica; pero el sector secundario perdió 0.6</w:t>
      </w:r>
      <w:r>
        <w:rPr>
          <w:rFonts w:ascii="Times New Roman" w:hAnsi="Times New Roman"/>
          <w:bCs/>
        </w:rPr>
        <w:t>%</w:t>
      </w:r>
      <w:r w:rsidRPr="00EA5FCA">
        <w:rPr>
          <w:rFonts w:ascii="Times New Roman" w:hAnsi="Times New Roman"/>
          <w:bCs/>
        </w:rPr>
        <w:t xml:space="preserve"> de su actividad.</w:t>
      </w:r>
    </w:p>
    <w:p w14:paraId="74BBF2D5" w14:textId="77777777" w:rsidR="000F5B29" w:rsidRPr="00EA5FCA" w:rsidRDefault="000F5B29" w:rsidP="000F5B29">
      <w:pPr>
        <w:pStyle w:val="PRIMERAPLANA"/>
        <w:spacing w:line="360" w:lineRule="auto"/>
        <w:rPr>
          <w:rFonts w:ascii="Times New Roman" w:hAnsi="Times New Roman"/>
          <w:bCs/>
        </w:rPr>
      </w:pPr>
      <w:r w:rsidRPr="00EA5FCA">
        <w:rPr>
          <w:rFonts w:ascii="Times New Roman" w:hAnsi="Times New Roman"/>
          <w:bCs/>
        </w:rPr>
        <w:lastRenderedPageBreak/>
        <w:t>La actividad económica de la región centro-sur</w:t>
      </w:r>
      <w:r>
        <w:rPr>
          <w:rFonts w:ascii="Times New Roman" w:hAnsi="Times New Roman"/>
          <w:bCs/>
        </w:rPr>
        <w:t xml:space="preserve"> </w:t>
      </w:r>
      <w:r w:rsidRPr="00EA5FCA">
        <w:rPr>
          <w:rFonts w:ascii="Times New Roman" w:hAnsi="Times New Roman"/>
          <w:bCs/>
        </w:rPr>
        <w:t>representó 13.3</w:t>
      </w:r>
      <w:r>
        <w:rPr>
          <w:rFonts w:ascii="Times New Roman" w:hAnsi="Times New Roman"/>
          <w:bCs/>
        </w:rPr>
        <w:t>%</w:t>
      </w:r>
      <w:r w:rsidRPr="00EA5FCA">
        <w:rPr>
          <w:rFonts w:ascii="Times New Roman" w:hAnsi="Times New Roman"/>
          <w:bCs/>
        </w:rPr>
        <w:t xml:space="preserve"> del total de las actividades en México. El primer lugar lo obtuvo el norte con 28.2</w:t>
      </w:r>
      <w:r>
        <w:rPr>
          <w:rFonts w:ascii="Times New Roman" w:hAnsi="Times New Roman"/>
          <w:bCs/>
        </w:rPr>
        <w:t>%</w:t>
      </w:r>
      <w:r w:rsidRPr="00EA5FCA">
        <w:rPr>
          <w:rFonts w:ascii="Times New Roman" w:hAnsi="Times New Roman"/>
          <w:bCs/>
        </w:rPr>
        <w:t>, le siguió la región centro con 24.4</w:t>
      </w:r>
      <w:r>
        <w:rPr>
          <w:rFonts w:ascii="Times New Roman" w:hAnsi="Times New Roman"/>
          <w:bCs/>
        </w:rPr>
        <w:t>%</w:t>
      </w:r>
      <w:r w:rsidRPr="00EA5FCA">
        <w:rPr>
          <w:rFonts w:ascii="Times New Roman" w:hAnsi="Times New Roman"/>
          <w:bCs/>
        </w:rPr>
        <w:t>, la región centro norte con 19</w:t>
      </w:r>
      <w:r>
        <w:rPr>
          <w:rFonts w:ascii="Times New Roman" w:hAnsi="Times New Roman"/>
          <w:bCs/>
        </w:rPr>
        <w:t>%</w:t>
      </w:r>
      <w:r w:rsidRPr="00EA5FCA">
        <w:rPr>
          <w:rFonts w:ascii="Times New Roman" w:hAnsi="Times New Roman"/>
          <w:bCs/>
        </w:rPr>
        <w:t>, y la región sur-sureste con 15.1</w:t>
      </w:r>
      <w:r>
        <w:rPr>
          <w:rFonts w:ascii="Times New Roman" w:hAnsi="Times New Roman"/>
          <w:bCs/>
        </w:rPr>
        <w:t>%</w:t>
      </w:r>
      <w:r w:rsidRPr="00EA5FCA">
        <w:rPr>
          <w:rFonts w:ascii="Times New Roman" w:hAnsi="Times New Roman"/>
          <w:bCs/>
        </w:rPr>
        <w:t>.</w:t>
      </w:r>
    </w:p>
    <w:p w14:paraId="695FBF40" w14:textId="77777777" w:rsidR="000F5B29" w:rsidRPr="00EA5FCA" w:rsidRDefault="000F5B29" w:rsidP="000F5B29">
      <w:pPr>
        <w:pStyle w:val="PRIMERAPLANA"/>
        <w:spacing w:line="360" w:lineRule="auto"/>
        <w:rPr>
          <w:rFonts w:ascii="Times New Roman" w:hAnsi="Times New Roman"/>
          <w:bCs/>
        </w:rPr>
      </w:pPr>
    </w:p>
    <w:p w14:paraId="1938ED6B" w14:textId="77777777" w:rsidR="000F5B29" w:rsidRPr="00EA5FCA" w:rsidRDefault="000F5B29" w:rsidP="000F5B29">
      <w:pPr>
        <w:pStyle w:val="PRIMERAPLANA"/>
        <w:spacing w:line="360" w:lineRule="auto"/>
        <w:rPr>
          <w:rFonts w:ascii="Times New Roman" w:hAnsi="Times New Roman"/>
          <w:bCs/>
        </w:rPr>
      </w:pPr>
      <w:r w:rsidRPr="00EA5FCA">
        <w:rPr>
          <w:rFonts w:ascii="Times New Roman" w:hAnsi="Times New Roman"/>
          <w:bCs/>
        </w:rPr>
        <w:t>E</w:t>
      </w:r>
      <w:r>
        <w:rPr>
          <w:rFonts w:ascii="Times New Roman" w:hAnsi="Times New Roman"/>
          <w:bCs/>
        </w:rPr>
        <w:t xml:space="preserve">l </w:t>
      </w:r>
      <w:r w:rsidRPr="00EA5FCA">
        <w:rPr>
          <w:rFonts w:ascii="Times New Roman" w:hAnsi="Times New Roman"/>
          <w:bCs/>
        </w:rPr>
        <w:t>aporte de Tlaxcala para la región fue de 0.05</w:t>
      </w:r>
      <w:r>
        <w:rPr>
          <w:rFonts w:ascii="Times New Roman" w:hAnsi="Times New Roman"/>
          <w:bCs/>
        </w:rPr>
        <w:t>%</w:t>
      </w:r>
      <w:r w:rsidRPr="00EA5FCA">
        <w:rPr>
          <w:rFonts w:ascii="Times New Roman" w:hAnsi="Times New Roman"/>
          <w:bCs/>
        </w:rPr>
        <w:t xml:space="preserve"> que le </w:t>
      </w:r>
      <w:proofErr w:type="spellStart"/>
      <w:r w:rsidRPr="00EA5FCA">
        <w:rPr>
          <w:rFonts w:ascii="Times New Roman" w:hAnsi="Times New Roman"/>
          <w:bCs/>
        </w:rPr>
        <w:t>dió</w:t>
      </w:r>
      <w:proofErr w:type="spellEnd"/>
      <w:r w:rsidRPr="00EA5FCA">
        <w:rPr>
          <w:rFonts w:ascii="Times New Roman" w:hAnsi="Times New Roman"/>
          <w:bCs/>
        </w:rPr>
        <w:t xml:space="preserve"> la posición seis de las siete entidades que la conforman. En este caso, Guerrero fue la entidad con mayor aporte al registrar 0.65</w:t>
      </w:r>
      <w:r>
        <w:rPr>
          <w:rFonts w:ascii="Times New Roman" w:hAnsi="Times New Roman"/>
          <w:bCs/>
        </w:rPr>
        <w:t>%</w:t>
      </w:r>
      <w:r w:rsidRPr="00EA5FCA">
        <w:rPr>
          <w:rFonts w:ascii="Times New Roman" w:hAnsi="Times New Roman"/>
          <w:bCs/>
        </w:rPr>
        <w:t>, y por el contrario Puebla mostró una pérdida de 0.04</w:t>
      </w:r>
      <w:r>
        <w:rPr>
          <w:rFonts w:ascii="Times New Roman" w:hAnsi="Times New Roman"/>
          <w:bCs/>
        </w:rPr>
        <w:t>%.</w:t>
      </w:r>
    </w:p>
    <w:p w14:paraId="37F8DC51" w14:textId="77777777" w:rsidR="000F5B29" w:rsidRPr="00FD37DE" w:rsidRDefault="000F5B29" w:rsidP="000F5B29">
      <w:pPr>
        <w:pStyle w:val="PRIMERAPLANA"/>
        <w:spacing w:line="360" w:lineRule="auto"/>
        <w:rPr>
          <w:rFonts w:ascii="Times New Roman" w:hAnsi="Times New Roman"/>
          <w:bCs/>
        </w:rPr>
      </w:pPr>
    </w:p>
    <w:p w14:paraId="6F425493" w14:textId="5A4D179B" w:rsidR="00CE2445" w:rsidRPr="000F5B29" w:rsidRDefault="000F5B29" w:rsidP="000F5B29">
      <w:pPr>
        <w:spacing w:line="360" w:lineRule="auto"/>
        <w:jc w:val="both"/>
        <w:rPr>
          <w:bCs/>
          <w:sz w:val="20"/>
          <w:szCs w:val="20"/>
          <w:lang w:val="es-ES_tradnl"/>
        </w:rPr>
      </w:pPr>
      <w:r w:rsidRPr="000F5B29">
        <w:rPr>
          <w:bCs/>
          <w:sz w:val="20"/>
          <w:szCs w:val="20"/>
          <w:lang w:val="es-ES_tradnl"/>
        </w:rPr>
        <w:t xml:space="preserve">Se estima que la Entidad siga registrando márgenes operativos positivos en 2026, pero menores a los observados en 2025 y años previos. Las asignaciones en el </w:t>
      </w:r>
      <w:r w:rsidR="00BB00D6">
        <w:rPr>
          <w:bCs/>
          <w:sz w:val="20"/>
          <w:szCs w:val="20"/>
          <w:lang w:val="es-ES_tradnl"/>
        </w:rPr>
        <w:t>Proyecto de Presupuesto de Egresos de la Federación (</w:t>
      </w:r>
      <w:r w:rsidRPr="000F5B29">
        <w:rPr>
          <w:bCs/>
          <w:sz w:val="20"/>
          <w:szCs w:val="20"/>
          <w:lang w:val="es-ES_tradnl"/>
        </w:rPr>
        <w:t>PPEF 2026</w:t>
      </w:r>
      <w:r w:rsidR="00BB00D6">
        <w:rPr>
          <w:bCs/>
          <w:sz w:val="20"/>
          <w:szCs w:val="20"/>
          <w:lang w:val="es-ES_tradnl"/>
        </w:rPr>
        <w:t>)</w:t>
      </w:r>
      <w:r w:rsidRPr="000F5B29">
        <w:rPr>
          <w:bCs/>
          <w:sz w:val="20"/>
          <w:szCs w:val="20"/>
          <w:lang w:val="es-ES_tradnl"/>
        </w:rPr>
        <w:t xml:space="preserve"> para los gobiernos locales, que se integran por participaciones, aportaciones y otros conceptos, sumarán 2,810.8 </w:t>
      </w:r>
      <w:proofErr w:type="spellStart"/>
      <w:r w:rsidRPr="000F5B29">
        <w:rPr>
          <w:bCs/>
          <w:sz w:val="20"/>
          <w:szCs w:val="20"/>
          <w:lang w:val="es-ES_tradnl"/>
        </w:rPr>
        <w:t>mmp</w:t>
      </w:r>
      <w:proofErr w:type="spellEnd"/>
      <w:r w:rsidRPr="000F5B29">
        <w:rPr>
          <w:bCs/>
          <w:sz w:val="20"/>
          <w:szCs w:val="20"/>
          <w:lang w:val="es-ES_tradnl"/>
        </w:rPr>
        <w:t>, 3.0% más en términos reales que en el aprobado de 2025.</w:t>
      </w:r>
    </w:p>
    <w:p w14:paraId="4CB688A9" w14:textId="11A59C81" w:rsidR="00A4763F" w:rsidRDefault="00A4763F" w:rsidP="00CE2445">
      <w:pPr>
        <w:spacing w:line="360" w:lineRule="auto"/>
        <w:jc w:val="both"/>
        <w:rPr>
          <w:sz w:val="20"/>
          <w:szCs w:val="20"/>
        </w:rPr>
      </w:pPr>
    </w:p>
    <w:tbl>
      <w:tblPr>
        <w:tblW w:w="7785" w:type="dxa"/>
        <w:jc w:val="center"/>
        <w:tblCellMar>
          <w:left w:w="70" w:type="dxa"/>
          <w:right w:w="70" w:type="dxa"/>
        </w:tblCellMar>
        <w:tblLook w:val="04A0" w:firstRow="1" w:lastRow="0" w:firstColumn="1" w:lastColumn="0" w:noHBand="0" w:noVBand="1"/>
      </w:tblPr>
      <w:tblGrid>
        <w:gridCol w:w="2268"/>
        <w:gridCol w:w="748"/>
        <w:gridCol w:w="903"/>
        <w:gridCol w:w="759"/>
        <w:gridCol w:w="851"/>
        <w:gridCol w:w="752"/>
        <w:gridCol w:w="752"/>
        <w:gridCol w:w="752"/>
      </w:tblGrid>
      <w:tr w:rsidR="000F5B29" w:rsidRPr="00B75492" w14:paraId="46468497" w14:textId="77777777" w:rsidTr="00AC3862">
        <w:trPr>
          <w:trHeight w:val="300"/>
          <w:tblHeader/>
          <w:jc w:val="center"/>
        </w:trPr>
        <w:tc>
          <w:tcPr>
            <w:tcW w:w="7785" w:type="dxa"/>
            <w:gridSpan w:val="8"/>
            <w:tcBorders>
              <w:top w:val="nil"/>
              <w:left w:val="nil"/>
              <w:bottom w:val="nil"/>
              <w:right w:val="nil"/>
            </w:tcBorders>
          </w:tcPr>
          <w:p w14:paraId="19ED2782" w14:textId="77777777" w:rsidR="000F5B29" w:rsidRPr="00B75492" w:rsidRDefault="000F5B29" w:rsidP="00AC3862">
            <w:pPr>
              <w:jc w:val="center"/>
              <w:rPr>
                <w:b/>
                <w:bCs/>
                <w:color w:val="000000"/>
                <w:sz w:val="16"/>
                <w:szCs w:val="16"/>
              </w:rPr>
            </w:pPr>
            <w:r>
              <w:rPr>
                <w:b/>
                <w:bCs/>
                <w:color w:val="000000"/>
                <w:sz w:val="16"/>
                <w:szCs w:val="16"/>
              </w:rPr>
              <w:t>Transferencias federales a las entidades federativas, 2025-2026</w:t>
            </w:r>
          </w:p>
          <w:p w14:paraId="3A115715" w14:textId="77777777" w:rsidR="000F5B29" w:rsidRPr="00B75492" w:rsidRDefault="000F5B29" w:rsidP="00AC3862">
            <w:pPr>
              <w:jc w:val="center"/>
              <w:rPr>
                <w:b/>
                <w:bCs/>
                <w:color w:val="000000"/>
                <w:sz w:val="16"/>
                <w:szCs w:val="16"/>
                <w:lang w:eastAsia="es-MX"/>
              </w:rPr>
            </w:pPr>
            <w:r w:rsidRPr="00B75492">
              <w:rPr>
                <w:b/>
                <w:bCs/>
                <w:color w:val="000000"/>
                <w:sz w:val="16"/>
                <w:szCs w:val="16"/>
              </w:rPr>
              <w:t>(</w:t>
            </w:r>
            <w:r>
              <w:rPr>
                <w:b/>
                <w:bCs/>
                <w:color w:val="000000"/>
                <w:sz w:val="16"/>
                <w:szCs w:val="16"/>
              </w:rPr>
              <w:t>Miles de millones de pesos</w:t>
            </w:r>
            <w:r w:rsidRPr="00B75492">
              <w:rPr>
                <w:b/>
                <w:bCs/>
                <w:color w:val="000000"/>
                <w:sz w:val="16"/>
                <w:szCs w:val="16"/>
              </w:rPr>
              <w:t>)</w:t>
            </w:r>
          </w:p>
        </w:tc>
      </w:tr>
      <w:tr w:rsidR="000F5B29" w:rsidRPr="00B75492" w14:paraId="2714C56B" w14:textId="77777777" w:rsidTr="00AC3862">
        <w:trPr>
          <w:trHeight w:val="300"/>
          <w:tblHeader/>
          <w:jc w:val="center"/>
        </w:trPr>
        <w:tc>
          <w:tcPr>
            <w:tcW w:w="2268" w:type="dxa"/>
            <w:vMerge w:val="restart"/>
            <w:tcBorders>
              <w:top w:val="single" w:sz="4" w:space="0" w:color="auto"/>
              <w:left w:val="nil"/>
              <w:right w:val="nil"/>
            </w:tcBorders>
            <w:shd w:val="clear" w:color="auto" w:fill="E4C776"/>
            <w:noWrap/>
            <w:vAlign w:val="center"/>
            <w:hideMark/>
          </w:tcPr>
          <w:p w14:paraId="1A596508" w14:textId="77777777" w:rsidR="000F5B29" w:rsidRPr="00B75492" w:rsidRDefault="000F5B29" w:rsidP="00AC3862">
            <w:pPr>
              <w:jc w:val="center"/>
              <w:rPr>
                <w:b/>
                <w:bCs/>
                <w:color w:val="740000"/>
                <w:sz w:val="16"/>
                <w:szCs w:val="16"/>
              </w:rPr>
            </w:pPr>
            <w:r w:rsidRPr="00B75492">
              <w:rPr>
                <w:b/>
                <w:bCs/>
                <w:color w:val="740000"/>
                <w:sz w:val="16"/>
                <w:szCs w:val="16"/>
              </w:rPr>
              <w:t>CONCEPTO</w:t>
            </w:r>
          </w:p>
        </w:tc>
        <w:tc>
          <w:tcPr>
            <w:tcW w:w="1651" w:type="dxa"/>
            <w:gridSpan w:val="2"/>
            <w:tcBorders>
              <w:top w:val="single" w:sz="4" w:space="0" w:color="auto"/>
              <w:left w:val="nil"/>
              <w:bottom w:val="single" w:sz="4" w:space="0" w:color="auto"/>
            </w:tcBorders>
            <w:shd w:val="clear" w:color="auto" w:fill="E4C776"/>
            <w:noWrap/>
            <w:vAlign w:val="center"/>
            <w:hideMark/>
          </w:tcPr>
          <w:p w14:paraId="7285A504" w14:textId="77777777" w:rsidR="000F5B29" w:rsidRPr="00B75492" w:rsidRDefault="000F5B29" w:rsidP="00AC3862">
            <w:pPr>
              <w:jc w:val="center"/>
              <w:rPr>
                <w:b/>
                <w:bCs/>
                <w:color w:val="740000"/>
                <w:sz w:val="16"/>
                <w:szCs w:val="16"/>
              </w:rPr>
            </w:pPr>
            <w:r w:rsidRPr="00B75492">
              <w:rPr>
                <w:b/>
                <w:bCs/>
                <w:color w:val="740000"/>
                <w:sz w:val="16"/>
                <w:szCs w:val="16"/>
              </w:rPr>
              <w:t>2025</w:t>
            </w:r>
          </w:p>
        </w:tc>
        <w:tc>
          <w:tcPr>
            <w:tcW w:w="759" w:type="dxa"/>
            <w:tcBorders>
              <w:top w:val="single" w:sz="4" w:space="0" w:color="auto"/>
              <w:right w:val="nil"/>
            </w:tcBorders>
            <w:shd w:val="clear" w:color="auto" w:fill="E4C776"/>
            <w:vAlign w:val="center"/>
          </w:tcPr>
          <w:p w14:paraId="0C1884BD" w14:textId="77777777" w:rsidR="000F5B29" w:rsidRPr="00B75492" w:rsidRDefault="000F5B29" w:rsidP="00AC3862">
            <w:pPr>
              <w:jc w:val="center"/>
              <w:rPr>
                <w:b/>
                <w:bCs/>
                <w:color w:val="740000"/>
                <w:sz w:val="16"/>
                <w:szCs w:val="16"/>
              </w:rPr>
            </w:pPr>
          </w:p>
        </w:tc>
        <w:tc>
          <w:tcPr>
            <w:tcW w:w="3107" w:type="dxa"/>
            <w:gridSpan w:val="4"/>
            <w:tcBorders>
              <w:top w:val="single" w:sz="4" w:space="0" w:color="auto"/>
              <w:bottom w:val="single" w:sz="4" w:space="0" w:color="auto"/>
              <w:right w:val="nil"/>
            </w:tcBorders>
            <w:shd w:val="clear" w:color="auto" w:fill="E4C776"/>
            <w:vAlign w:val="center"/>
          </w:tcPr>
          <w:p w14:paraId="23A90AEC" w14:textId="77777777" w:rsidR="000F5B29" w:rsidRPr="00B75492" w:rsidRDefault="000F5B29" w:rsidP="00AC3862">
            <w:pPr>
              <w:jc w:val="center"/>
              <w:rPr>
                <w:b/>
                <w:bCs/>
                <w:color w:val="740000"/>
                <w:sz w:val="16"/>
                <w:szCs w:val="16"/>
              </w:rPr>
            </w:pPr>
            <w:r w:rsidRPr="00B75492">
              <w:rPr>
                <w:b/>
                <w:bCs/>
                <w:color w:val="740000"/>
                <w:sz w:val="16"/>
                <w:szCs w:val="16"/>
              </w:rPr>
              <w:t>Variación 2025-2026</w:t>
            </w:r>
          </w:p>
        </w:tc>
      </w:tr>
      <w:tr w:rsidR="000F5B29" w:rsidRPr="00B75492" w14:paraId="72D1AF26" w14:textId="77777777" w:rsidTr="00AC3862">
        <w:trPr>
          <w:trHeight w:val="300"/>
          <w:tblHeader/>
          <w:jc w:val="center"/>
        </w:trPr>
        <w:tc>
          <w:tcPr>
            <w:tcW w:w="2268" w:type="dxa"/>
            <w:vMerge/>
            <w:tcBorders>
              <w:left w:val="nil"/>
              <w:right w:val="nil"/>
            </w:tcBorders>
            <w:shd w:val="clear" w:color="auto" w:fill="E4C776"/>
            <w:noWrap/>
            <w:vAlign w:val="center"/>
          </w:tcPr>
          <w:p w14:paraId="62E670DC" w14:textId="77777777" w:rsidR="000F5B29" w:rsidRPr="00B75492" w:rsidRDefault="000F5B29" w:rsidP="00AC3862">
            <w:pPr>
              <w:rPr>
                <w:color w:val="000000"/>
                <w:sz w:val="16"/>
                <w:szCs w:val="16"/>
              </w:rPr>
            </w:pPr>
          </w:p>
        </w:tc>
        <w:tc>
          <w:tcPr>
            <w:tcW w:w="748" w:type="dxa"/>
            <w:vMerge w:val="restart"/>
            <w:tcBorders>
              <w:top w:val="single" w:sz="4" w:space="0" w:color="auto"/>
              <w:left w:val="nil"/>
            </w:tcBorders>
            <w:shd w:val="clear" w:color="auto" w:fill="E4C776"/>
            <w:noWrap/>
            <w:vAlign w:val="center"/>
          </w:tcPr>
          <w:p w14:paraId="3D84A3B4" w14:textId="77777777" w:rsidR="000F5B29" w:rsidRPr="00B75492" w:rsidRDefault="000F5B29" w:rsidP="00AC3862">
            <w:pPr>
              <w:jc w:val="center"/>
              <w:rPr>
                <w:b/>
                <w:bCs/>
                <w:color w:val="740000"/>
                <w:sz w:val="16"/>
                <w:szCs w:val="16"/>
              </w:rPr>
            </w:pPr>
            <w:r w:rsidRPr="00B75492">
              <w:rPr>
                <w:b/>
                <w:bCs/>
                <w:color w:val="740000"/>
                <w:sz w:val="16"/>
                <w:szCs w:val="16"/>
              </w:rPr>
              <w:t xml:space="preserve">PPEF </w:t>
            </w:r>
            <w:r w:rsidRPr="00B75492">
              <w:rPr>
                <w:b/>
                <w:bCs/>
                <w:color w:val="740000"/>
                <w:sz w:val="12"/>
                <w:szCs w:val="12"/>
              </w:rPr>
              <w:t>p/</w:t>
            </w:r>
          </w:p>
        </w:tc>
        <w:tc>
          <w:tcPr>
            <w:tcW w:w="903" w:type="dxa"/>
            <w:vMerge w:val="restart"/>
            <w:tcBorders>
              <w:top w:val="single" w:sz="4" w:space="0" w:color="auto"/>
              <w:right w:val="nil"/>
            </w:tcBorders>
            <w:shd w:val="clear" w:color="auto" w:fill="E4C776"/>
            <w:vAlign w:val="center"/>
          </w:tcPr>
          <w:p w14:paraId="24890CEE" w14:textId="77777777" w:rsidR="000F5B29" w:rsidRPr="00B75492" w:rsidRDefault="000F5B29" w:rsidP="00AC3862">
            <w:pPr>
              <w:jc w:val="center"/>
              <w:rPr>
                <w:b/>
                <w:bCs/>
                <w:color w:val="740000"/>
                <w:sz w:val="16"/>
                <w:szCs w:val="16"/>
              </w:rPr>
            </w:pPr>
            <w:r w:rsidRPr="00B75492">
              <w:rPr>
                <w:b/>
                <w:bCs/>
                <w:color w:val="740000"/>
                <w:sz w:val="16"/>
                <w:szCs w:val="16"/>
              </w:rPr>
              <w:t xml:space="preserve">PEF </w:t>
            </w:r>
            <w:r w:rsidRPr="00B75492">
              <w:rPr>
                <w:b/>
                <w:bCs/>
                <w:color w:val="740000"/>
                <w:sz w:val="12"/>
                <w:szCs w:val="12"/>
              </w:rPr>
              <w:t>a/</w:t>
            </w:r>
          </w:p>
        </w:tc>
        <w:tc>
          <w:tcPr>
            <w:tcW w:w="759" w:type="dxa"/>
            <w:tcBorders>
              <w:right w:val="nil"/>
            </w:tcBorders>
            <w:shd w:val="clear" w:color="auto" w:fill="E4C776"/>
            <w:vAlign w:val="center"/>
          </w:tcPr>
          <w:p w14:paraId="38C1C673" w14:textId="77777777" w:rsidR="000F5B29" w:rsidRPr="00B75492" w:rsidRDefault="000F5B29" w:rsidP="00AC3862">
            <w:pPr>
              <w:jc w:val="center"/>
              <w:rPr>
                <w:b/>
                <w:bCs/>
                <w:color w:val="740000"/>
                <w:sz w:val="16"/>
                <w:szCs w:val="16"/>
              </w:rPr>
            </w:pPr>
            <w:r w:rsidRPr="00B75492">
              <w:rPr>
                <w:b/>
                <w:bCs/>
                <w:color w:val="740000"/>
                <w:sz w:val="16"/>
                <w:szCs w:val="16"/>
              </w:rPr>
              <w:t>2026</w:t>
            </w:r>
            <w:r w:rsidRPr="00B75492">
              <w:rPr>
                <w:b/>
                <w:bCs/>
                <w:color w:val="740000"/>
                <w:sz w:val="12"/>
                <w:szCs w:val="12"/>
              </w:rPr>
              <w:t>p/</w:t>
            </w:r>
          </w:p>
        </w:tc>
        <w:tc>
          <w:tcPr>
            <w:tcW w:w="1603" w:type="dxa"/>
            <w:gridSpan w:val="2"/>
            <w:tcBorders>
              <w:top w:val="single" w:sz="4" w:space="0" w:color="auto"/>
              <w:bottom w:val="single" w:sz="4" w:space="0" w:color="auto"/>
              <w:right w:val="nil"/>
            </w:tcBorders>
            <w:shd w:val="clear" w:color="auto" w:fill="E4C776"/>
            <w:vAlign w:val="center"/>
          </w:tcPr>
          <w:p w14:paraId="7CE70842" w14:textId="77777777" w:rsidR="000F5B29" w:rsidRPr="00B75492" w:rsidRDefault="000F5B29" w:rsidP="00AC3862">
            <w:pPr>
              <w:jc w:val="center"/>
              <w:rPr>
                <w:b/>
                <w:bCs/>
                <w:color w:val="740000"/>
                <w:sz w:val="16"/>
                <w:szCs w:val="16"/>
              </w:rPr>
            </w:pPr>
            <w:r w:rsidRPr="00B75492">
              <w:rPr>
                <w:b/>
                <w:bCs/>
                <w:color w:val="740000"/>
                <w:sz w:val="16"/>
                <w:szCs w:val="16"/>
              </w:rPr>
              <w:t>Absoluta</w:t>
            </w:r>
          </w:p>
        </w:tc>
        <w:tc>
          <w:tcPr>
            <w:tcW w:w="1504" w:type="dxa"/>
            <w:gridSpan w:val="2"/>
            <w:tcBorders>
              <w:top w:val="single" w:sz="4" w:space="0" w:color="auto"/>
              <w:bottom w:val="single" w:sz="4" w:space="0" w:color="auto"/>
              <w:right w:val="nil"/>
            </w:tcBorders>
            <w:shd w:val="clear" w:color="auto" w:fill="E4C776"/>
            <w:vAlign w:val="center"/>
          </w:tcPr>
          <w:p w14:paraId="4634CE0D" w14:textId="77777777" w:rsidR="000F5B29" w:rsidRPr="00B75492" w:rsidRDefault="000F5B29" w:rsidP="00AC3862">
            <w:pPr>
              <w:jc w:val="center"/>
              <w:rPr>
                <w:b/>
                <w:bCs/>
                <w:color w:val="740000"/>
                <w:sz w:val="16"/>
                <w:szCs w:val="16"/>
              </w:rPr>
            </w:pPr>
            <w:r w:rsidRPr="00B75492">
              <w:rPr>
                <w:b/>
                <w:bCs/>
                <w:color w:val="740000"/>
                <w:sz w:val="16"/>
                <w:szCs w:val="16"/>
              </w:rPr>
              <w:t>Porcentual</w:t>
            </w:r>
          </w:p>
        </w:tc>
      </w:tr>
      <w:tr w:rsidR="000F5B29" w:rsidRPr="00B75492" w14:paraId="48A27EDC" w14:textId="77777777" w:rsidTr="00AC3862">
        <w:trPr>
          <w:trHeight w:val="300"/>
          <w:tblHeader/>
          <w:jc w:val="center"/>
        </w:trPr>
        <w:tc>
          <w:tcPr>
            <w:tcW w:w="2268" w:type="dxa"/>
            <w:vMerge/>
            <w:tcBorders>
              <w:left w:val="nil"/>
              <w:bottom w:val="single" w:sz="4" w:space="0" w:color="auto"/>
              <w:right w:val="nil"/>
            </w:tcBorders>
            <w:shd w:val="clear" w:color="auto" w:fill="E4C776"/>
            <w:noWrap/>
            <w:vAlign w:val="center"/>
          </w:tcPr>
          <w:p w14:paraId="71392A41" w14:textId="77777777" w:rsidR="000F5B29" w:rsidRPr="00B75492" w:rsidRDefault="000F5B29" w:rsidP="00AC3862">
            <w:pPr>
              <w:rPr>
                <w:color w:val="000000"/>
                <w:sz w:val="16"/>
                <w:szCs w:val="16"/>
              </w:rPr>
            </w:pPr>
          </w:p>
        </w:tc>
        <w:tc>
          <w:tcPr>
            <w:tcW w:w="748" w:type="dxa"/>
            <w:vMerge/>
            <w:tcBorders>
              <w:left w:val="nil"/>
              <w:bottom w:val="single" w:sz="4" w:space="0" w:color="auto"/>
            </w:tcBorders>
            <w:shd w:val="clear" w:color="auto" w:fill="E4C776"/>
            <w:noWrap/>
            <w:vAlign w:val="center"/>
          </w:tcPr>
          <w:p w14:paraId="3916FDB8" w14:textId="77777777" w:rsidR="000F5B29" w:rsidRPr="00B75492" w:rsidRDefault="000F5B29" w:rsidP="00AC3862">
            <w:pPr>
              <w:jc w:val="center"/>
              <w:rPr>
                <w:b/>
                <w:bCs/>
                <w:color w:val="740000"/>
                <w:sz w:val="16"/>
                <w:szCs w:val="16"/>
              </w:rPr>
            </w:pPr>
          </w:p>
        </w:tc>
        <w:tc>
          <w:tcPr>
            <w:tcW w:w="903" w:type="dxa"/>
            <w:vMerge/>
            <w:tcBorders>
              <w:bottom w:val="single" w:sz="4" w:space="0" w:color="auto"/>
              <w:right w:val="nil"/>
            </w:tcBorders>
            <w:shd w:val="clear" w:color="auto" w:fill="E4C776"/>
            <w:vAlign w:val="center"/>
          </w:tcPr>
          <w:p w14:paraId="42104A4B" w14:textId="77777777" w:rsidR="000F5B29" w:rsidRPr="00B75492" w:rsidRDefault="000F5B29" w:rsidP="00AC3862">
            <w:pPr>
              <w:jc w:val="center"/>
              <w:rPr>
                <w:b/>
                <w:bCs/>
                <w:color w:val="740000"/>
                <w:sz w:val="16"/>
                <w:szCs w:val="16"/>
              </w:rPr>
            </w:pPr>
          </w:p>
        </w:tc>
        <w:tc>
          <w:tcPr>
            <w:tcW w:w="759" w:type="dxa"/>
            <w:tcBorders>
              <w:bottom w:val="single" w:sz="4" w:space="0" w:color="auto"/>
              <w:right w:val="nil"/>
            </w:tcBorders>
            <w:shd w:val="clear" w:color="auto" w:fill="E4C776"/>
            <w:vAlign w:val="center"/>
          </w:tcPr>
          <w:p w14:paraId="05FEFFE8" w14:textId="77777777" w:rsidR="000F5B29" w:rsidRPr="00B75492" w:rsidRDefault="000F5B29" w:rsidP="00AC3862">
            <w:pPr>
              <w:jc w:val="center"/>
              <w:rPr>
                <w:b/>
                <w:bCs/>
                <w:color w:val="740000"/>
                <w:sz w:val="16"/>
                <w:szCs w:val="16"/>
              </w:rPr>
            </w:pPr>
          </w:p>
        </w:tc>
        <w:tc>
          <w:tcPr>
            <w:tcW w:w="851" w:type="dxa"/>
            <w:tcBorders>
              <w:top w:val="single" w:sz="4" w:space="0" w:color="auto"/>
              <w:bottom w:val="single" w:sz="4" w:space="0" w:color="auto"/>
              <w:right w:val="nil"/>
            </w:tcBorders>
            <w:shd w:val="clear" w:color="auto" w:fill="E4C776"/>
            <w:vAlign w:val="center"/>
          </w:tcPr>
          <w:p w14:paraId="22AC26E6" w14:textId="77777777" w:rsidR="000F5B29" w:rsidRPr="00B75492" w:rsidRDefault="000F5B29" w:rsidP="00AC3862">
            <w:pPr>
              <w:jc w:val="center"/>
              <w:rPr>
                <w:b/>
                <w:bCs/>
                <w:color w:val="740000"/>
                <w:sz w:val="16"/>
                <w:szCs w:val="16"/>
              </w:rPr>
            </w:pPr>
            <w:r w:rsidRPr="00B75492">
              <w:rPr>
                <w:b/>
                <w:bCs/>
                <w:color w:val="740000"/>
                <w:sz w:val="16"/>
                <w:szCs w:val="16"/>
              </w:rPr>
              <w:t>PPEF</w:t>
            </w:r>
          </w:p>
        </w:tc>
        <w:tc>
          <w:tcPr>
            <w:tcW w:w="752" w:type="dxa"/>
            <w:tcBorders>
              <w:top w:val="single" w:sz="4" w:space="0" w:color="auto"/>
              <w:bottom w:val="single" w:sz="4" w:space="0" w:color="auto"/>
              <w:right w:val="nil"/>
            </w:tcBorders>
            <w:shd w:val="clear" w:color="auto" w:fill="E4C776"/>
            <w:vAlign w:val="center"/>
          </w:tcPr>
          <w:p w14:paraId="415D0133" w14:textId="77777777" w:rsidR="000F5B29" w:rsidRPr="00B75492" w:rsidRDefault="000F5B29" w:rsidP="00AC3862">
            <w:pPr>
              <w:jc w:val="center"/>
              <w:rPr>
                <w:b/>
                <w:bCs/>
                <w:color w:val="740000"/>
                <w:sz w:val="16"/>
                <w:szCs w:val="16"/>
              </w:rPr>
            </w:pPr>
            <w:r w:rsidRPr="00B75492">
              <w:rPr>
                <w:b/>
                <w:bCs/>
                <w:color w:val="740000"/>
                <w:sz w:val="16"/>
                <w:szCs w:val="16"/>
              </w:rPr>
              <w:t>PEF</w:t>
            </w:r>
          </w:p>
        </w:tc>
        <w:tc>
          <w:tcPr>
            <w:tcW w:w="752" w:type="dxa"/>
            <w:tcBorders>
              <w:top w:val="single" w:sz="4" w:space="0" w:color="auto"/>
              <w:bottom w:val="single" w:sz="4" w:space="0" w:color="auto"/>
              <w:right w:val="nil"/>
            </w:tcBorders>
            <w:shd w:val="clear" w:color="auto" w:fill="E4C776"/>
            <w:vAlign w:val="center"/>
          </w:tcPr>
          <w:p w14:paraId="2803CB7C" w14:textId="77777777" w:rsidR="000F5B29" w:rsidRPr="00B75492" w:rsidRDefault="000F5B29" w:rsidP="00AC3862">
            <w:pPr>
              <w:jc w:val="center"/>
              <w:rPr>
                <w:b/>
                <w:bCs/>
                <w:color w:val="740000"/>
                <w:sz w:val="16"/>
                <w:szCs w:val="16"/>
              </w:rPr>
            </w:pPr>
            <w:r w:rsidRPr="00B75492">
              <w:rPr>
                <w:b/>
                <w:bCs/>
                <w:color w:val="740000"/>
                <w:sz w:val="16"/>
                <w:szCs w:val="16"/>
              </w:rPr>
              <w:t>PPEF</w:t>
            </w:r>
          </w:p>
        </w:tc>
        <w:tc>
          <w:tcPr>
            <w:tcW w:w="752" w:type="dxa"/>
            <w:tcBorders>
              <w:top w:val="single" w:sz="4" w:space="0" w:color="auto"/>
              <w:bottom w:val="single" w:sz="4" w:space="0" w:color="auto"/>
              <w:right w:val="nil"/>
            </w:tcBorders>
            <w:shd w:val="clear" w:color="auto" w:fill="E4C776"/>
            <w:vAlign w:val="center"/>
          </w:tcPr>
          <w:p w14:paraId="34A2123D" w14:textId="77777777" w:rsidR="000F5B29" w:rsidRPr="00B75492" w:rsidRDefault="000F5B29" w:rsidP="00AC3862">
            <w:pPr>
              <w:jc w:val="center"/>
              <w:rPr>
                <w:b/>
                <w:bCs/>
                <w:color w:val="740000"/>
                <w:sz w:val="16"/>
                <w:szCs w:val="16"/>
              </w:rPr>
            </w:pPr>
            <w:r w:rsidRPr="00B75492">
              <w:rPr>
                <w:b/>
                <w:bCs/>
                <w:color w:val="740000"/>
                <w:sz w:val="16"/>
                <w:szCs w:val="16"/>
              </w:rPr>
              <w:t>PEF</w:t>
            </w:r>
          </w:p>
        </w:tc>
      </w:tr>
      <w:tr w:rsidR="000F5B29" w:rsidRPr="00B75492" w14:paraId="677B4AAC" w14:textId="77777777" w:rsidTr="00AC3862">
        <w:trPr>
          <w:trHeight w:val="300"/>
          <w:jc w:val="center"/>
        </w:trPr>
        <w:tc>
          <w:tcPr>
            <w:tcW w:w="2268" w:type="dxa"/>
            <w:tcBorders>
              <w:top w:val="nil"/>
              <w:left w:val="nil"/>
              <w:bottom w:val="nil"/>
              <w:right w:val="nil"/>
            </w:tcBorders>
            <w:shd w:val="clear" w:color="000000" w:fill="F2F2F2"/>
            <w:noWrap/>
            <w:vAlign w:val="bottom"/>
            <w:hideMark/>
          </w:tcPr>
          <w:p w14:paraId="1CE98974" w14:textId="77777777" w:rsidR="000F5B29" w:rsidRPr="00B75492" w:rsidRDefault="000F5B29" w:rsidP="00AC3862">
            <w:pPr>
              <w:rPr>
                <w:color w:val="000000"/>
                <w:sz w:val="16"/>
                <w:szCs w:val="16"/>
              </w:rPr>
            </w:pPr>
            <w:r>
              <w:rPr>
                <w:color w:val="000000"/>
                <w:sz w:val="16"/>
                <w:szCs w:val="16"/>
              </w:rPr>
              <w:t>Participaciones</w:t>
            </w:r>
          </w:p>
        </w:tc>
        <w:tc>
          <w:tcPr>
            <w:tcW w:w="748" w:type="dxa"/>
            <w:tcBorders>
              <w:top w:val="nil"/>
              <w:left w:val="nil"/>
              <w:bottom w:val="nil"/>
              <w:right w:val="nil"/>
            </w:tcBorders>
            <w:shd w:val="clear" w:color="000000" w:fill="F2F2F2"/>
            <w:noWrap/>
            <w:vAlign w:val="bottom"/>
            <w:hideMark/>
          </w:tcPr>
          <w:p w14:paraId="464ADE36" w14:textId="77777777" w:rsidR="000F5B29" w:rsidRPr="00B75492" w:rsidRDefault="000F5B29" w:rsidP="00AC3862">
            <w:pPr>
              <w:jc w:val="right"/>
              <w:rPr>
                <w:color w:val="000000"/>
                <w:sz w:val="16"/>
                <w:szCs w:val="16"/>
              </w:rPr>
            </w:pPr>
            <w:r>
              <w:rPr>
                <w:color w:val="000000"/>
                <w:sz w:val="16"/>
                <w:szCs w:val="16"/>
              </w:rPr>
              <w:t>1,340.2</w:t>
            </w:r>
            <w:r w:rsidRPr="00B75492">
              <w:rPr>
                <w:color w:val="000000"/>
                <w:sz w:val="16"/>
                <w:szCs w:val="16"/>
              </w:rPr>
              <w:t xml:space="preserve"> </w:t>
            </w:r>
          </w:p>
        </w:tc>
        <w:tc>
          <w:tcPr>
            <w:tcW w:w="903" w:type="dxa"/>
            <w:tcBorders>
              <w:top w:val="nil"/>
              <w:left w:val="nil"/>
              <w:bottom w:val="nil"/>
              <w:right w:val="nil"/>
            </w:tcBorders>
            <w:shd w:val="clear" w:color="000000" w:fill="F2F2F2"/>
            <w:vAlign w:val="bottom"/>
          </w:tcPr>
          <w:p w14:paraId="413BAADD" w14:textId="77777777" w:rsidR="000F5B29" w:rsidRPr="00B75492" w:rsidRDefault="000F5B29" w:rsidP="00AC3862">
            <w:pPr>
              <w:jc w:val="right"/>
              <w:rPr>
                <w:color w:val="000000"/>
                <w:sz w:val="16"/>
                <w:szCs w:val="16"/>
              </w:rPr>
            </w:pPr>
            <w:r>
              <w:rPr>
                <w:color w:val="000000"/>
                <w:sz w:val="16"/>
                <w:szCs w:val="16"/>
              </w:rPr>
              <w:t>1,340.2</w:t>
            </w:r>
          </w:p>
        </w:tc>
        <w:tc>
          <w:tcPr>
            <w:tcW w:w="759" w:type="dxa"/>
            <w:tcBorders>
              <w:top w:val="nil"/>
              <w:left w:val="nil"/>
              <w:bottom w:val="nil"/>
              <w:right w:val="nil"/>
            </w:tcBorders>
            <w:shd w:val="clear" w:color="000000" w:fill="F2F2F2"/>
            <w:vAlign w:val="bottom"/>
          </w:tcPr>
          <w:p w14:paraId="2916B3AF" w14:textId="77777777" w:rsidR="000F5B29" w:rsidRPr="00B75492" w:rsidRDefault="000F5B29" w:rsidP="00AC3862">
            <w:pPr>
              <w:jc w:val="right"/>
              <w:rPr>
                <w:color w:val="000000"/>
                <w:sz w:val="16"/>
                <w:szCs w:val="16"/>
              </w:rPr>
            </w:pPr>
            <w:r>
              <w:rPr>
                <w:color w:val="000000"/>
                <w:sz w:val="16"/>
                <w:szCs w:val="16"/>
              </w:rPr>
              <w:t>1,456.0</w:t>
            </w:r>
          </w:p>
        </w:tc>
        <w:tc>
          <w:tcPr>
            <w:tcW w:w="851" w:type="dxa"/>
            <w:tcBorders>
              <w:top w:val="nil"/>
              <w:left w:val="nil"/>
              <w:bottom w:val="nil"/>
              <w:right w:val="nil"/>
            </w:tcBorders>
            <w:shd w:val="clear" w:color="000000" w:fill="F2F2F2"/>
            <w:vAlign w:val="bottom"/>
          </w:tcPr>
          <w:p w14:paraId="66F7FA6B" w14:textId="77777777" w:rsidR="000F5B29" w:rsidRPr="00B75492" w:rsidRDefault="000F5B29" w:rsidP="00AC3862">
            <w:pPr>
              <w:jc w:val="right"/>
              <w:rPr>
                <w:color w:val="000000"/>
                <w:sz w:val="16"/>
                <w:szCs w:val="16"/>
              </w:rPr>
            </w:pPr>
            <w:r>
              <w:rPr>
                <w:color w:val="000000"/>
                <w:sz w:val="16"/>
                <w:szCs w:val="16"/>
              </w:rPr>
              <w:t>115.8</w:t>
            </w:r>
          </w:p>
        </w:tc>
        <w:tc>
          <w:tcPr>
            <w:tcW w:w="752" w:type="dxa"/>
            <w:tcBorders>
              <w:top w:val="nil"/>
              <w:left w:val="nil"/>
              <w:bottom w:val="nil"/>
              <w:right w:val="nil"/>
            </w:tcBorders>
            <w:shd w:val="clear" w:color="000000" w:fill="F2F2F2"/>
            <w:vAlign w:val="bottom"/>
          </w:tcPr>
          <w:p w14:paraId="524EBD67" w14:textId="77777777" w:rsidR="000F5B29" w:rsidRPr="00B75492" w:rsidRDefault="000F5B29" w:rsidP="00AC3862">
            <w:pPr>
              <w:jc w:val="right"/>
              <w:rPr>
                <w:color w:val="000000"/>
                <w:sz w:val="16"/>
                <w:szCs w:val="16"/>
              </w:rPr>
            </w:pPr>
            <w:r>
              <w:rPr>
                <w:color w:val="000000"/>
                <w:sz w:val="16"/>
                <w:szCs w:val="16"/>
              </w:rPr>
              <w:t>115.8</w:t>
            </w:r>
          </w:p>
        </w:tc>
        <w:tc>
          <w:tcPr>
            <w:tcW w:w="752" w:type="dxa"/>
            <w:tcBorders>
              <w:top w:val="nil"/>
              <w:left w:val="nil"/>
              <w:bottom w:val="nil"/>
              <w:right w:val="nil"/>
            </w:tcBorders>
            <w:shd w:val="clear" w:color="000000" w:fill="F2F2F2"/>
            <w:vAlign w:val="bottom"/>
          </w:tcPr>
          <w:p w14:paraId="31C4ECCA" w14:textId="77777777" w:rsidR="000F5B29" w:rsidRPr="00B75492" w:rsidRDefault="000F5B29" w:rsidP="00AC3862">
            <w:pPr>
              <w:jc w:val="right"/>
              <w:rPr>
                <w:color w:val="000000"/>
                <w:sz w:val="16"/>
                <w:szCs w:val="16"/>
              </w:rPr>
            </w:pPr>
            <w:r>
              <w:rPr>
                <w:color w:val="000000"/>
                <w:sz w:val="16"/>
                <w:szCs w:val="16"/>
              </w:rPr>
              <w:t>5.0</w:t>
            </w:r>
          </w:p>
        </w:tc>
        <w:tc>
          <w:tcPr>
            <w:tcW w:w="752" w:type="dxa"/>
            <w:tcBorders>
              <w:top w:val="nil"/>
              <w:left w:val="nil"/>
              <w:bottom w:val="nil"/>
              <w:right w:val="nil"/>
            </w:tcBorders>
            <w:shd w:val="clear" w:color="000000" w:fill="F2F2F2"/>
            <w:vAlign w:val="bottom"/>
          </w:tcPr>
          <w:p w14:paraId="6ABCC916" w14:textId="77777777" w:rsidR="000F5B29" w:rsidRPr="00B75492" w:rsidRDefault="000F5B29" w:rsidP="00AC3862">
            <w:pPr>
              <w:jc w:val="right"/>
              <w:rPr>
                <w:color w:val="000000"/>
                <w:sz w:val="16"/>
                <w:szCs w:val="16"/>
              </w:rPr>
            </w:pPr>
            <w:r>
              <w:rPr>
                <w:color w:val="000000"/>
                <w:sz w:val="16"/>
                <w:szCs w:val="16"/>
              </w:rPr>
              <w:t>5.0</w:t>
            </w:r>
          </w:p>
        </w:tc>
      </w:tr>
      <w:tr w:rsidR="000F5B29" w:rsidRPr="00B75492" w14:paraId="38A7AD0A" w14:textId="77777777" w:rsidTr="00AC3862">
        <w:trPr>
          <w:trHeight w:val="300"/>
          <w:jc w:val="center"/>
        </w:trPr>
        <w:tc>
          <w:tcPr>
            <w:tcW w:w="2268" w:type="dxa"/>
            <w:tcBorders>
              <w:top w:val="nil"/>
              <w:left w:val="nil"/>
              <w:bottom w:val="nil"/>
              <w:right w:val="nil"/>
            </w:tcBorders>
            <w:shd w:val="clear" w:color="auto" w:fill="FFFFFF" w:themeFill="background1"/>
            <w:noWrap/>
            <w:vAlign w:val="bottom"/>
          </w:tcPr>
          <w:p w14:paraId="7FECA815" w14:textId="77777777" w:rsidR="000F5B29" w:rsidRPr="00B75492" w:rsidRDefault="000F5B29" w:rsidP="00AC3862">
            <w:pPr>
              <w:rPr>
                <w:color w:val="000000"/>
                <w:sz w:val="16"/>
                <w:szCs w:val="16"/>
              </w:rPr>
            </w:pPr>
            <w:r w:rsidRPr="00B75492">
              <w:rPr>
                <w:color w:val="000000"/>
                <w:sz w:val="16"/>
                <w:szCs w:val="16"/>
              </w:rPr>
              <w:t xml:space="preserve">Aportaciones </w:t>
            </w:r>
            <w:r w:rsidRPr="00B75492">
              <w:rPr>
                <w:color w:val="000000"/>
                <w:sz w:val="12"/>
                <w:szCs w:val="12"/>
              </w:rPr>
              <w:t>1/</w:t>
            </w:r>
          </w:p>
        </w:tc>
        <w:tc>
          <w:tcPr>
            <w:tcW w:w="748" w:type="dxa"/>
            <w:tcBorders>
              <w:top w:val="nil"/>
              <w:left w:val="nil"/>
              <w:bottom w:val="nil"/>
              <w:right w:val="nil"/>
            </w:tcBorders>
            <w:shd w:val="clear" w:color="auto" w:fill="FFFFFF" w:themeFill="background1"/>
            <w:noWrap/>
            <w:vAlign w:val="bottom"/>
          </w:tcPr>
          <w:p w14:paraId="34F93AA5" w14:textId="77777777" w:rsidR="000F5B29" w:rsidRPr="00B75492" w:rsidRDefault="000F5B29" w:rsidP="00AC3862">
            <w:pPr>
              <w:jc w:val="right"/>
              <w:rPr>
                <w:color w:val="000000"/>
                <w:sz w:val="16"/>
                <w:szCs w:val="16"/>
              </w:rPr>
            </w:pPr>
            <w:r w:rsidRPr="00B75492">
              <w:rPr>
                <w:color w:val="000000"/>
                <w:sz w:val="16"/>
                <w:szCs w:val="16"/>
              </w:rPr>
              <w:t>1,061.6</w:t>
            </w:r>
          </w:p>
        </w:tc>
        <w:tc>
          <w:tcPr>
            <w:tcW w:w="903" w:type="dxa"/>
            <w:tcBorders>
              <w:top w:val="nil"/>
              <w:left w:val="nil"/>
              <w:bottom w:val="nil"/>
              <w:right w:val="nil"/>
            </w:tcBorders>
            <w:shd w:val="clear" w:color="auto" w:fill="FFFFFF" w:themeFill="background1"/>
            <w:vAlign w:val="bottom"/>
          </w:tcPr>
          <w:p w14:paraId="584BA016" w14:textId="77777777" w:rsidR="000F5B29" w:rsidRPr="00B75492" w:rsidRDefault="000F5B29" w:rsidP="00AC3862">
            <w:pPr>
              <w:jc w:val="right"/>
              <w:rPr>
                <w:color w:val="000000"/>
                <w:sz w:val="16"/>
                <w:szCs w:val="16"/>
              </w:rPr>
            </w:pPr>
            <w:r w:rsidRPr="00B75492">
              <w:rPr>
                <w:color w:val="000000"/>
                <w:sz w:val="16"/>
                <w:szCs w:val="16"/>
              </w:rPr>
              <w:t>1,061.6</w:t>
            </w:r>
          </w:p>
        </w:tc>
        <w:tc>
          <w:tcPr>
            <w:tcW w:w="759" w:type="dxa"/>
            <w:tcBorders>
              <w:top w:val="nil"/>
              <w:left w:val="nil"/>
              <w:bottom w:val="nil"/>
              <w:right w:val="nil"/>
            </w:tcBorders>
            <w:shd w:val="clear" w:color="auto" w:fill="FFFFFF" w:themeFill="background1"/>
            <w:vAlign w:val="bottom"/>
          </w:tcPr>
          <w:p w14:paraId="68494528" w14:textId="77777777" w:rsidR="000F5B29" w:rsidRPr="00B75492" w:rsidRDefault="000F5B29" w:rsidP="00AC3862">
            <w:pPr>
              <w:jc w:val="right"/>
              <w:rPr>
                <w:color w:val="000000"/>
                <w:sz w:val="16"/>
                <w:szCs w:val="16"/>
              </w:rPr>
            </w:pPr>
            <w:r w:rsidRPr="00B75492">
              <w:rPr>
                <w:color w:val="000000"/>
                <w:sz w:val="16"/>
                <w:szCs w:val="16"/>
              </w:rPr>
              <w:t>1,127.1</w:t>
            </w:r>
          </w:p>
        </w:tc>
        <w:tc>
          <w:tcPr>
            <w:tcW w:w="851" w:type="dxa"/>
            <w:tcBorders>
              <w:top w:val="nil"/>
              <w:left w:val="nil"/>
              <w:bottom w:val="nil"/>
              <w:right w:val="nil"/>
            </w:tcBorders>
            <w:shd w:val="clear" w:color="auto" w:fill="FFFFFF" w:themeFill="background1"/>
            <w:vAlign w:val="bottom"/>
          </w:tcPr>
          <w:p w14:paraId="5DEEEF37" w14:textId="77777777" w:rsidR="000F5B29" w:rsidRPr="00B75492" w:rsidRDefault="000F5B29" w:rsidP="00AC3862">
            <w:pPr>
              <w:jc w:val="right"/>
              <w:rPr>
                <w:color w:val="000000"/>
                <w:sz w:val="16"/>
                <w:szCs w:val="16"/>
              </w:rPr>
            </w:pPr>
            <w:r w:rsidRPr="00B75492">
              <w:rPr>
                <w:color w:val="000000"/>
                <w:sz w:val="16"/>
                <w:szCs w:val="16"/>
              </w:rPr>
              <w:t>65.5</w:t>
            </w:r>
          </w:p>
        </w:tc>
        <w:tc>
          <w:tcPr>
            <w:tcW w:w="752" w:type="dxa"/>
            <w:tcBorders>
              <w:top w:val="nil"/>
              <w:left w:val="nil"/>
              <w:bottom w:val="nil"/>
              <w:right w:val="nil"/>
            </w:tcBorders>
            <w:shd w:val="clear" w:color="auto" w:fill="FFFFFF" w:themeFill="background1"/>
            <w:vAlign w:val="bottom"/>
          </w:tcPr>
          <w:p w14:paraId="325BE919" w14:textId="77777777" w:rsidR="000F5B29" w:rsidRPr="00B75492" w:rsidRDefault="000F5B29" w:rsidP="00AC3862">
            <w:pPr>
              <w:jc w:val="right"/>
              <w:rPr>
                <w:color w:val="000000"/>
                <w:sz w:val="16"/>
                <w:szCs w:val="16"/>
              </w:rPr>
            </w:pPr>
            <w:r w:rsidRPr="00B75492">
              <w:rPr>
                <w:color w:val="000000"/>
                <w:sz w:val="16"/>
                <w:szCs w:val="16"/>
              </w:rPr>
              <w:t>65.5</w:t>
            </w:r>
          </w:p>
        </w:tc>
        <w:tc>
          <w:tcPr>
            <w:tcW w:w="752" w:type="dxa"/>
            <w:tcBorders>
              <w:top w:val="nil"/>
              <w:left w:val="nil"/>
              <w:bottom w:val="nil"/>
              <w:right w:val="nil"/>
            </w:tcBorders>
            <w:shd w:val="clear" w:color="auto" w:fill="FFFFFF" w:themeFill="background1"/>
            <w:vAlign w:val="bottom"/>
          </w:tcPr>
          <w:p w14:paraId="0B0A2EF0" w14:textId="77777777" w:rsidR="000F5B29" w:rsidRPr="00B75492" w:rsidRDefault="000F5B29" w:rsidP="00AC3862">
            <w:pPr>
              <w:jc w:val="right"/>
              <w:rPr>
                <w:color w:val="000000"/>
                <w:sz w:val="16"/>
                <w:szCs w:val="16"/>
              </w:rPr>
            </w:pPr>
            <w:r w:rsidRPr="00B75492">
              <w:rPr>
                <w:color w:val="000000"/>
                <w:sz w:val="16"/>
                <w:szCs w:val="16"/>
              </w:rPr>
              <w:t>2.6</w:t>
            </w:r>
          </w:p>
        </w:tc>
        <w:tc>
          <w:tcPr>
            <w:tcW w:w="752" w:type="dxa"/>
            <w:tcBorders>
              <w:top w:val="nil"/>
              <w:left w:val="nil"/>
              <w:bottom w:val="nil"/>
              <w:right w:val="nil"/>
            </w:tcBorders>
            <w:shd w:val="clear" w:color="auto" w:fill="FFFFFF" w:themeFill="background1"/>
            <w:vAlign w:val="bottom"/>
          </w:tcPr>
          <w:p w14:paraId="20B77246" w14:textId="77777777" w:rsidR="000F5B29" w:rsidRDefault="000F5B29" w:rsidP="00AC3862">
            <w:pPr>
              <w:jc w:val="right"/>
              <w:rPr>
                <w:color w:val="000000"/>
                <w:sz w:val="16"/>
                <w:szCs w:val="16"/>
              </w:rPr>
            </w:pPr>
            <w:r w:rsidRPr="00B75492">
              <w:rPr>
                <w:color w:val="000000"/>
                <w:sz w:val="16"/>
                <w:szCs w:val="16"/>
              </w:rPr>
              <w:t>2.6</w:t>
            </w:r>
          </w:p>
        </w:tc>
      </w:tr>
      <w:tr w:rsidR="000F5B29" w:rsidRPr="00B75492" w14:paraId="3FAE0302" w14:textId="77777777" w:rsidTr="00AC3862">
        <w:trPr>
          <w:trHeight w:val="300"/>
          <w:jc w:val="center"/>
        </w:trPr>
        <w:tc>
          <w:tcPr>
            <w:tcW w:w="2268" w:type="dxa"/>
            <w:tcBorders>
              <w:top w:val="nil"/>
              <w:left w:val="nil"/>
              <w:right w:val="nil"/>
            </w:tcBorders>
            <w:shd w:val="clear" w:color="000000" w:fill="F2F2F2"/>
            <w:noWrap/>
            <w:vAlign w:val="bottom"/>
          </w:tcPr>
          <w:p w14:paraId="13A628A9" w14:textId="77777777" w:rsidR="000F5B29" w:rsidRDefault="000F5B29" w:rsidP="00AC3862">
            <w:pPr>
              <w:rPr>
                <w:color w:val="000000"/>
                <w:sz w:val="16"/>
                <w:szCs w:val="16"/>
              </w:rPr>
            </w:pPr>
            <w:r>
              <w:rPr>
                <w:color w:val="000000"/>
                <w:sz w:val="16"/>
                <w:szCs w:val="16"/>
              </w:rPr>
              <w:t>Otros Conceptos</w:t>
            </w:r>
          </w:p>
        </w:tc>
        <w:tc>
          <w:tcPr>
            <w:tcW w:w="748" w:type="dxa"/>
            <w:tcBorders>
              <w:top w:val="nil"/>
              <w:left w:val="nil"/>
              <w:right w:val="nil"/>
            </w:tcBorders>
            <w:shd w:val="clear" w:color="000000" w:fill="F2F2F2"/>
            <w:noWrap/>
            <w:vAlign w:val="bottom"/>
          </w:tcPr>
          <w:p w14:paraId="68728E92" w14:textId="77777777" w:rsidR="000F5B29" w:rsidRDefault="000F5B29" w:rsidP="00AC3862">
            <w:pPr>
              <w:jc w:val="right"/>
              <w:rPr>
                <w:color w:val="000000"/>
                <w:sz w:val="16"/>
                <w:szCs w:val="16"/>
              </w:rPr>
            </w:pPr>
            <w:r>
              <w:rPr>
                <w:color w:val="000000"/>
                <w:sz w:val="16"/>
                <w:szCs w:val="16"/>
              </w:rPr>
              <w:t>231.5</w:t>
            </w:r>
          </w:p>
        </w:tc>
        <w:tc>
          <w:tcPr>
            <w:tcW w:w="903" w:type="dxa"/>
            <w:tcBorders>
              <w:top w:val="nil"/>
              <w:left w:val="nil"/>
              <w:right w:val="nil"/>
            </w:tcBorders>
            <w:shd w:val="clear" w:color="000000" w:fill="F2F2F2"/>
            <w:vAlign w:val="bottom"/>
          </w:tcPr>
          <w:p w14:paraId="0DD45334" w14:textId="77777777" w:rsidR="000F5B29" w:rsidRDefault="000F5B29" w:rsidP="00AC3862">
            <w:pPr>
              <w:jc w:val="right"/>
              <w:rPr>
                <w:color w:val="000000"/>
                <w:sz w:val="16"/>
                <w:szCs w:val="16"/>
              </w:rPr>
            </w:pPr>
            <w:r>
              <w:rPr>
                <w:color w:val="000000"/>
                <w:sz w:val="16"/>
                <w:szCs w:val="16"/>
              </w:rPr>
              <w:t>234.5</w:t>
            </w:r>
          </w:p>
        </w:tc>
        <w:tc>
          <w:tcPr>
            <w:tcW w:w="759" w:type="dxa"/>
            <w:tcBorders>
              <w:top w:val="nil"/>
              <w:left w:val="nil"/>
              <w:right w:val="nil"/>
            </w:tcBorders>
            <w:shd w:val="clear" w:color="000000" w:fill="F2F2F2"/>
            <w:vAlign w:val="bottom"/>
          </w:tcPr>
          <w:p w14:paraId="2588B567" w14:textId="77777777" w:rsidR="000F5B29" w:rsidRDefault="000F5B29" w:rsidP="00AC3862">
            <w:pPr>
              <w:jc w:val="right"/>
              <w:rPr>
                <w:color w:val="000000"/>
                <w:sz w:val="16"/>
                <w:szCs w:val="16"/>
              </w:rPr>
            </w:pPr>
            <w:r>
              <w:rPr>
                <w:color w:val="000000"/>
                <w:sz w:val="16"/>
                <w:szCs w:val="16"/>
              </w:rPr>
              <w:t>227.7</w:t>
            </w:r>
          </w:p>
        </w:tc>
        <w:tc>
          <w:tcPr>
            <w:tcW w:w="851" w:type="dxa"/>
            <w:tcBorders>
              <w:top w:val="nil"/>
              <w:left w:val="nil"/>
              <w:right w:val="nil"/>
            </w:tcBorders>
            <w:shd w:val="clear" w:color="000000" w:fill="F2F2F2"/>
            <w:vAlign w:val="bottom"/>
          </w:tcPr>
          <w:p w14:paraId="08A3FD26" w14:textId="77777777" w:rsidR="000F5B29" w:rsidRDefault="000F5B29" w:rsidP="00AC3862">
            <w:pPr>
              <w:jc w:val="right"/>
              <w:rPr>
                <w:color w:val="000000"/>
                <w:sz w:val="16"/>
                <w:szCs w:val="16"/>
              </w:rPr>
            </w:pPr>
            <w:r>
              <w:rPr>
                <w:color w:val="000000"/>
                <w:sz w:val="16"/>
                <w:szCs w:val="16"/>
              </w:rPr>
              <w:t>-3.8</w:t>
            </w:r>
          </w:p>
        </w:tc>
        <w:tc>
          <w:tcPr>
            <w:tcW w:w="752" w:type="dxa"/>
            <w:tcBorders>
              <w:top w:val="nil"/>
              <w:left w:val="nil"/>
              <w:right w:val="nil"/>
            </w:tcBorders>
            <w:shd w:val="clear" w:color="000000" w:fill="F2F2F2"/>
            <w:vAlign w:val="bottom"/>
          </w:tcPr>
          <w:p w14:paraId="16334E49" w14:textId="77777777" w:rsidR="000F5B29" w:rsidRDefault="000F5B29" w:rsidP="00AC3862">
            <w:pPr>
              <w:jc w:val="right"/>
              <w:rPr>
                <w:color w:val="000000"/>
                <w:sz w:val="16"/>
                <w:szCs w:val="16"/>
              </w:rPr>
            </w:pPr>
            <w:r>
              <w:rPr>
                <w:color w:val="000000"/>
                <w:sz w:val="16"/>
                <w:szCs w:val="16"/>
              </w:rPr>
              <w:t>-6.8</w:t>
            </w:r>
          </w:p>
        </w:tc>
        <w:tc>
          <w:tcPr>
            <w:tcW w:w="752" w:type="dxa"/>
            <w:tcBorders>
              <w:top w:val="nil"/>
              <w:left w:val="nil"/>
              <w:right w:val="nil"/>
            </w:tcBorders>
            <w:shd w:val="clear" w:color="000000" w:fill="F2F2F2"/>
            <w:vAlign w:val="bottom"/>
          </w:tcPr>
          <w:p w14:paraId="494EF1D4" w14:textId="77777777" w:rsidR="000F5B29" w:rsidRDefault="000F5B29" w:rsidP="00AC3862">
            <w:pPr>
              <w:jc w:val="right"/>
              <w:rPr>
                <w:color w:val="000000"/>
                <w:sz w:val="16"/>
                <w:szCs w:val="16"/>
              </w:rPr>
            </w:pPr>
            <w:r>
              <w:rPr>
                <w:color w:val="000000"/>
                <w:sz w:val="16"/>
                <w:szCs w:val="16"/>
              </w:rPr>
              <w:t>-5.0</w:t>
            </w:r>
          </w:p>
        </w:tc>
        <w:tc>
          <w:tcPr>
            <w:tcW w:w="752" w:type="dxa"/>
            <w:tcBorders>
              <w:top w:val="nil"/>
              <w:left w:val="nil"/>
              <w:right w:val="nil"/>
            </w:tcBorders>
            <w:shd w:val="clear" w:color="000000" w:fill="F2F2F2"/>
            <w:vAlign w:val="bottom"/>
          </w:tcPr>
          <w:p w14:paraId="74A02B67" w14:textId="77777777" w:rsidR="000F5B29" w:rsidRDefault="000F5B29" w:rsidP="00AC3862">
            <w:pPr>
              <w:jc w:val="right"/>
              <w:rPr>
                <w:color w:val="000000"/>
                <w:sz w:val="16"/>
                <w:szCs w:val="16"/>
              </w:rPr>
            </w:pPr>
            <w:r>
              <w:rPr>
                <w:color w:val="000000"/>
                <w:sz w:val="16"/>
                <w:szCs w:val="16"/>
              </w:rPr>
              <w:t>-6.2</w:t>
            </w:r>
          </w:p>
        </w:tc>
      </w:tr>
      <w:tr w:rsidR="000F5B29" w:rsidRPr="00B75492" w14:paraId="67CA129F" w14:textId="77777777" w:rsidTr="00AC3862">
        <w:trPr>
          <w:trHeight w:val="300"/>
          <w:jc w:val="center"/>
        </w:trPr>
        <w:tc>
          <w:tcPr>
            <w:tcW w:w="2268" w:type="dxa"/>
            <w:tcBorders>
              <w:top w:val="nil"/>
              <w:left w:val="nil"/>
              <w:bottom w:val="single" w:sz="4" w:space="0" w:color="auto"/>
              <w:right w:val="nil"/>
            </w:tcBorders>
            <w:shd w:val="clear" w:color="auto" w:fill="FFFFFF" w:themeFill="background1"/>
            <w:noWrap/>
            <w:vAlign w:val="bottom"/>
          </w:tcPr>
          <w:p w14:paraId="11B62F7B" w14:textId="77777777" w:rsidR="000F5B29" w:rsidRPr="00B75492" w:rsidRDefault="000F5B29" w:rsidP="00AC3862">
            <w:pPr>
              <w:rPr>
                <w:b/>
                <w:bCs/>
                <w:color w:val="000000"/>
                <w:sz w:val="16"/>
                <w:szCs w:val="16"/>
              </w:rPr>
            </w:pPr>
            <w:r w:rsidRPr="00B75492">
              <w:rPr>
                <w:b/>
                <w:bCs/>
                <w:color w:val="000000"/>
                <w:sz w:val="16"/>
                <w:szCs w:val="16"/>
              </w:rPr>
              <w:t>Total</w:t>
            </w:r>
          </w:p>
        </w:tc>
        <w:tc>
          <w:tcPr>
            <w:tcW w:w="748" w:type="dxa"/>
            <w:tcBorders>
              <w:top w:val="nil"/>
              <w:left w:val="nil"/>
              <w:bottom w:val="single" w:sz="4" w:space="0" w:color="auto"/>
              <w:right w:val="nil"/>
            </w:tcBorders>
            <w:shd w:val="clear" w:color="auto" w:fill="FFFFFF" w:themeFill="background1"/>
            <w:noWrap/>
            <w:vAlign w:val="bottom"/>
          </w:tcPr>
          <w:p w14:paraId="15484DAA" w14:textId="77777777" w:rsidR="000F5B29" w:rsidRPr="00B75492" w:rsidRDefault="000F5B29" w:rsidP="00AC3862">
            <w:pPr>
              <w:jc w:val="right"/>
              <w:rPr>
                <w:b/>
                <w:bCs/>
                <w:color w:val="000000"/>
                <w:sz w:val="16"/>
                <w:szCs w:val="16"/>
              </w:rPr>
            </w:pPr>
            <w:r w:rsidRPr="00B75492">
              <w:rPr>
                <w:b/>
                <w:bCs/>
                <w:color w:val="000000"/>
                <w:sz w:val="16"/>
                <w:szCs w:val="16"/>
              </w:rPr>
              <w:t>2,633.3</w:t>
            </w:r>
          </w:p>
        </w:tc>
        <w:tc>
          <w:tcPr>
            <w:tcW w:w="903" w:type="dxa"/>
            <w:tcBorders>
              <w:top w:val="nil"/>
              <w:left w:val="nil"/>
              <w:bottom w:val="single" w:sz="4" w:space="0" w:color="auto"/>
              <w:right w:val="nil"/>
            </w:tcBorders>
            <w:shd w:val="clear" w:color="auto" w:fill="FFFFFF" w:themeFill="background1"/>
            <w:vAlign w:val="bottom"/>
          </w:tcPr>
          <w:p w14:paraId="11D82D48" w14:textId="77777777" w:rsidR="000F5B29" w:rsidRPr="00B75492" w:rsidRDefault="000F5B29" w:rsidP="00AC3862">
            <w:pPr>
              <w:jc w:val="right"/>
              <w:rPr>
                <w:b/>
                <w:bCs/>
                <w:color w:val="000000"/>
                <w:sz w:val="16"/>
                <w:szCs w:val="16"/>
              </w:rPr>
            </w:pPr>
            <w:r w:rsidRPr="00B75492">
              <w:rPr>
                <w:b/>
                <w:bCs/>
                <w:color w:val="000000"/>
                <w:sz w:val="16"/>
                <w:szCs w:val="16"/>
              </w:rPr>
              <w:t>2,636.3</w:t>
            </w:r>
          </w:p>
        </w:tc>
        <w:tc>
          <w:tcPr>
            <w:tcW w:w="759" w:type="dxa"/>
            <w:tcBorders>
              <w:top w:val="nil"/>
              <w:left w:val="nil"/>
              <w:bottom w:val="single" w:sz="4" w:space="0" w:color="auto"/>
              <w:right w:val="nil"/>
            </w:tcBorders>
            <w:shd w:val="clear" w:color="auto" w:fill="FFFFFF" w:themeFill="background1"/>
            <w:vAlign w:val="bottom"/>
          </w:tcPr>
          <w:p w14:paraId="2D4DD150" w14:textId="77777777" w:rsidR="000F5B29" w:rsidRPr="00B75492" w:rsidRDefault="000F5B29" w:rsidP="00AC3862">
            <w:pPr>
              <w:jc w:val="right"/>
              <w:rPr>
                <w:b/>
                <w:bCs/>
                <w:color w:val="000000"/>
                <w:sz w:val="16"/>
                <w:szCs w:val="16"/>
              </w:rPr>
            </w:pPr>
            <w:r w:rsidRPr="00B75492">
              <w:rPr>
                <w:b/>
                <w:bCs/>
                <w:color w:val="000000"/>
                <w:sz w:val="16"/>
                <w:szCs w:val="16"/>
              </w:rPr>
              <w:t>2,810.8</w:t>
            </w:r>
          </w:p>
        </w:tc>
        <w:tc>
          <w:tcPr>
            <w:tcW w:w="851" w:type="dxa"/>
            <w:tcBorders>
              <w:top w:val="nil"/>
              <w:left w:val="nil"/>
              <w:bottom w:val="single" w:sz="4" w:space="0" w:color="auto"/>
              <w:right w:val="nil"/>
            </w:tcBorders>
            <w:shd w:val="clear" w:color="auto" w:fill="FFFFFF" w:themeFill="background1"/>
            <w:vAlign w:val="bottom"/>
          </w:tcPr>
          <w:p w14:paraId="1D63BFB5" w14:textId="77777777" w:rsidR="000F5B29" w:rsidRPr="00B75492" w:rsidRDefault="000F5B29" w:rsidP="00AC3862">
            <w:pPr>
              <w:jc w:val="right"/>
              <w:rPr>
                <w:b/>
                <w:bCs/>
                <w:color w:val="000000"/>
                <w:sz w:val="16"/>
                <w:szCs w:val="16"/>
              </w:rPr>
            </w:pPr>
            <w:r w:rsidRPr="00B75492">
              <w:rPr>
                <w:b/>
                <w:bCs/>
                <w:color w:val="000000"/>
                <w:sz w:val="16"/>
                <w:szCs w:val="16"/>
              </w:rPr>
              <w:t>177.5</w:t>
            </w:r>
          </w:p>
        </w:tc>
        <w:tc>
          <w:tcPr>
            <w:tcW w:w="752" w:type="dxa"/>
            <w:tcBorders>
              <w:top w:val="nil"/>
              <w:left w:val="nil"/>
              <w:bottom w:val="single" w:sz="4" w:space="0" w:color="auto"/>
              <w:right w:val="nil"/>
            </w:tcBorders>
            <w:shd w:val="clear" w:color="auto" w:fill="FFFFFF" w:themeFill="background1"/>
            <w:vAlign w:val="bottom"/>
          </w:tcPr>
          <w:p w14:paraId="16BE4DD6" w14:textId="77777777" w:rsidR="000F5B29" w:rsidRPr="00B75492" w:rsidRDefault="000F5B29" w:rsidP="00AC3862">
            <w:pPr>
              <w:jc w:val="right"/>
              <w:rPr>
                <w:b/>
                <w:bCs/>
                <w:color w:val="000000"/>
                <w:sz w:val="16"/>
                <w:szCs w:val="16"/>
              </w:rPr>
            </w:pPr>
            <w:r w:rsidRPr="00B75492">
              <w:rPr>
                <w:b/>
                <w:bCs/>
                <w:color w:val="000000"/>
                <w:sz w:val="16"/>
                <w:szCs w:val="16"/>
              </w:rPr>
              <w:t>174.5</w:t>
            </w:r>
          </w:p>
        </w:tc>
        <w:tc>
          <w:tcPr>
            <w:tcW w:w="752" w:type="dxa"/>
            <w:tcBorders>
              <w:top w:val="nil"/>
              <w:left w:val="nil"/>
              <w:bottom w:val="single" w:sz="4" w:space="0" w:color="auto"/>
              <w:right w:val="nil"/>
            </w:tcBorders>
            <w:shd w:val="clear" w:color="auto" w:fill="FFFFFF" w:themeFill="background1"/>
            <w:vAlign w:val="bottom"/>
          </w:tcPr>
          <w:p w14:paraId="1DBCBE5F" w14:textId="77777777" w:rsidR="000F5B29" w:rsidRPr="00B75492" w:rsidRDefault="000F5B29" w:rsidP="00AC3862">
            <w:pPr>
              <w:jc w:val="right"/>
              <w:rPr>
                <w:b/>
                <w:bCs/>
                <w:color w:val="000000"/>
                <w:sz w:val="16"/>
                <w:szCs w:val="16"/>
              </w:rPr>
            </w:pPr>
            <w:r w:rsidRPr="00B75492">
              <w:rPr>
                <w:b/>
                <w:bCs/>
                <w:color w:val="000000"/>
                <w:sz w:val="16"/>
                <w:szCs w:val="16"/>
              </w:rPr>
              <w:t>3.1</w:t>
            </w:r>
          </w:p>
        </w:tc>
        <w:tc>
          <w:tcPr>
            <w:tcW w:w="752" w:type="dxa"/>
            <w:tcBorders>
              <w:top w:val="nil"/>
              <w:left w:val="nil"/>
              <w:bottom w:val="single" w:sz="4" w:space="0" w:color="auto"/>
              <w:right w:val="nil"/>
            </w:tcBorders>
            <w:shd w:val="clear" w:color="auto" w:fill="FFFFFF" w:themeFill="background1"/>
            <w:vAlign w:val="bottom"/>
          </w:tcPr>
          <w:p w14:paraId="6CDFFBC1" w14:textId="77777777" w:rsidR="000F5B29" w:rsidRPr="00B75492" w:rsidRDefault="000F5B29" w:rsidP="00AC3862">
            <w:pPr>
              <w:jc w:val="right"/>
              <w:rPr>
                <w:b/>
                <w:bCs/>
                <w:color w:val="000000"/>
                <w:sz w:val="16"/>
                <w:szCs w:val="16"/>
              </w:rPr>
            </w:pPr>
            <w:r w:rsidRPr="00B75492">
              <w:rPr>
                <w:b/>
                <w:bCs/>
                <w:color w:val="000000"/>
                <w:sz w:val="16"/>
                <w:szCs w:val="16"/>
              </w:rPr>
              <w:t>3.0</w:t>
            </w:r>
          </w:p>
        </w:tc>
      </w:tr>
    </w:tbl>
    <w:p w14:paraId="4E39532C" w14:textId="77777777" w:rsidR="000F5B29" w:rsidRPr="00541030" w:rsidRDefault="000F5B29" w:rsidP="000F5B29">
      <w:pPr>
        <w:pStyle w:val="PRIMERAPLANA"/>
        <w:spacing w:line="360" w:lineRule="auto"/>
        <w:rPr>
          <w:rFonts w:ascii="Times New Roman" w:hAnsi="Times New Roman"/>
          <w:bCs/>
          <w:sz w:val="14"/>
          <w:szCs w:val="14"/>
        </w:rPr>
      </w:pPr>
      <w:r w:rsidRPr="00541030">
        <w:rPr>
          <w:rFonts w:ascii="Times New Roman" w:hAnsi="Times New Roman"/>
          <w:bCs/>
          <w:sz w:val="14"/>
          <w:szCs w:val="14"/>
        </w:rPr>
        <w:t>a/ Aprobado.</w:t>
      </w:r>
    </w:p>
    <w:p w14:paraId="0838B107" w14:textId="77777777" w:rsidR="000F5B29" w:rsidRPr="00541030" w:rsidRDefault="000F5B29" w:rsidP="000F5B29">
      <w:pPr>
        <w:pStyle w:val="PRIMERAPLANA"/>
        <w:spacing w:line="360" w:lineRule="auto"/>
        <w:rPr>
          <w:rFonts w:ascii="Times New Roman" w:hAnsi="Times New Roman"/>
          <w:bCs/>
          <w:sz w:val="14"/>
          <w:szCs w:val="14"/>
        </w:rPr>
      </w:pPr>
      <w:r w:rsidRPr="00541030">
        <w:rPr>
          <w:rFonts w:ascii="Times New Roman" w:hAnsi="Times New Roman"/>
          <w:bCs/>
          <w:sz w:val="14"/>
          <w:szCs w:val="14"/>
        </w:rPr>
        <w:t>p/ Proyecto.</w:t>
      </w:r>
    </w:p>
    <w:p w14:paraId="01EC1E8E" w14:textId="77777777" w:rsidR="000F5B29" w:rsidRPr="00541030" w:rsidRDefault="000F5B29" w:rsidP="000F5B29">
      <w:pPr>
        <w:pStyle w:val="PRIMERAPLANA"/>
        <w:spacing w:line="360" w:lineRule="auto"/>
        <w:rPr>
          <w:rFonts w:ascii="Times New Roman" w:hAnsi="Times New Roman"/>
          <w:bCs/>
          <w:sz w:val="14"/>
          <w:szCs w:val="14"/>
        </w:rPr>
      </w:pPr>
      <w:r w:rsidRPr="00541030">
        <w:rPr>
          <w:rFonts w:ascii="Times New Roman" w:hAnsi="Times New Roman"/>
          <w:bCs/>
          <w:sz w:val="14"/>
          <w:szCs w:val="14"/>
        </w:rPr>
        <w:t>1/ Incluye Aportaciones ISSSTE.</w:t>
      </w:r>
    </w:p>
    <w:p w14:paraId="5A5CEC3A" w14:textId="77777777" w:rsidR="000F5B29" w:rsidRPr="00541030" w:rsidRDefault="000F5B29" w:rsidP="000F5B29">
      <w:pPr>
        <w:pStyle w:val="PRIMERAPLANA"/>
        <w:spacing w:line="360" w:lineRule="auto"/>
        <w:rPr>
          <w:rFonts w:ascii="Times New Roman" w:hAnsi="Times New Roman"/>
          <w:bCs/>
          <w:sz w:val="14"/>
          <w:szCs w:val="14"/>
        </w:rPr>
      </w:pPr>
      <w:r w:rsidRPr="00541030">
        <w:rPr>
          <w:rFonts w:ascii="Times New Roman" w:hAnsi="Times New Roman"/>
          <w:bCs/>
          <w:sz w:val="14"/>
          <w:szCs w:val="14"/>
        </w:rPr>
        <w:t>Fuente: SHCP.</w:t>
      </w:r>
    </w:p>
    <w:p w14:paraId="5E456B4A" w14:textId="77777777" w:rsidR="000F5B29" w:rsidRDefault="000F5B29" w:rsidP="00CE2445">
      <w:pPr>
        <w:spacing w:line="360" w:lineRule="auto"/>
        <w:jc w:val="both"/>
        <w:rPr>
          <w:sz w:val="20"/>
          <w:szCs w:val="20"/>
        </w:rPr>
      </w:pPr>
    </w:p>
    <w:p w14:paraId="11B0CA74" w14:textId="77777777" w:rsidR="000F5B29" w:rsidRPr="007D1162" w:rsidRDefault="000F5B29" w:rsidP="000F5B29">
      <w:pPr>
        <w:pStyle w:val="PRIMERAPLANA"/>
        <w:spacing w:line="360" w:lineRule="auto"/>
        <w:rPr>
          <w:rFonts w:ascii="Times New Roman" w:hAnsi="Times New Roman"/>
          <w:bCs/>
        </w:rPr>
      </w:pPr>
      <w:r w:rsidRPr="007D1162">
        <w:rPr>
          <w:rFonts w:ascii="Times New Roman" w:hAnsi="Times New Roman"/>
          <w:bCs/>
        </w:rPr>
        <w:t xml:space="preserve">La política fiscal que </w:t>
      </w:r>
      <w:r>
        <w:rPr>
          <w:rFonts w:ascii="Times New Roman" w:hAnsi="Times New Roman"/>
          <w:bCs/>
        </w:rPr>
        <w:t xml:space="preserve">el Gobierno del Estado </w:t>
      </w:r>
      <w:r w:rsidRPr="007D1162">
        <w:rPr>
          <w:rFonts w:ascii="Times New Roman" w:hAnsi="Times New Roman"/>
          <w:bCs/>
        </w:rPr>
        <w:t>implementará en el ejercicio 202</w:t>
      </w:r>
      <w:r>
        <w:rPr>
          <w:rFonts w:ascii="Times New Roman" w:hAnsi="Times New Roman"/>
          <w:bCs/>
        </w:rPr>
        <w:t>6</w:t>
      </w:r>
      <w:r w:rsidRPr="007D1162">
        <w:rPr>
          <w:rFonts w:ascii="Times New Roman" w:hAnsi="Times New Roman"/>
          <w:bCs/>
        </w:rPr>
        <w:t>, tendrá como finalidad mantener un balance presupuestario positivo, procurando que las fuentes de ingreso financien el gasto del ejercicio, por lo que se es</w:t>
      </w:r>
      <w:r>
        <w:rPr>
          <w:rFonts w:ascii="Times New Roman" w:hAnsi="Times New Roman"/>
          <w:bCs/>
        </w:rPr>
        <w:t>pera</w:t>
      </w:r>
      <w:r w:rsidRPr="007D1162">
        <w:rPr>
          <w:rFonts w:ascii="Times New Roman" w:hAnsi="Times New Roman"/>
          <w:bCs/>
        </w:rPr>
        <w:t xml:space="preserve"> que se sigan registrando márgenes operativos positivos al cierre de 202</w:t>
      </w:r>
      <w:r>
        <w:rPr>
          <w:rFonts w:ascii="Times New Roman" w:hAnsi="Times New Roman"/>
          <w:bCs/>
        </w:rPr>
        <w:t>5</w:t>
      </w:r>
      <w:r w:rsidRPr="007D1162">
        <w:rPr>
          <w:rFonts w:ascii="Times New Roman" w:hAnsi="Times New Roman"/>
          <w:bCs/>
        </w:rPr>
        <w:t xml:space="preserve"> y en 202</w:t>
      </w:r>
      <w:r>
        <w:rPr>
          <w:rFonts w:ascii="Times New Roman" w:hAnsi="Times New Roman"/>
          <w:bCs/>
        </w:rPr>
        <w:t>6</w:t>
      </w:r>
      <w:r w:rsidRPr="007D1162">
        <w:rPr>
          <w:rFonts w:ascii="Times New Roman" w:hAnsi="Times New Roman"/>
          <w:bCs/>
        </w:rPr>
        <w:t>, pero menores a los registrados en ejercicios anteriores. Los resultados financieros balanceados y la política de deuda conservadora, han permitido que desde el ejercicio 2008 el Estado de Tlaxcala haya registrado una posición libre de endeudamiento.</w:t>
      </w:r>
    </w:p>
    <w:p w14:paraId="46537FEF" w14:textId="77777777" w:rsidR="000F5B29" w:rsidRPr="007D1162" w:rsidRDefault="000F5B29" w:rsidP="000F5B29">
      <w:pPr>
        <w:pStyle w:val="PRIMERAPLANA"/>
        <w:spacing w:line="360" w:lineRule="auto"/>
        <w:rPr>
          <w:rFonts w:ascii="Times New Roman" w:hAnsi="Times New Roman"/>
          <w:bCs/>
        </w:rPr>
      </w:pPr>
    </w:p>
    <w:p w14:paraId="0C5FCBB8" w14:textId="77777777" w:rsidR="000F5B29" w:rsidRPr="007D1162" w:rsidRDefault="000F5B29" w:rsidP="000F5B29">
      <w:pPr>
        <w:pStyle w:val="PRIMERAPLANA"/>
        <w:spacing w:line="360" w:lineRule="auto"/>
        <w:rPr>
          <w:rFonts w:ascii="Times New Roman" w:hAnsi="Times New Roman"/>
          <w:bCs/>
        </w:rPr>
      </w:pPr>
      <w:r>
        <w:rPr>
          <w:rFonts w:ascii="Times New Roman" w:hAnsi="Times New Roman"/>
          <w:bCs/>
        </w:rPr>
        <w:t>C</w:t>
      </w:r>
      <w:r w:rsidRPr="007D1162">
        <w:rPr>
          <w:rFonts w:ascii="Times New Roman" w:hAnsi="Times New Roman"/>
          <w:bCs/>
        </w:rPr>
        <w:t>on la finalidad de controlar el crecimiento del gasto</w:t>
      </w:r>
      <w:r>
        <w:rPr>
          <w:rFonts w:ascii="Times New Roman" w:hAnsi="Times New Roman"/>
          <w:bCs/>
        </w:rPr>
        <w:t xml:space="preserve"> se</w:t>
      </w:r>
      <w:r w:rsidRPr="007D1162">
        <w:rPr>
          <w:rFonts w:ascii="Times New Roman" w:hAnsi="Times New Roman"/>
          <w:bCs/>
        </w:rPr>
        <w:t xml:space="preserve"> estableci</w:t>
      </w:r>
      <w:r>
        <w:rPr>
          <w:rFonts w:ascii="Times New Roman" w:hAnsi="Times New Roman"/>
          <w:bCs/>
        </w:rPr>
        <w:t>eron</w:t>
      </w:r>
      <w:r w:rsidRPr="007D1162">
        <w:rPr>
          <w:rFonts w:ascii="Times New Roman" w:hAnsi="Times New Roman"/>
          <w:bCs/>
        </w:rPr>
        <w:t xml:space="preserve"> topes a ciertos rubros del gasto</w:t>
      </w:r>
      <w:r>
        <w:rPr>
          <w:rFonts w:ascii="Times New Roman" w:hAnsi="Times New Roman"/>
          <w:bCs/>
        </w:rPr>
        <w:t xml:space="preserve">, mediante el </w:t>
      </w:r>
      <w:r w:rsidRPr="007D1162">
        <w:rPr>
          <w:rFonts w:ascii="Times New Roman" w:hAnsi="Times New Roman"/>
          <w:bCs/>
        </w:rPr>
        <w:t xml:space="preserve">Acuerdo que Establece los Lineamientos y Políticas Generales del Ejercicio del </w:t>
      </w:r>
      <w:r w:rsidRPr="007D1162">
        <w:rPr>
          <w:rFonts w:ascii="Times New Roman" w:hAnsi="Times New Roman"/>
          <w:bCs/>
        </w:rPr>
        <w:lastRenderedPageBreak/>
        <w:t>Presupuesto, las Medidas de Mejora y Modernización, así como de Austeridad del Gasto Público de la Gestión Administrativa</w:t>
      </w:r>
      <w:r>
        <w:rPr>
          <w:rFonts w:ascii="Times New Roman" w:hAnsi="Times New Roman"/>
          <w:bCs/>
        </w:rPr>
        <w:t>,</w:t>
      </w:r>
      <w:r w:rsidRPr="007D1162">
        <w:rPr>
          <w:rFonts w:ascii="Times New Roman" w:hAnsi="Times New Roman"/>
          <w:bCs/>
        </w:rPr>
        <w:t xml:space="preserve"> limita</w:t>
      </w:r>
      <w:r>
        <w:rPr>
          <w:rFonts w:ascii="Times New Roman" w:hAnsi="Times New Roman"/>
          <w:bCs/>
        </w:rPr>
        <w:t>ndo</w:t>
      </w:r>
      <w:r w:rsidRPr="007D1162">
        <w:rPr>
          <w:rFonts w:ascii="Times New Roman" w:hAnsi="Times New Roman"/>
          <w:bCs/>
        </w:rPr>
        <w:t xml:space="preserve"> el crecimiento del presupuesto.</w:t>
      </w:r>
    </w:p>
    <w:p w14:paraId="521707CB" w14:textId="77777777" w:rsidR="000F5B29" w:rsidRPr="007D1162" w:rsidRDefault="000F5B29" w:rsidP="000F5B29">
      <w:pPr>
        <w:pStyle w:val="PRIMERAPLANA"/>
        <w:spacing w:line="360" w:lineRule="auto"/>
        <w:rPr>
          <w:rFonts w:ascii="Times New Roman" w:hAnsi="Times New Roman"/>
          <w:bCs/>
        </w:rPr>
      </w:pPr>
    </w:p>
    <w:p w14:paraId="1434BCE5" w14:textId="4F9F475F" w:rsidR="000F5B29" w:rsidRPr="007D1162" w:rsidRDefault="000F5B29" w:rsidP="000F5B29">
      <w:pPr>
        <w:pStyle w:val="PRIMERAPLANA"/>
        <w:spacing w:line="360" w:lineRule="auto"/>
        <w:rPr>
          <w:rFonts w:ascii="Times New Roman" w:hAnsi="Times New Roman"/>
          <w:bCs/>
        </w:rPr>
      </w:pPr>
      <w:r w:rsidRPr="007D1162">
        <w:rPr>
          <w:rFonts w:ascii="Times New Roman" w:hAnsi="Times New Roman"/>
          <w:bCs/>
        </w:rPr>
        <w:t>Se estima que para 202</w:t>
      </w:r>
      <w:r>
        <w:rPr>
          <w:rFonts w:ascii="Times New Roman" w:hAnsi="Times New Roman"/>
          <w:bCs/>
        </w:rPr>
        <w:t>6</w:t>
      </w:r>
      <w:r w:rsidRPr="007D1162">
        <w:rPr>
          <w:rFonts w:ascii="Times New Roman" w:hAnsi="Times New Roman"/>
          <w:bCs/>
        </w:rPr>
        <w:t>, los ingresos propios se mantengan en niveles similares a los de 202</w:t>
      </w:r>
      <w:r>
        <w:rPr>
          <w:rFonts w:ascii="Times New Roman" w:hAnsi="Times New Roman"/>
          <w:bCs/>
        </w:rPr>
        <w:t>5</w:t>
      </w:r>
      <w:r w:rsidRPr="007D1162">
        <w:rPr>
          <w:rFonts w:ascii="Times New Roman" w:hAnsi="Times New Roman"/>
          <w:bCs/>
        </w:rPr>
        <w:t xml:space="preserve">, en línea con las previsiones efectuadas por el Gobierno Federal, considerando que los recursos destinados a las entidades federativas por participaciones, </w:t>
      </w:r>
      <w:r>
        <w:rPr>
          <w:rFonts w:ascii="Times New Roman" w:hAnsi="Times New Roman"/>
          <w:bCs/>
        </w:rPr>
        <w:t xml:space="preserve">al primer semestre de 2025 </w:t>
      </w:r>
      <w:r w:rsidRPr="007D1162">
        <w:rPr>
          <w:rFonts w:ascii="Times New Roman" w:hAnsi="Times New Roman"/>
          <w:bCs/>
        </w:rPr>
        <w:t>corresponde a 6</w:t>
      </w:r>
      <w:r>
        <w:rPr>
          <w:rFonts w:ascii="Times New Roman" w:hAnsi="Times New Roman"/>
          <w:bCs/>
        </w:rPr>
        <w:t>32</w:t>
      </w:r>
      <w:r w:rsidRPr="007D1162">
        <w:rPr>
          <w:rFonts w:ascii="Times New Roman" w:hAnsi="Times New Roman"/>
          <w:bCs/>
        </w:rPr>
        <w:t>,</w:t>
      </w:r>
      <w:r>
        <w:rPr>
          <w:rFonts w:ascii="Times New Roman" w:hAnsi="Times New Roman"/>
          <w:bCs/>
        </w:rPr>
        <w:t>369</w:t>
      </w:r>
      <w:r w:rsidRPr="007D1162">
        <w:rPr>
          <w:rFonts w:ascii="Times New Roman" w:hAnsi="Times New Roman"/>
          <w:bCs/>
        </w:rPr>
        <w:t>.</w:t>
      </w:r>
      <w:r>
        <w:rPr>
          <w:rFonts w:ascii="Times New Roman" w:hAnsi="Times New Roman"/>
          <w:bCs/>
        </w:rPr>
        <w:t>1</w:t>
      </w:r>
      <w:r w:rsidRPr="007D1162">
        <w:rPr>
          <w:rFonts w:ascii="Times New Roman" w:hAnsi="Times New Roman"/>
          <w:bCs/>
        </w:rPr>
        <w:t xml:space="preserve"> millones de pesos, lo que representa un crecimiento de</w:t>
      </w:r>
      <w:r>
        <w:rPr>
          <w:rFonts w:ascii="Times New Roman" w:hAnsi="Times New Roman"/>
          <w:bCs/>
        </w:rPr>
        <w:t>l</w:t>
      </w:r>
      <w:r w:rsidRPr="007D1162">
        <w:rPr>
          <w:rFonts w:ascii="Times New Roman" w:hAnsi="Times New Roman"/>
          <w:bCs/>
        </w:rPr>
        <w:t xml:space="preserve"> </w:t>
      </w:r>
      <w:r>
        <w:rPr>
          <w:rFonts w:ascii="Times New Roman" w:hAnsi="Times New Roman"/>
          <w:bCs/>
        </w:rPr>
        <w:t>3.6</w:t>
      </w:r>
      <w:r w:rsidRPr="007D1162">
        <w:rPr>
          <w:rFonts w:ascii="Times New Roman" w:hAnsi="Times New Roman"/>
          <w:bCs/>
        </w:rPr>
        <w:t>% con respecto a lo programado.</w:t>
      </w:r>
      <w:r w:rsidR="00F34DCB">
        <w:rPr>
          <w:rFonts w:ascii="Times New Roman" w:hAnsi="Times New Roman"/>
          <w:bCs/>
        </w:rPr>
        <w:t xml:space="preserve"> </w:t>
      </w:r>
      <w:r w:rsidRPr="007D1162">
        <w:rPr>
          <w:rFonts w:ascii="Times New Roman" w:hAnsi="Times New Roman"/>
          <w:bCs/>
        </w:rPr>
        <w:t>La liquidez del Estado de Tlaxcala es un factor que permite enfrentar choques externos imprevistos, por lo que se espera que el efectivo del Estado cubra al menos el 0.</w:t>
      </w:r>
      <w:r>
        <w:rPr>
          <w:rFonts w:ascii="Times New Roman" w:hAnsi="Times New Roman"/>
          <w:bCs/>
        </w:rPr>
        <w:t>6</w:t>
      </w:r>
      <w:r w:rsidRPr="007D1162">
        <w:rPr>
          <w:rFonts w:ascii="Times New Roman" w:hAnsi="Times New Roman"/>
          <w:bCs/>
        </w:rPr>
        <w:t>% de los pasivos promedio para 202</w:t>
      </w:r>
      <w:r>
        <w:rPr>
          <w:rFonts w:ascii="Times New Roman" w:hAnsi="Times New Roman"/>
          <w:bCs/>
        </w:rPr>
        <w:t>5</w:t>
      </w:r>
      <w:r w:rsidRPr="007D1162">
        <w:rPr>
          <w:rFonts w:ascii="Times New Roman" w:hAnsi="Times New Roman"/>
          <w:bCs/>
        </w:rPr>
        <w:t xml:space="preserve"> y 202</w:t>
      </w:r>
      <w:r>
        <w:rPr>
          <w:rFonts w:ascii="Times New Roman" w:hAnsi="Times New Roman"/>
          <w:bCs/>
        </w:rPr>
        <w:t>6</w:t>
      </w:r>
      <w:r w:rsidRPr="007D1162">
        <w:rPr>
          <w:rFonts w:ascii="Times New Roman" w:hAnsi="Times New Roman"/>
          <w:bCs/>
        </w:rPr>
        <w:t>, como resultado del buen manejo del presupuesto.</w:t>
      </w:r>
    </w:p>
    <w:p w14:paraId="463F67D2" w14:textId="77777777" w:rsidR="000F5B29" w:rsidRPr="007D1162" w:rsidRDefault="000F5B29" w:rsidP="000F5B29">
      <w:pPr>
        <w:pStyle w:val="PRIMERAPLANA"/>
        <w:spacing w:line="360" w:lineRule="auto"/>
        <w:rPr>
          <w:rFonts w:ascii="Times New Roman" w:hAnsi="Times New Roman"/>
          <w:bCs/>
        </w:rPr>
      </w:pPr>
    </w:p>
    <w:p w14:paraId="097EB9D6" w14:textId="7939421A" w:rsidR="000F5B29" w:rsidRPr="007D1162" w:rsidRDefault="000F5B29" w:rsidP="000F5B29">
      <w:pPr>
        <w:pStyle w:val="PRIMERAPLANA"/>
        <w:spacing w:line="360" w:lineRule="auto"/>
        <w:rPr>
          <w:rFonts w:ascii="Times New Roman" w:hAnsi="Times New Roman"/>
          <w:bCs/>
        </w:rPr>
      </w:pPr>
      <w:r w:rsidRPr="007D1162">
        <w:rPr>
          <w:rFonts w:ascii="Times New Roman" w:hAnsi="Times New Roman"/>
          <w:bCs/>
        </w:rPr>
        <w:t>La Iniciativa de Ley Ingresos del Estado de Tlaxcala</w:t>
      </w:r>
      <w:r>
        <w:rPr>
          <w:rFonts w:ascii="Times New Roman" w:hAnsi="Times New Roman"/>
          <w:bCs/>
        </w:rPr>
        <w:t>,</w:t>
      </w:r>
      <w:r w:rsidRPr="007D1162">
        <w:rPr>
          <w:rFonts w:ascii="Times New Roman" w:hAnsi="Times New Roman"/>
          <w:bCs/>
        </w:rPr>
        <w:t xml:space="preserve"> para el Ejercicio Fiscal 202</w:t>
      </w:r>
      <w:r>
        <w:rPr>
          <w:rFonts w:ascii="Times New Roman" w:hAnsi="Times New Roman"/>
          <w:bCs/>
        </w:rPr>
        <w:t>6</w:t>
      </w:r>
      <w:r w:rsidRPr="007D1162">
        <w:rPr>
          <w:rFonts w:ascii="Times New Roman" w:hAnsi="Times New Roman"/>
          <w:bCs/>
        </w:rPr>
        <w:t xml:space="preserve">, presentada ante ese Congreso del Estado, establece una estimación con base en las cifras consideradas por la </w:t>
      </w:r>
      <w:r w:rsidR="000E6552">
        <w:rPr>
          <w:rFonts w:ascii="Times New Roman" w:hAnsi="Times New Roman"/>
          <w:bCs/>
        </w:rPr>
        <w:t>SHCP</w:t>
      </w:r>
      <w:r w:rsidRPr="007D1162">
        <w:rPr>
          <w:rFonts w:ascii="Times New Roman" w:hAnsi="Times New Roman"/>
          <w:bCs/>
        </w:rPr>
        <w:t xml:space="preserve"> para el ejercicio 202</w:t>
      </w:r>
      <w:r>
        <w:rPr>
          <w:rFonts w:ascii="Times New Roman" w:hAnsi="Times New Roman"/>
          <w:bCs/>
        </w:rPr>
        <w:t>6</w:t>
      </w:r>
      <w:r w:rsidRPr="007D1162">
        <w:rPr>
          <w:rFonts w:ascii="Times New Roman" w:hAnsi="Times New Roman"/>
          <w:bCs/>
        </w:rPr>
        <w:t>, correspondientes a los conceptos por los cuales el Gobierno del Estado obtendrá los recursos económicos que requiere para la realización de sus funciones.</w:t>
      </w:r>
    </w:p>
    <w:p w14:paraId="5DABF259" w14:textId="77777777" w:rsidR="000F5B29" w:rsidRPr="007D1162" w:rsidRDefault="000F5B29" w:rsidP="000F5B29">
      <w:pPr>
        <w:pStyle w:val="PRIMERAPLANA"/>
        <w:spacing w:line="360" w:lineRule="auto"/>
        <w:rPr>
          <w:rFonts w:ascii="Times New Roman" w:hAnsi="Times New Roman"/>
          <w:bCs/>
        </w:rPr>
      </w:pPr>
    </w:p>
    <w:p w14:paraId="108374DF" w14:textId="20DD34FD" w:rsidR="00A4763F" w:rsidRDefault="000F5B29" w:rsidP="00CE2445">
      <w:pPr>
        <w:spacing w:line="360" w:lineRule="auto"/>
        <w:jc w:val="both"/>
        <w:rPr>
          <w:sz w:val="20"/>
          <w:szCs w:val="20"/>
        </w:rPr>
      </w:pPr>
      <w:r w:rsidRPr="007D1162">
        <w:rPr>
          <w:bCs/>
          <w:sz w:val="20"/>
          <w:szCs w:val="20"/>
          <w:lang w:val="es-ES_tradnl"/>
        </w:rPr>
        <w:t xml:space="preserve">El comportamiento de los ingresos derivados de fuentes locales en los últimos 5 años, ha presentado un comportamiento creciente, derivado de las acciones implementadas, enfocadas a la simplificación administrativa y a la mejora en la prestación de servicios a la ciudadanía; sin embargo, durante el ejercicio 2020 esta estabilidad se vio afectada por los efectos de la pandemia ocasionada por </w:t>
      </w:r>
      <w:r>
        <w:rPr>
          <w:bCs/>
          <w:sz w:val="20"/>
          <w:szCs w:val="20"/>
          <w:lang w:val="es-ES_tradnl"/>
        </w:rPr>
        <w:t>el</w:t>
      </w:r>
      <w:r w:rsidRPr="007D1162">
        <w:rPr>
          <w:bCs/>
          <w:sz w:val="20"/>
          <w:szCs w:val="20"/>
          <w:lang w:val="es-ES_tradnl"/>
        </w:rPr>
        <w:t xml:space="preserve"> COVID-19</w:t>
      </w:r>
      <w:r>
        <w:rPr>
          <w:bCs/>
          <w:sz w:val="20"/>
          <w:szCs w:val="20"/>
          <w:lang w:val="es-ES_tradnl"/>
        </w:rPr>
        <w:t>.</w:t>
      </w:r>
    </w:p>
    <w:p w14:paraId="47C8BC3E" w14:textId="77777777" w:rsidR="000F5B29" w:rsidRPr="00906252" w:rsidRDefault="000F5B29" w:rsidP="000F5B29">
      <w:pPr>
        <w:spacing w:line="360" w:lineRule="auto"/>
        <w:jc w:val="center"/>
        <w:rPr>
          <w:b/>
          <w:sz w:val="20"/>
          <w:szCs w:val="22"/>
        </w:rPr>
      </w:pPr>
      <w:r w:rsidRPr="00906252">
        <w:rPr>
          <w:b/>
          <w:sz w:val="20"/>
          <w:szCs w:val="22"/>
        </w:rPr>
        <w:t>RECAUDACIÓN DE INGRESOS LOCALES 202</w:t>
      </w:r>
      <w:r>
        <w:rPr>
          <w:b/>
          <w:sz w:val="20"/>
          <w:szCs w:val="22"/>
        </w:rPr>
        <w:t>1</w:t>
      </w:r>
      <w:r w:rsidRPr="00906252">
        <w:rPr>
          <w:b/>
          <w:sz w:val="20"/>
          <w:szCs w:val="22"/>
        </w:rPr>
        <w:t>-202</w:t>
      </w:r>
      <w:r>
        <w:rPr>
          <w:b/>
          <w:sz w:val="20"/>
          <w:szCs w:val="22"/>
        </w:rPr>
        <w:t>5</w:t>
      </w:r>
      <w:r w:rsidRPr="00906252">
        <w:rPr>
          <w:b/>
          <w:sz w:val="20"/>
          <w:szCs w:val="22"/>
        </w:rPr>
        <w:t>* (</w:t>
      </w:r>
      <w:proofErr w:type="spellStart"/>
      <w:r w:rsidRPr="00906252">
        <w:rPr>
          <w:b/>
          <w:sz w:val="20"/>
          <w:szCs w:val="22"/>
        </w:rPr>
        <w:t>Mdp</w:t>
      </w:r>
      <w:proofErr w:type="spellEnd"/>
      <w:r w:rsidRPr="00906252">
        <w:rPr>
          <w:b/>
          <w:sz w:val="20"/>
          <w:szCs w:val="22"/>
        </w:rPr>
        <w:t>)</w:t>
      </w:r>
    </w:p>
    <w:tbl>
      <w:tblPr>
        <w:tblW w:w="8240" w:type="dxa"/>
        <w:tblLayout w:type="fixed"/>
        <w:tblCellMar>
          <w:left w:w="70" w:type="dxa"/>
          <w:right w:w="70" w:type="dxa"/>
        </w:tblCellMar>
        <w:tblLook w:val="04A0" w:firstRow="1" w:lastRow="0" w:firstColumn="1" w:lastColumn="0" w:noHBand="0" w:noVBand="1"/>
      </w:tblPr>
      <w:tblGrid>
        <w:gridCol w:w="2365"/>
        <w:gridCol w:w="1117"/>
        <w:gridCol w:w="1117"/>
        <w:gridCol w:w="1257"/>
        <w:gridCol w:w="1117"/>
        <w:gridCol w:w="1267"/>
      </w:tblGrid>
      <w:tr w:rsidR="000F5B29" w:rsidRPr="00FD37DE" w14:paraId="0CBAAA6C" w14:textId="77777777" w:rsidTr="00213F39">
        <w:trPr>
          <w:trHeight w:val="224"/>
          <w:tblHeader/>
        </w:trPr>
        <w:tc>
          <w:tcPr>
            <w:tcW w:w="8240" w:type="dxa"/>
            <w:gridSpan w:val="6"/>
            <w:tcBorders>
              <w:top w:val="single" w:sz="8" w:space="0" w:color="auto"/>
              <w:left w:val="single" w:sz="8" w:space="0" w:color="auto"/>
              <w:right w:val="single" w:sz="4" w:space="0" w:color="auto"/>
            </w:tcBorders>
            <w:noWrap/>
            <w:vAlign w:val="bottom"/>
            <w:hideMark/>
          </w:tcPr>
          <w:p w14:paraId="7AEA61E6" w14:textId="77777777" w:rsidR="000F5B29" w:rsidRPr="00FD37DE" w:rsidRDefault="000F5B29" w:rsidP="00AC3862">
            <w:pPr>
              <w:ind w:left="-66"/>
              <w:jc w:val="center"/>
              <w:rPr>
                <w:b/>
                <w:bCs/>
                <w:sz w:val="14"/>
                <w:szCs w:val="14"/>
                <w:lang w:eastAsia="es-MX"/>
              </w:rPr>
            </w:pPr>
            <w:r w:rsidRPr="00FD37DE">
              <w:rPr>
                <w:b/>
                <w:bCs/>
                <w:sz w:val="14"/>
                <w:szCs w:val="14"/>
                <w:lang w:eastAsia="es-MX"/>
              </w:rPr>
              <w:t xml:space="preserve">GOBIERNO DEL ESTADO DE TLAXCALA </w:t>
            </w:r>
          </w:p>
        </w:tc>
      </w:tr>
      <w:tr w:rsidR="000F5B29" w:rsidRPr="00FD37DE" w14:paraId="60AB7E27" w14:textId="77777777" w:rsidTr="00213F39">
        <w:trPr>
          <w:trHeight w:val="98"/>
          <w:tblHeader/>
        </w:trPr>
        <w:tc>
          <w:tcPr>
            <w:tcW w:w="8240" w:type="dxa"/>
            <w:gridSpan w:val="6"/>
            <w:tcBorders>
              <w:top w:val="nil"/>
              <w:left w:val="single" w:sz="8" w:space="0" w:color="auto"/>
              <w:bottom w:val="single" w:sz="8" w:space="0" w:color="auto"/>
              <w:right w:val="single" w:sz="4" w:space="0" w:color="auto"/>
            </w:tcBorders>
            <w:noWrap/>
            <w:vAlign w:val="bottom"/>
            <w:hideMark/>
          </w:tcPr>
          <w:p w14:paraId="70289A11" w14:textId="77777777" w:rsidR="000F5B29" w:rsidRPr="00FD37DE" w:rsidRDefault="000F5B29" w:rsidP="00AC3862">
            <w:pPr>
              <w:ind w:left="-66"/>
              <w:jc w:val="center"/>
              <w:rPr>
                <w:b/>
                <w:bCs/>
                <w:sz w:val="14"/>
                <w:szCs w:val="14"/>
                <w:lang w:eastAsia="es-MX"/>
              </w:rPr>
            </w:pPr>
            <w:r w:rsidRPr="00FD37DE">
              <w:rPr>
                <w:b/>
                <w:bCs/>
                <w:sz w:val="14"/>
                <w:szCs w:val="14"/>
                <w:lang w:eastAsia="es-MX"/>
              </w:rPr>
              <w:t>RECAUDACION DE INGRESOS LOCALES 202</w:t>
            </w:r>
            <w:r>
              <w:rPr>
                <w:b/>
                <w:bCs/>
                <w:sz w:val="14"/>
                <w:szCs w:val="14"/>
                <w:lang w:eastAsia="es-MX"/>
              </w:rPr>
              <w:t>1</w:t>
            </w:r>
            <w:r w:rsidRPr="00FD37DE">
              <w:rPr>
                <w:b/>
                <w:bCs/>
                <w:sz w:val="14"/>
                <w:szCs w:val="14"/>
                <w:lang w:eastAsia="es-MX"/>
              </w:rPr>
              <w:t>-202</w:t>
            </w:r>
            <w:r>
              <w:rPr>
                <w:b/>
                <w:bCs/>
                <w:sz w:val="14"/>
                <w:szCs w:val="14"/>
                <w:lang w:eastAsia="es-MX"/>
              </w:rPr>
              <w:t>5</w:t>
            </w:r>
            <w:r w:rsidRPr="00FD37DE">
              <w:rPr>
                <w:b/>
                <w:bCs/>
                <w:sz w:val="14"/>
                <w:szCs w:val="14"/>
                <w:lang w:eastAsia="es-MX"/>
              </w:rPr>
              <w:t>*</w:t>
            </w:r>
          </w:p>
        </w:tc>
      </w:tr>
      <w:tr w:rsidR="000F5B29" w:rsidRPr="00FD37DE" w14:paraId="0C5273BF" w14:textId="77777777" w:rsidTr="00213F39">
        <w:trPr>
          <w:trHeight w:val="458"/>
          <w:tblHeader/>
        </w:trPr>
        <w:tc>
          <w:tcPr>
            <w:tcW w:w="2365" w:type="dxa"/>
            <w:vMerge w:val="restart"/>
            <w:tcBorders>
              <w:top w:val="nil"/>
              <w:left w:val="single" w:sz="4" w:space="0" w:color="auto"/>
              <w:bottom w:val="single" w:sz="8" w:space="0" w:color="auto"/>
              <w:right w:val="single" w:sz="8" w:space="0" w:color="auto"/>
            </w:tcBorders>
            <w:shd w:val="clear" w:color="000000" w:fill="B1A0C7"/>
            <w:vAlign w:val="center"/>
            <w:hideMark/>
          </w:tcPr>
          <w:p w14:paraId="2E13814D" w14:textId="77777777" w:rsidR="000F5B29" w:rsidRPr="00FD37DE" w:rsidRDefault="000F5B29" w:rsidP="00AC3862">
            <w:pPr>
              <w:ind w:left="-66"/>
              <w:jc w:val="center"/>
              <w:rPr>
                <w:b/>
                <w:bCs/>
                <w:sz w:val="14"/>
                <w:szCs w:val="14"/>
                <w:lang w:eastAsia="es-MX"/>
              </w:rPr>
            </w:pPr>
            <w:r w:rsidRPr="00FD37DE">
              <w:rPr>
                <w:b/>
                <w:bCs/>
                <w:sz w:val="14"/>
                <w:szCs w:val="14"/>
                <w:lang w:eastAsia="es-MX"/>
              </w:rPr>
              <w:t>Ingresos de Fuentes Locales</w:t>
            </w:r>
          </w:p>
        </w:tc>
        <w:tc>
          <w:tcPr>
            <w:tcW w:w="1117" w:type="dxa"/>
            <w:vMerge w:val="restart"/>
            <w:tcBorders>
              <w:top w:val="nil"/>
              <w:left w:val="single" w:sz="8" w:space="0" w:color="auto"/>
              <w:bottom w:val="single" w:sz="8" w:space="0" w:color="000000"/>
              <w:right w:val="single" w:sz="8" w:space="0" w:color="auto"/>
            </w:tcBorders>
            <w:shd w:val="clear" w:color="000000" w:fill="B1A0C7"/>
            <w:vAlign w:val="center"/>
            <w:hideMark/>
          </w:tcPr>
          <w:p w14:paraId="3D54265D" w14:textId="77777777" w:rsidR="000F5B29" w:rsidRPr="00FD37DE" w:rsidRDefault="000F5B29" w:rsidP="00AC3862">
            <w:pPr>
              <w:ind w:left="-66"/>
              <w:jc w:val="center"/>
              <w:rPr>
                <w:b/>
                <w:bCs/>
                <w:sz w:val="14"/>
                <w:szCs w:val="14"/>
                <w:lang w:eastAsia="es-MX"/>
              </w:rPr>
            </w:pPr>
            <w:r w:rsidRPr="00FD37DE">
              <w:rPr>
                <w:b/>
                <w:bCs/>
                <w:sz w:val="14"/>
                <w:szCs w:val="14"/>
                <w:lang w:eastAsia="es-MX"/>
              </w:rPr>
              <w:t xml:space="preserve"> Ejercicio 202</w:t>
            </w:r>
            <w:r>
              <w:rPr>
                <w:b/>
                <w:bCs/>
                <w:sz w:val="14"/>
                <w:szCs w:val="14"/>
                <w:lang w:eastAsia="es-MX"/>
              </w:rPr>
              <w:t>1</w:t>
            </w:r>
            <w:r w:rsidRPr="00FD37DE">
              <w:rPr>
                <w:b/>
                <w:bCs/>
                <w:sz w:val="14"/>
                <w:szCs w:val="14"/>
                <w:lang w:eastAsia="es-MX"/>
              </w:rPr>
              <w:t xml:space="preserve"> </w:t>
            </w:r>
          </w:p>
        </w:tc>
        <w:tc>
          <w:tcPr>
            <w:tcW w:w="1117" w:type="dxa"/>
            <w:vMerge w:val="restart"/>
            <w:tcBorders>
              <w:top w:val="nil"/>
              <w:left w:val="single" w:sz="8" w:space="0" w:color="auto"/>
              <w:bottom w:val="single" w:sz="8" w:space="0" w:color="000000"/>
              <w:right w:val="single" w:sz="8" w:space="0" w:color="auto"/>
            </w:tcBorders>
            <w:shd w:val="clear" w:color="000000" w:fill="B1A0C7"/>
            <w:vAlign w:val="center"/>
            <w:hideMark/>
          </w:tcPr>
          <w:p w14:paraId="60508AE2" w14:textId="77777777" w:rsidR="000F5B29" w:rsidRPr="00FD37DE" w:rsidRDefault="000F5B29" w:rsidP="00AC3862">
            <w:pPr>
              <w:ind w:left="-66"/>
              <w:jc w:val="center"/>
              <w:rPr>
                <w:b/>
                <w:bCs/>
                <w:sz w:val="14"/>
                <w:szCs w:val="14"/>
                <w:lang w:eastAsia="es-MX"/>
              </w:rPr>
            </w:pPr>
            <w:r w:rsidRPr="00FD37DE">
              <w:rPr>
                <w:b/>
                <w:bCs/>
                <w:sz w:val="14"/>
                <w:szCs w:val="14"/>
                <w:lang w:eastAsia="es-MX"/>
              </w:rPr>
              <w:t xml:space="preserve"> Ejercicio 202</w:t>
            </w:r>
            <w:r>
              <w:rPr>
                <w:b/>
                <w:bCs/>
                <w:sz w:val="14"/>
                <w:szCs w:val="14"/>
                <w:lang w:eastAsia="es-MX"/>
              </w:rPr>
              <w:t>2</w:t>
            </w:r>
            <w:r w:rsidRPr="00FD37DE">
              <w:rPr>
                <w:b/>
                <w:bCs/>
                <w:sz w:val="14"/>
                <w:szCs w:val="14"/>
                <w:lang w:eastAsia="es-MX"/>
              </w:rPr>
              <w:t xml:space="preserve"> </w:t>
            </w:r>
          </w:p>
        </w:tc>
        <w:tc>
          <w:tcPr>
            <w:tcW w:w="1257" w:type="dxa"/>
            <w:vMerge w:val="restart"/>
            <w:tcBorders>
              <w:top w:val="nil"/>
              <w:left w:val="single" w:sz="8" w:space="0" w:color="auto"/>
              <w:bottom w:val="single" w:sz="8" w:space="0" w:color="000000"/>
              <w:right w:val="single" w:sz="8" w:space="0" w:color="auto"/>
            </w:tcBorders>
            <w:shd w:val="clear" w:color="000000" w:fill="B1A0C7"/>
            <w:vAlign w:val="center"/>
            <w:hideMark/>
          </w:tcPr>
          <w:p w14:paraId="0CECFCC9" w14:textId="77777777" w:rsidR="000F5B29" w:rsidRPr="00FD37DE" w:rsidRDefault="000F5B29" w:rsidP="00AC3862">
            <w:pPr>
              <w:ind w:left="-66"/>
              <w:jc w:val="center"/>
              <w:rPr>
                <w:b/>
                <w:bCs/>
                <w:sz w:val="14"/>
                <w:szCs w:val="14"/>
                <w:lang w:eastAsia="es-MX"/>
              </w:rPr>
            </w:pPr>
            <w:r w:rsidRPr="00FD37DE">
              <w:rPr>
                <w:b/>
                <w:bCs/>
                <w:sz w:val="14"/>
                <w:szCs w:val="14"/>
                <w:lang w:eastAsia="es-MX"/>
              </w:rPr>
              <w:t xml:space="preserve"> Ejercicio 202</w:t>
            </w:r>
            <w:r>
              <w:rPr>
                <w:b/>
                <w:bCs/>
                <w:sz w:val="14"/>
                <w:szCs w:val="14"/>
                <w:lang w:eastAsia="es-MX"/>
              </w:rPr>
              <w:t>3</w:t>
            </w:r>
            <w:r w:rsidRPr="00FD37DE">
              <w:rPr>
                <w:b/>
                <w:bCs/>
                <w:sz w:val="14"/>
                <w:szCs w:val="14"/>
                <w:lang w:eastAsia="es-MX"/>
              </w:rPr>
              <w:t xml:space="preserve"> </w:t>
            </w:r>
          </w:p>
        </w:tc>
        <w:tc>
          <w:tcPr>
            <w:tcW w:w="1117" w:type="dxa"/>
            <w:vMerge w:val="restart"/>
            <w:tcBorders>
              <w:top w:val="nil"/>
              <w:left w:val="single" w:sz="8" w:space="0" w:color="auto"/>
              <w:bottom w:val="single" w:sz="8" w:space="0" w:color="000000"/>
              <w:right w:val="single" w:sz="8" w:space="0" w:color="auto"/>
            </w:tcBorders>
            <w:shd w:val="clear" w:color="000000" w:fill="B1A0C7"/>
            <w:vAlign w:val="center"/>
            <w:hideMark/>
          </w:tcPr>
          <w:p w14:paraId="7AAA6815" w14:textId="77777777" w:rsidR="000F5B29" w:rsidRPr="00FD37DE" w:rsidRDefault="000F5B29" w:rsidP="00AC3862">
            <w:pPr>
              <w:ind w:left="-66"/>
              <w:jc w:val="center"/>
              <w:rPr>
                <w:b/>
                <w:bCs/>
                <w:sz w:val="14"/>
                <w:szCs w:val="14"/>
                <w:lang w:eastAsia="es-MX"/>
              </w:rPr>
            </w:pPr>
            <w:r w:rsidRPr="00FD37DE">
              <w:rPr>
                <w:b/>
                <w:bCs/>
                <w:sz w:val="14"/>
                <w:szCs w:val="14"/>
                <w:lang w:eastAsia="es-MX"/>
              </w:rPr>
              <w:t xml:space="preserve"> Ejercicio 202</w:t>
            </w:r>
            <w:r>
              <w:rPr>
                <w:b/>
                <w:bCs/>
                <w:sz w:val="14"/>
                <w:szCs w:val="14"/>
                <w:lang w:eastAsia="es-MX"/>
              </w:rPr>
              <w:t>4</w:t>
            </w:r>
            <w:r w:rsidRPr="00FD37DE">
              <w:rPr>
                <w:b/>
                <w:bCs/>
                <w:sz w:val="14"/>
                <w:szCs w:val="14"/>
                <w:lang w:eastAsia="es-MX"/>
              </w:rPr>
              <w:t xml:space="preserve"> </w:t>
            </w:r>
          </w:p>
        </w:tc>
        <w:tc>
          <w:tcPr>
            <w:tcW w:w="1267" w:type="dxa"/>
            <w:vMerge w:val="restart"/>
            <w:tcBorders>
              <w:top w:val="nil"/>
              <w:left w:val="single" w:sz="8" w:space="0" w:color="auto"/>
              <w:bottom w:val="single" w:sz="8" w:space="0" w:color="000000"/>
              <w:right w:val="single" w:sz="8" w:space="0" w:color="auto"/>
            </w:tcBorders>
            <w:shd w:val="clear" w:color="000000" w:fill="B1A0C7"/>
            <w:vAlign w:val="center"/>
            <w:hideMark/>
          </w:tcPr>
          <w:p w14:paraId="7667EF40" w14:textId="77777777" w:rsidR="000F5B29" w:rsidRPr="00FD37DE" w:rsidRDefault="000F5B29" w:rsidP="00AC3862">
            <w:pPr>
              <w:ind w:left="-66"/>
              <w:jc w:val="center"/>
              <w:rPr>
                <w:b/>
                <w:bCs/>
                <w:sz w:val="14"/>
                <w:szCs w:val="14"/>
                <w:lang w:eastAsia="es-MX"/>
              </w:rPr>
            </w:pPr>
            <w:r w:rsidRPr="00FD37DE">
              <w:rPr>
                <w:b/>
                <w:bCs/>
                <w:sz w:val="14"/>
                <w:szCs w:val="14"/>
                <w:lang w:eastAsia="es-MX"/>
              </w:rPr>
              <w:t xml:space="preserve"> Cierre 202</w:t>
            </w:r>
            <w:r>
              <w:rPr>
                <w:b/>
                <w:bCs/>
                <w:sz w:val="14"/>
                <w:szCs w:val="14"/>
                <w:lang w:eastAsia="es-MX"/>
              </w:rPr>
              <w:t>5</w:t>
            </w:r>
            <w:r w:rsidRPr="00FD37DE">
              <w:rPr>
                <w:b/>
                <w:bCs/>
                <w:sz w:val="14"/>
                <w:szCs w:val="14"/>
                <w:lang w:eastAsia="es-MX"/>
              </w:rPr>
              <w:t xml:space="preserve">* </w:t>
            </w:r>
          </w:p>
        </w:tc>
      </w:tr>
      <w:tr w:rsidR="000F5B29" w:rsidRPr="00FD37DE" w14:paraId="738587BE" w14:textId="77777777" w:rsidTr="00213F39">
        <w:trPr>
          <w:trHeight w:val="276"/>
        </w:trPr>
        <w:tc>
          <w:tcPr>
            <w:tcW w:w="2365" w:type="dxa"/>
            <w:vMerge/>
            <w:tcBorders>
              <w:top w:val="nil"/>
              <w:left w:val="single" w:sz="4" w:space="0" w:color="auto"/>
              <w:bottom w:val="single" w:sz="8" w:space="0" w:color="auto"/>
              <w:right w:val="single" w:sz="8" w:space="0" w:color="auto"/>
            </w:tcBorders>
            <w:vAlign w:val="center"/>
            <w:hideMark/>
          </w:tcPr>
          <w:p w14:paraId="522F25DA" w14:textId="77777777" w:rsidR="000F5B29" w:rsidRPr="00FD37DE" w:rsidRDefault="000F5B29" w:rsidP="00AC3862">
            <w:pPr>
              <w:ind w:left="-66"/>
              <w:rPr>
                <w:b/>
                <w:bCs/>
                <w:sz w:val="14"/>
                <w:szCs w:val="14"/>
                <w:lang w:eastAsia="es-MX"/>
              </w:rPr>
            </w:pPr>
          </w:p>
        </w:tc>
        <w:tc>
          <w:tcPr>
            <w:tcW w:w="1117" w:type="dxa"/>
            <w:vMerge/>
            <w:tcBorders>
              <w:top w:val="nil"/>
              <w:left w:val="single" w:sz="8" w:space="0" w:color="auto"/>
              <w:bottom w:val="single" w:sz="8" w:space="0" w:color="000000"/>
              <w:right w:val="single" w:sz="8" w:space="0" w:color="auto"/>
            </w:tcBorders>
            <w:vAlign w:val="center"/>
            <w:hideMark/>
          </w:tcPr>
          <w:p w14:paraId="75CBF043" w14:textId="77777777" w:rsidR="000F5B29" w:rsidRPr="00FD37DE" w:rsidRDefault="000F5B29" w:rsidP="00AC3862">
            <w:pPr>
              <w:ind w:left="-66"/>
              <w:rPr>
                <w:b/>
                <w:bCs/>
                <w:sz w:val="14"/>
                <w:szCs w:val="14"/>
                <w:lang w:eastAsia="es-MX"/>
              </w:rPr>
            </w:pPr>
          </w:p>
        </w:tc>
        <w:tc>
          <w:tcPr>
            <w:tcW w:w="1117" w:type="dxa"/>
            <w:vMerge/>
            <w:tcBorders>
              <w:top w:val="nil"/>
              <w:left w:val="single" w:sz="8" w:space="0" w:color="auto"/>
              <w:bottom w:val="single" w:sz="8" w:space="0" w:color="000000"/>
              <w:right w:val="single" w:sz="8" w:space="0" w:color="auto"/>
            </w:tcBorders>
            <w:vAlign w:val="center"/>
            <w:hideMark/>
          </w:tcPr>
          <w:p w14:paraId="2BCD32E7" w14:textId="77777777" w:rsidR="000F5B29" w:rsidRPr="00FD37DE" w:rsidRDefault="000F5B29" w:rsidP="00AC3862">
            <w:pPr>
              <w:ind w:left="-66"/>
              <w:rPr>
                <w:b/>
                <w:bCs/>
                <w:sz w:val="14"/>
                <w:szCs w:val="14"/>
                <w:lang w:eastAsia="es-MX"/>
              </w:rPr>
            </w:pPr>
          </w:p>
        </w:tc>
        <w:tc>
          <w:tcPr>
            <w:tcW w:w="1257" w:type="dxa"/>
            <w:vMerge/>
            <w:tcBorders>
              <w:top w:val="nil"/>
              <w:left w:val="single" w:sz="8" w:space="0" w:color="auto"/>
              <w:bottom w:val="single" w:sz="8" w:space="0" w:color="000000"/>
              <w:right w:val="single" w:sz="8" w:space="0" w:color="auto"/>
            </w:tcBorders>
            <w:vAlign w:val="center"/>
            <w:hideMark/>
          </w:tcPr>
          <w:p w14:paraId="7A26856E" w14:textId="77777777" w:rsidR="000F5B29" w:rsidRPr="00FD37DE" w:rsidRDefault="000F5B29" w:rsidP="00AC3862">
            <w:pPr>
              <w:ind w:left="-66"/>
              <w:rPr>
                <w:b/>
                <w:bCs/>
                <w:sz w:val="14"/>
                <w:szCs w:val="14"/>
                <w:lang w:eastAsia="es-MX"/>
              </w:rPr>
            </w:pPr>
          </w:p>
        </w:tc>
        <w:tc>
          <w:tcPr>
            <w:tcW w:w="1117" w:type="dxa"/>
            <w:vMerge/>
            <w:tcBorders>
              <w:top w:val="nil"/>
              <w:left w:val="single" w:sz="8" w:space="0" w:color="auto"/>
              <w:bottom w:val="single" w:sz="8" w:space="0" w:color="000000"/>
              <w:right w:val="single" w:sz="8" w:space="0" w:color="auto"/>
            </w:tcBorders>
            <w:vAlign w:val="center"/>
            <w:hideMark/>
          </w:tcPr>
          <w:p w14:paraId="32D9D209" w14:textId="77777777" w:rsidR="000F5B29" w:rsidRPr="00FD37DE" w:rsidRDefault="000F5B29" w:rsidP="00AC3862">
            <w:pPr>
              <w:ind w:left="-66"/>
              <w:rPr>
                <w:b/>
                <w:bCs/>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695B6D85" w14:textId="77777777" w:rsidR="000F5B29" w:rsidRPr="00FD37DE" w:rsidRDefault="000F5B29" w:rsidP="00AC3862">
            <w:pPr>
              <w:ind w:left="-66"/>
              <w:rPr>
                <w:b/>
                <w:bCs/>
                <w:sz w:val="14"/>
                <w:szCs w:val="14"/>
                <w:lang w:eastAsia="es-MX"/>
              </w:rPr>
            </w:pPr>
          </w:p>
        </w:tc>
      </w:tr>
      <w:tr w:rsidR="000F5B29" w:rsidRPr="00FD37DE" w14:paraId="41CB9FFE" w14:textId="77777777" w:rsidTr="00AC3862">
        <w:trPr>
          <w:trHeight w:val="224"/>
        </w:trPr>
        <w:tc>
          <w:tcPr>
            <w:tcW w:w="2365" w:type="dxa"/>
            <w:tcBorders>
              <w:top w:val="single" w:sz="8" w:space="0" w:color="auto"/>
              <w:left w:val="single" w:sz="8" w:space="0" w:color="auto"/>
              <w:bottom w:val="nil"/>
              <w:right w:val="single" w:sz="8" w:space="0" w:color="auto"/>
            </w:tcBorders>
            <w:vAlign w:val="bottom"/>
            <w:hideMark/>
          </w:tcPr>
          <w:p w14:paraId="64B56A99" w14:textId="77777777" w:rsidR="000F5B29" w:rsidRPr="00FD37DE" w:rsidRDefault="000F5B29" w:rsidP="00AC3862">
            <w:pPr>
              <w:ind w:left="-66"/>
              <w:rPr>
                <w:b/>
                <w:bCs/>
                <w:sz w:val="14"/>
                <w:szCs w:val="14"/>
                <w:lang w:eastAsia="es-MX"/>
              </w:rPr>
            </w:pPr>
            <w:r w:rsidRPr="00FD37DE">
              <w:rPr>
                <w:b/>
                <w:bCs/>
                <w:sz w:val="14"/>
                <w:szCs w:val="14"/>
                <w:lang w:eastAsia="es-MX"/>
              </w:rPr>
              <w:t>Impuestos</w:t>
            </w:r>
          </w:p>
        </w:tc>
        <w:tc>
          <w:tcPr>
            <w:tcW w:w="1117" w:type="dxa"/>
            <w:tcBorders>
              <w:top w:val="nil"/>
              <w:left w:val="nil"/>
              <w:bottom w:val="nil"/>
              <w:right w:val="single" w:sz="8" w:space="0" w:color="auto"/>
            </w:tcBorders>
            <w:noWrap/>
            <w:vAlign w:val="bottom"/>
          </w:tcPr>
          <w:p w14:paraId="1EC7630D" w14:textId="77777777" w:rsidR="000F5B29" w:rsidRPr="00FD37DE" w:rsidRDefault="000F5B29" w:rsidP="00AC3862">
            <w:pPr>
              <w:ind w:left="-66"/>
              <w:jc w:val="right"/>
              <w:rPr>
                <w:b/>
                <w:bCs/>
                <w:sz w:val="14"/>
                <w:szCs w:val="14"/>
                <w:lang w:eastAsia="es-MX"/>
              </w:rPr>
            </w:pPr>
            <w:r w:rsidRPr="00FD37DE">
              <w:rPr>
                <w:b/>
                <w:bCs/>
                <w:sz w:val="14"/>
                <w:szCs w:val="14"/>
                <w:lang w:eastAsia="es-MX"/>
              </w:rPr>
              <w:t xml:space="preserve">           623,414,456 </w:t>
            </w:r>
          </w:p>
        </w:tc>
        <w:tc>
          <w:tcPr>
            <w:tcW w:w="1117" w:type="dxa"/>
            <w:tcBorders>
              <w:top w:val="nil"/>
              <w:left w:val="nil"/>
              <w:bottom w:val="nil"/>
              <w:right w:val="single" w:sz="8" w:space="0" w:color="auto"/>
            </w:tcBorders>
            <w:noWrap/>
            <w:vAlign w:val="bottom"/>
            <w:hideMark/>
          </w:tcPr>
          <w:p w14:paraId="622F99AD" w14:textId="77777777" w:rsidR="000F5B29" w:rsidRPr="00FD37DE" w:rsidRDefault="000F5B29" w:rsidP="00AC3862">
            <w:pPr>
              <w:ind w:left="-66"/>
              <w:jc w:val="right"/>
              <w:rPr>
                <w:b/>
                <w:bCs/>
                <w:sz w:val="14"/>
                <w:szCs w:val="14"/>
                <w:lang w:eastAsia="es-MX"/>
              </w:rPr>
            </w:pPr>
            <w:r w:rsidRPr="00FD37DE">
              <w:rPr>
                <w:b/>
                <w:bCs/>
                <w:sz w:val="14"/>
                <w:szCs w:val="14"/>
                <w:lang w:eastAsia="es-MX"/>
              </w:rPr>
              <w:t xml:space="preserve">             746,947,529 </w:t>
            </w:r>
          </w:p>
        </w:tc>
        <w:tc>
          <w:tcPr>
            <w:tcW w:w="1257" w:type="dxa"/>
            <w:tcBorders>
              <w:top w:val="nil"/>
              <w:left w:val="nil"/>
              <w:bottom w:val="nil"/>
              <w:right w:val="single" w:sz="8" w:space="0" w:color="auto"/>
            </w:tcBorders>
            <w:noWrap/>
            <w:vAlign w:val="bottom"/>
            <w:hideMark/>
          </w:tcPr>
          <w:p w14:paraId="57276547" w14:textId="77777777" w:rsidR="000F5B29" w:rsidRPr="00FD37DE" w:rsidRDefault="000F5B29" w:rsidP="00AC3862">
            <w:pPr>
              <w:ind w:left="-66"/>
              <w:jc w:val="right"/>
              <w:rPr>
                <w:b/>
                <w:bCs/>
                <w:sz w:val="14"/>
                <w:szCs w:val="14"/>
                <w:lang w:eastAsia="es-MX"/>
              </w:rPr>
            </w:pPr>
            <w:r w:rsidRPr="00FD37DE">
              <w:rPr>
                <w:b/>
                <w:bCs/>
                <w:sz w:val="14"/>
                <w:szCs w:val="14"/>
                <w:lang w:eastAsia="es-MX"/>
              </w:rPr>
              <w:t>864,347,652</w:t>
            </w:r>
          </w:p>
        </w:tc>
        <w:tc>
          <w:tcPr>
            <w:tcW w:w="1117" w:type="dxa"/>
            <w:tcBorders>
              <w:top w:val="nil"/>
              <w:left w:val="nil"/>
              <w:bottom w:val="nil"/>
              <w:right w:val="single" w:sz="8" w:space="0" w:color="auto"/>
            </w:tcBorders>
            <w:noWrap/>
            <w:vAlign w:val="bottom"/>
          </w:tcPr>
          <w:p w14:paraId="1D65300F" w14:textId="77777777" w:rsidR="000F5B29" w:rsidRPr="00FD37DE" w:rsidRDefault="000F5B29" w:rsidP="00AC3862">
            <w:pPr>
              <w:ind w:left="-66"/>
              <w:jc w:val="right"/>
              <w:rPr>
                <w:b/>
                <w:bCs/>
                <w:sz w:val="14"/>
                <w:szCs w:val="14"/>
                <w:lang w:eastAsia="es-MX"/>
              </w:rPr>
            </w:pPr>
            <w:r>
              <w:rPr>
                <w:b/>
                <w:bCs/>
                <w:sz w:val="14"/>
                <w:szCs w:val="14"/>
                <w:lang w:eastAsia="es-MX"/>
              </w:rPr>
              <w:t>1,019,913,323</w:t>
            </w:r>
          </w:p>
        </w:tc>
        <w:tc>
          <w:tcPr>
            <w:tcW w:w="1267" w:type="dxa"/>
            <w:tcBorders>
              <w:top w:val="nil"/>
              <w:left w:val="nil"/>
              <w:bottom w:val="nil"/>
              <w:right w:val="single" w:sz="8" w:space="0" w:color="auto"/>
            </w:tcBorders>
            <w:noWrap/>
            <w:vAlign w:val="bottom"/>
          </w:tcPr>
          <w:p w14:paraId="4DF16C11" w14:textId="77777777" w:rsidR="000F5B29" w:rsidRPr="00FD37DE" w:rsidRDefault="000F5B29" w:rsidP="00AC3862">
            <w:pPr>
              <w:ind w:left="-66"/>
              <w:jc w:val="right"/>
              <w:rPr>
                <w:b/>
                <w:bCs/>
                <w:sz w:val="14"/>
                <w:szCs w:val="14"/>
                <w:lang w:eastAsia="es-MX"/>
              </w:rPr>
            </w:pPr>
            <w:r>
              <w:rPr>
                <w:b/>
                <w:bCs/>
                <w:sz w:val="14"/>
                <w:szCs w:val="14"/>
                <w:lang w:eastAsia="es-MX"/>
              </w:rPr>
              <w:t>1,073,185,664</w:t>
            </w:r>
          </w:p>
        </w:tc>
      </w:tr>
      <w:tr w:rsidR="000F5B29" w:rsidRPr="00FD37DE" w14:paraId="51FC76CF" w14:textId="77777777" w:rsidTr="00AC3862">
        <w:trPr>
          <w:trHeight w:val="224"/>
        </w:trPr>
        <w:tc>
          <w:tcPr>
            <w:tcW w:w="2365" w:type="dxa"/>
            <w:tcBorders>
              <w:top w:val="nil"/>
              <w:left w:val="single" w:sz="8" w:space="0" w:color="auto"/>
              <w:bottom w:val="nil"/>
              <w:right w:val="single" w:sz="8" w:space="0" w:color="auto"/>
            </w:tcBorders>
            <w:vAlign w:val="bottom"/>
            <w:hideMark/>
          </w:tcPr>
          <w:p w14:paraId="3BC5A89E" w14:textId="77777777" w:rsidR="000F5B29" w:rsidRPr="00FD37DE" w:rsidRDefault="000F5B29" w:rsidP="00AC3862">
            <w:pPr>
              <w:ind w:left="-66"/>
              <w:rPr>
                <w:b/>
                <w:bCs/>
                <w:sz w:val="14"/>
                <w:szCs w:val="14"/>
                <w:lang w:eastAsia="es-MX"/>
              </w:rPr>
            </w:pPr>
            <w:r w:rsidRPr="00FD37DE">
              <w:rPr>
                <w:b/>
                <w:bCs/>
                <w:sz w:val="14"/>
                <w:szCs w:val="14"/>
                <w:lang w:eastAsia="es-MX"/>
              </w:rPr>
              <w:t>Derechos</w:t>
            </w:r>
          </w:p>
        </w:tc>
        <w:tc>
          <w:tcPr>
            <w:tcW w:w="1117" w:type="dxa"/>
            <w:tcBorders>
              <w:top w:val="nil"/>
              <w:left w:val="nil"/>
              <w:bottom w:val="nil"/>
              <w:right w:val="single" w:sz="8" w:space="0" w:color="auto"/>
            </w:tcBorders>
            <w:noWrap/>
            <w:vAlign w:val="bottom"/>
          </w:tcPr>
          <w:p w14:paraId="28E28AF8" w14:textId="77777777" w:rsidR="000F5B29" w:rsidRPr="00FD37DE" w:rsidRDefault="000F5B29" w:rsidP="00AC3862">
            <w:pPr>
              <w:ind w:left="-66"/>
              <w:jc w:val="right"/>
              <w:rPr>
                <w:b/>
                <w:bCs/>
                <w:sz w:val="14"/>
                <w:szCs w:val="14"/>
                <w:lang w:eastAsia="es-MX"/>
              </w:rPr>
            </w:pPr>
            <w:r w:rsidRPr="00FD37DE">
              <w:rPr>
                <w:b/>
                <w:bCs/>
                <w:sz w:val="14"/>
                <w:szCs w:val="14"/>
                <w:lang w:eastAsia="es-MX"/>
              </w:rPr>
              <w:t xml:space="preserve">           482,822,379 </w:t>
            </w:r>
          </w:p>
        </w:tc>
        <w:tc>
          <w:tcPr>
            <w:tcW w:w="1117" w:type="dxa"/>
            <w:tcBorders>
              <w:top w:val="nil"/>
              <w:left w:val="nil"/>
              <w:bottom w:val="nil"/>
              <w:right w:val="single" w:sz="8" w:space="0" w:color="auto"/>
            </w:tcBorders>
            <w:noWrap/>
            <w:vAlign w:val="bottom"/>
            <w:hideMark/>
          </w:tcPr>
          <w:p w14:paraId="15FA1035" w14:textId="77777777" w:rsidR="000F5B29" w:rsidRPr="00FD37DE" w:rsidRDefault="000F5B29" w:rsidP="00AC3862">
            <w:pPr>
              <w:ind w:left="-66"/>
              <w:jc w:val="right"/>
              <w:rPr>
                <w:b/>
                <w:bCs/>
                <w:sz w:val="14"/>
                <w:szCs w:val="14"/>
                <w:lang w:eastAsia="es-MX"/>
              </w:rPr>
            </w:pPr>
            <w:r w:rsidRPr="00FD37DE">
              <w:rPr>
                <w:b/>
                <w:bCs/>
                <w:sz w:val="14"/>
                <w:szCs w:val="14"/>
                <w:lang w:eastAsia="es-MX"/>
              </w:rPr>
              <w:t xml:space="preserve">             526,855,506 </w:t>
            </w:r>
          </w:p>
        </w:tc>
        <w:tc>
          <w:tcPr>
            <w:tcW w:w="1257" w:type="dxa"/>
            <w:tcBorders>
              <w:top w:val="nil"/>
              <w:left w:val="nil"/>
              <w:bottom w:val="nil"/>
              <w:right w:val="single" w:sz="8" w:space="0" w:color="auto"/>
            </w:tcBorders>
            <w:noWrap/>
            <w:vAlign w:val="bottom"/>
            <w:hideMark/>
          </w:tcPr>
          <w:p w14:paraId="354C7900" w14:textId="77777777" w:rsidR="000F5B29" w:rsidRPr="00FD37DE" w:rsidRDefault="000F5B29" w:rsidP="00AC3862">
            <w:pPr>
              <w:ind w:left="-66"/>
              <w:jc w:val="right"/>
              <w:rPr>
                <w:b/>
                <w:bCs/>
                <w:sz w:val="14"/>
                <w:szCs w:val="14"/>
                <w:lang w:eastAsia="es-MX"/>
              </w:rPr>
            </w:pPr>
            <w:r w:rsidRPr="00FD37DE">
              <w:rPr>
                <w:b/>
                <w:bCs/>
                <w:sz w:val="14"/>
                <w:szCs w:val="14"/>
                <w:lang w:eastAsia="es-MX"/>
              </w:rPr>
              <w:t>715,086,289</w:t>
            </w:r>
          </w:p>
        </w:tc>
        <w:tc>
          <w:tcPr>
            <w:tcW w:w="1117" w:type="dxa"/>
            <w:tcBorders>
              <w:top w:val="nil"/>
              <w:left w:val="nil"/>
              <w:bottom w:val="nil"/>
              <w:right w:val="single" w:sz="8" w:space="0" w:color="auto"/>
            </w:tcBorders>
            <w:noWrap/>
            <w:vAlign w:val="bottom"/>
          </w:tcPr>
          <w:p w14:paraId="51CAD43C" w14:textId="77777777" w:rsidR="000F5B29" w:rsidRPr="00FD37DE" w:rsidRDefault="000F5B29" w:rsidP="00AC3862">
            <w:pPr>
              <w:ind w:left="-66"/>
              <w:jc w:val="right"/>
              <w:rPr>
                <w:b/>
                <w:bCs/>
                <w:sz w:val="14"/>
                <w:szCs w:val="14"/>
                <w:lang w:eastAsia="es-MX"/>
              </w:rPr>
            </w:pPr>
            <w:r>
              <w:rPr>
                <w:b/>
                <w:bCs/>
                <w:sz w:val="14"/>
                <w:szCs w:val="14"/>
                <w:lang w:eastAsia="es-MX"/>
              </w:rPr>
              <w:t>682,063,967</w:t>
            </w:r>
          </w:p>
        </w:tc>
        <w:tc>
          <w:tcPr>
            <w:tcW w:w="1267" w:type="dxa"/>
            <w:tcBorders>
              <w:top w:val="nil"/>
              <w:left w:val="nil"/>
              <w:bottom w:val="nil"/>
              <w:right w:val="single" w:sz="8" w:space="0" w:color="auto"/>
            </w:tcBorders>
            <w:noWrap/>
            <w:vAlign w:val="bottom"/>
          </w:tcPr>
          <w:p w14:paraId="6D3CD677" w14:textId="77777777" w:rsidR="000F5B29" w:rsidRPr="00FD37DE" w:rsidRDefault="000F5B29" w:rsidP="00AC3862">
            <w:pPr>
              <w:ind w:left="-66"/>
              <w:jc w:val="right"/>
              <w:rPr>
                <w:b/>
                <w:bCs/>
                <w:sz w:val="14"/>
                <w:szCs w:val="14"/>
                <w:lang w:eastAsia="es-MX"/>
              </w:rPr>
            </w:pPr>
            <w:r>
              <w:rPr>
                <w:b/>
                <w:bCs/>
                <w:sz w:val="14"/>
                <w:szCs w:val="14"/>
                <w:lang w:eastAsia="es-MX"/>
              </w:rPr>
              <w:t>712,185,002</w:t>
            </w:r>
          </w:p>
        </w:tc>
      </w:tr>
      <w:tr w:rsidR="000F5B29" w:rsidRPr="00FD37DE" w14:paraId="59E511D2" w14:textId="77777777" w:rsidTr="00AC3862">
        <w:trPr>
          <w:trHeight w:val="224"/>
        </w:trPr>
        <w:tc>
          <w:tcPr>
            <w:tcW w:w="2365" w:type="dxa"/>
            <w:tcBorders>
              <w:top w:val="nil"/>
              <w:left w:val="single" w:sz="8" w:space="0" w:color="auto"/>
              <w:bottom w:val="nil"/>
              <w:right w:val="single" w:sz="8" w:space="0" w:color="auto"/>
            </w:tcBorders>
            <w:vAlign w:val="bottom"/>
            <w:hideMark/>
          </w:tcPr>
          <w:p w14:paraId="5D66CC79" w14:textId="77777777" w:rsidR="000F5B29" w:rsidRPr="00FD37DE" w:rsidRDefault="000F5B29" w:rsidP="00AC3862">
            <w:pPr>
              <w:ind w:left="-66"/>
              <w:rPr>
                <w:b/>
                <w:bCs/>
                <w:sz w:val="14"/>
                <w:szCs w:val="14"/>
                <w:lang w:eastAsia="es-MX"/>
              </w:rPr>
            </w:pPr>
            <w:r w:rsidRPr="00FD37DE">
              <w:rPr>
                <w:b/>
                <w:bCs/>
                <w:sz w:val="14"/>
                <w:szCs w:val="14"/>
                <w:lang w:eastAsia="es-MX"/>
              </w:rPr>
              <w:t>Productos</w:t>
            </w:r>
          </w:p>
        </w:tc>
        <w:tc>
          <w:tcPr>
            <w:tcW w:w="1117" w:type="dxa"/>
            <w:tcBorders>
              <w:top w:val="nil"/>
              <w:left w:val="nil"/>
              <w:bottom w:val="nil"/>
              <w:right w:val="single" w:sz="8" w:space="0" w:color="auto"/>
            </w:tcBorders>
            <w:noWrap/>
            <w:vAlign w:val="bottom"/>
          </w:tcPr>
          <w:p w14:paraId="4BBF1FAA" w14:textId="77777777" w:rsidR="000F5B29" w:rsidRPr="00FD37DE" w:rsidRDefault="000F5B29" w:rsidP="00AC3862">
            <w:pPr>
              <w:ind w:left="-66"/>
              <w:jc w:val="right"/>
              <w:rPr>
                <w:b/>
                <w:bCs/>
                <w:sz w:val="14"/>
                <w:szCs w:val="14"/>
                <w:lang w:eastAsia="es-MX"/>
              </w:rPr>
            </w:pPr>
            <w:r w:rsidRPr="00FD37DE">
              <w:rPr>
                <w:b/>
                <w:bCs/>
                <w:sz w:val="14"/>
                <w:szCs w:val="14"/>
                <w:lang w:eastAsia="es-MX"/>
              </w:rPr>
              <w:t xml:space="preserve">           118,104,463 </w:t>
            </w:r>
          </w:p>
        </w:tc>
        <w:tc>
          <w:tcPr>
            <w:tcW w:w="1117" w:type="dxa"/>
            <w:tcBorders>
              <w:top w:val="nil"/>
              <w:left w:val="nil"/>
              <w:bottom w:val="nil"/>
              <w:right w:val="single" w:sz="8" w:space="0" w:color="auto"/>
            </w:tcBorders>
            <w:noWrap/>
            <w:vAlign w:val="bottom"/>
            <w:hideMark/>
          </w:tcPr>
          <w:p w14:paraId="7E2E9133" w14:textId="77777777" w:rsidR="000F5B29" w:rsidRPr="00FD37DE" w:rsidRDefault="000F5B29" w:rsidP="00AC3862">
            <w:pPr>
              <w:ind w:left="-66"/>
              <w:jc w:val="right"/>
              <w:rPr>
                <w:b/>
                <w:bCs/>
                <w:sz w:val="14"/>
                <w:szCs w:val="14"/>
                <w:lang w:eastAsia="es-MX"/>
              </w:rPr>
            </w:pPr>
            <w:r w:rsidRPr="00FD37DE">
              <w:rPr>
                <w:b/>
                <w:bCs/>
                <w:sz w:val="14"/>
                <w:szCs w:val="14"/>
                <w:lang w:eastAsia="es-MX"/>
              </w:rPr>
              <w:t xml:space="preserve">             181,857,532 </w:t>
            </w:r>
          </w:p>
        </w:tc>
        <w:tc>
          <w:tcPr>
            <w:tcW w:w="1257" w:type="dxa"/>
            <w:tcBorders>
              <w:top w:val="nil"/>
              <w:left w:val="nil"/>
              <w:bottom w:val="nil"/>
              <w:right w:val="single" w:sz="8" w:space="0" w:color="auto"/>
            </w:tcBorders>
            <w:noWrap/>
            <w:vAlign w:val="bottom"/>
            <w:hideMark/>
          </w:tcPr>
          <w:p w14:paraId="5B854690" w14:textId="77777777" w:rsidR="000F5B29" w:rsidRPr="00FD37DE" w:rsidRDefault="000F5B29" w:rsidP="00AC3862">
            <w:pPr>
              <w:ind w:left="-66"/>
              <w:jc w:val="right"/>
              <w:rPr>
                <w:b/>
                <w:bCs/>
                <w:sz w:val="14"/>
                <w:szCs w:val="14"/>
                <w:lang w:eastAsia="es-MX"/>
              </w:rPr>
            </w:pPr>
            <w:r w:rsidRPr="00FD37DE">
              <w:rPr>
                <w:b/>
                <w:bCs/>
                <w:sz w:val="14"/>
                <w:szCs w:val="14"/>
                <w:lang w:eastAsia="es-MX"/>
              </w:rPr>
              <w:t>332,687,512</w:t>
            </w:r>
          </w:p>
        </w:tc>
        <w:tc>
          <w:tcPr>
            <w:tcW w:w="1117" w:type="dxa"/>
            <w:tcBorders>
              <w:top w:val="nil"/>
              <w:left w:val="nil"/>
              <w:bottom w:val="nil"/>
              <w:right w:val="single" w:sz="8" w:space="0" w:color="auto"/>
            </w:tcBorders>
            <w:noWrap/>
            <w:vAlign w:val="bottom"/>
          </w:tcPr>
          <w:p w14:paraId="22F0F807" w14:textId="77777777" w:rsidR="000F5B29" w:rsidRPr="00FD37DE" w:rsidRDefault="000F5B29" w:rsidP="00AC3862">
            <w:pPr>
              <w:ind w:left="-66"/>
              <w:jc w:val="right"/>
              <w:rPr>
                <w:b/>
                <w:bCs/>
                <w:sz w:val="14"/>
                <w:szCs w:val="14"/>
                <w:lang w:eastAsia="es-MX"/>
              </w:rPr>
            </w:pPr>
            <w:r>
              <w:rPr>
                <w:b/>
                <w:bCs/>
                <w:sz w:val="14"/>
                <w:szCs w:val="14"/>
                <w:lang w:eastAsia="es-MX"/>
              </w:rPr>
              <w:t>410,925,330</w:t>
            </w:r>
          </w:p>
        </w:tc>
        <w:tc>
          <w:tcPr>
            <w:tcW w:w="1267" w:type="dxa"/>
            <w:tcBorders>
              <w:top w:val="nil"/>
              <w:left w:val="nil"/>
              <w:bottom w:val="nil"/>
              <w:right w:val="single" w:sz="8" w:space="0" w:color="auto"/>
            </w:tcBorders>
            <w:noWrap/>
            <w:vAlign w:val="bottom"/>
          </w:tcPr>
          <w:p w14:paraId="1167E5BC" w14:textId="77777777" w:rsidR="000F5B29" w:rsidRPr="00FD37DE" w:rsidRDefault="000F5B29" w:rsidP="00AC3862">
            <w:pPr>
              <w:ind w:left="-66"/>
              <w:jc w:val="right"/>
              <w:rPr>
                <w:b/>
                <w:bCs/>
                <w:sz w:val="14"/>
                <w:szCs w:val="14"/>
                <w:lang w:eastAsia="es-MX"/>
              </w:rPr>
            </w:pPr>
            <w:r>
              <w:rPr>
                <w:b/>
                <w:bCs/>
                <w:sz w:val="14"/>
                <w:szCs w:val="14"/>
                <w:lang w:eastAsia="es-MX"/>
              </w:rPr>
              <w:t>337,411,357</w:t>
            </w:r>
          </w:p>
        </w:tc>
      </w:tr>
      <w:tr w:rsidR="000F5B29" w:rsidRPr="00FD37DE" w14:paraId="245BBD0E" w14:textId="77777777" w:rsidTr="00AC3862">
        <w:trPr>
          <w:trHeight w:val="224"/>
        </w:trPr>
        <w:tc>
          <w:tcPr>
            <w:tcW w:w="2365" w:type="dxa"/>
            <w:tcBorders>
              <w:top w:val="nil"/>
              <w:left w:val="single" w:sz="8" w:space="0" w:color="auto"/>
              <w:bottom w:val="nil"/>
              <w:right w:val="single" w:sz="8" w:space="0" w:color="auto"/>
            </w:tcBorders>
            <w:vAlign w:val="bottom"/>
            <w:hideMark/>
          </w:tcPr>
          <w:p w14:paraId="43E98BCB" w14:textId="77777777" w:rsidR="000F5B29" w:rsidRPr="00FD37DE" w:rsidRDefault="000F5B29" w:rsidP="00AC3862">
            <w:pPr>
              <w:ind w:left="-66"/>
              <w:rPr>
                <w:b/>
                <w:bCs/>
                <w:sz w:val="14"/>
                <w:szCs w:val="14"/>
                <w:lang w:eastAsia="es-MX"/>
              </w:rPr>
            </w:pPr>
            <w:r w:rsidRPr="00FD37DE">
              <w:rPr>
                <w:b/>
                <w:bCs/>
                <w:sz w:val="14"/>
                <w:szCs w:val="14"/>
                <w:lang w:eastAsia="es-MX"/>
              </w:rPr>
              <w:t>Aprovechamientos</w:t>
            </w:r>
          </w:p>
        </w:tc>
        <w:tc>
          <w:tcPr>
            <w:tcW w:w="1117" w:type="dxa"/>
            <w:tcBorders>
              <w:top w:val="nil"/>
              <w:left w:val="nil"/>
              <w:bottom w:val="nil"/>
              <w:right w:val="single" w:sz="8" w:space="0" w:color="auto"/>
            </w:tcBorders>
            <w:noWrap/>
            <w:vAlign w:val="bottom"/>
          </w:tcPr>
          <w:p w14:paraId="71A4B0CD" w14:textId="77777777" w:rsidR="000F5B29" w:rsidRPr="00FD37DE" w:rsidRDefault="000F5B29" w:rsidP="00AC3862">
            <w:pPr>
              <w:ind w:left="-66"/>
              <w:jc w:val="right"/>
              <w:rPr>
                <w:b/>
                <w:bCs/>
                <w:sz w:val="14"/>
                <w:szCs w:val="14"/>
                <w:lang w:eastAsia="es-MX"/>
              </w:rPr>
            </w:pPr>
            <w:r w:rsidRPr="00FD37DE">
              <w:rPr>
                <w:b/>
                <w:bCs/>
                <w:sz w:val="14"/>
                <w:szCs w:val="14"/>
                <w:lang w:eastAsia="es-MX"/>
              </w:rPr>
              <w:t xml:space="preserve">             10,188,339 </w:t>
            </w:r>
          </w:p>
        </w:tc>
        <w:tc>
          <w:tcPr>
            <w:tcW w:w="1117" w:type="dxa"/>
            <w:tcBorders>
              <w:top w:val="nil"/>
              <w:left w:val="nil"/>
              <w:bottom w:val="nil"/>
              <w:right w:val="single" w:sz="8" w:space="0" w:color="auto"/>
            </w:tcBorders>
            <w:noWrap/>
            <w:vAlign w:val="bottom"/>
            <w:hideMark/>
          </w:tcPr>
          <w:p w14:paraId="561FA24E" w14:textId="77777777" w:rsidR="000F5B29" w:rsidRPr="00FD37DE" w:rsidRDefault="000F5B29" w:rsidP="00AC3862">
            <w:pPr>
              <w:ind w:left="-66"/>
              <w:jc w:val="right"/>
              <w:rPr>
                <w:b/>
                <w:bCs/>
                <w:sz w:val="14"/>
                <w:szCs w:val="14"/>
                <w:lang w:eastAsia="es-MX"/>
              </w:rPr>
            </w:pPr>
            <w:r w:rsidRPr="00FD37DE">
              <w:rPr>
                <w:b/>
                <w:bCs/>
                <w:sz w:val="14"/>
                <w:szCs w:val="14"/>
                <w:lang w:eastAsia="es-MX"/>
              </w:rPr>
              <w:t xml:space="preserve">                16,593,636 </w:t>
            </w:r>
          </w:p>
        </w:tc>
        <w:tc>
          <w:tcPr>
            <w:tcW w:w="1257" w:type="dxa"/>
            <w:tcBorders>
              <w:top w:val="nil"/>
              <w:left w:val="nil"/>
              <w:bottom w:val="nil"/>
              <w:right w:val="single" w:sz="8" w:space="0" w:color="auto"/>
            </w:tcBorders>
            <w:noWrap/>
            <w:vAlign w:val="bottom"/>
            <w:hideMark/>
          </w:tcPr>
          <w:p w14:paraId="16A271AA" w14:textId="77777777" w:rsidR="000F5B29" w:rsidRPr="00FD37DE" w:rsidRDefault="000F5B29" w:rsidP="00AC3862">
            <w:pPr>
              <w:ind w:left="-66"/>
              <w:jc w:val="right"/>
              <w:rPr>
                <w:b/>
                <w:bCs/>
                <w:sz w:val="14"/>
                <w:szCs w:val="14"/>
                <w:lang w:eastAsia="es-MX"/>
              </w:rPr>
            </w:pPr>
            <w:r w:rsidRPr="00FD37DE">
              <w:rPr>
                <w:b/>
                <w:bCs/>
                <w:sz w:val="14"/>
                <w:szCs w:val="14"/>
                <w:lang w:eastAsia="es-MX"/>
              </w:rPr>
              <w:t>20,477,392</w:t>
            </w:r>
          </w:p>
        </w:tc>
        <w:tc>
          <w:tcPr>
            <w:tcW w:w="1117" w:type="dxa"/>
            <w:tcBorders>
              <w:top w:val="nil"/>
              <w:left w:val="nil"/>
              <w:bottom w:val="nil"/>
              <w:right w:val="single" w:sz="8" w:space="0" w:color="auto"/>
            </w:tcBorders>
            <w:noWrap/>
            <w:vAlign w:val="bottom"/>
          </w:tcPr>
          <w:p w14:paraId="70EF4CBD" w14:textId="77777777" w:rsidR="000F5B29" w:rsidRPr="00FD37DE" w:rsidRDefault="000F5B29" w:rsidP="00AC3862">
            <w:pPr>
              <w:ind w:left="-66"/>
              <w:jc w:val="right"/>
              <w:rPr>
                <w:b/>
                <w:bCs/>
                <w:sz w:val="14"/>
                <w:szCs w:val="14"/>
                <w:lang w:eastAsia="es-MX"/>
              </w:rPr>
            </w:pPr>
            <w:r>
              <w:rPr>
                <w:b/>
                <w:bCs/>
                <w:sz w:val="14"/>
                <w:szCs w:val="14"/>
                <w:lang w:eastAsia="es-MX"/>
              </w:rPr>
              <w:t>15,315,671</w:t>
            </w:r>
          </w:p>
        </w:tc>
        <w:tc>
          <w:tcPr>
            <w:tcW w:w="1267" w:type="dxa"/>
            <w:tcBorders>
              <w:top w:val="nil"/>
              <w:left w:val="nil"/>
              <w:bottom w:val="nil"/>
              <w:right w:val="single" w:sz="8" w:space="0" w:color="auto"/>
            </w:tcBorders>
            <w:noWrap/>
            <w:vAlign w:val="bottom"/>
          </w:tcPr>
          <w:p w14:paraId="275FE187" w14:textId="77777777" w:rsidR="000F5B29" w:rsidRPr="00FD37DE" w:rsidRDefault="000F5B29" w:rsidP="00AC3862">
            <w:pPr>
              <w:ind w:left="-66"/>
              <w:jc w:val="right"/>
              <w:rPr>
                <w:b/>
                <w:bCs/>
                <w:sz w:val="14"/>
                <w:szCs w:val="14"/>
                <w:lang w:eastAsia="es-MX"/>
              </w:rPr>
            </w:pPr>
            <w:r>
              <w:rPr>
                <w:b/>
                <w:bCs/>
                <w:sz w:val="14"/>
                <w:szCs w:val="14"/>
                <w:lang w:eastAsia="es-MX"/>
              </w:rPr>
              <w:t>1,511,581</w:t>
            </w:r>
          </w:p>
        </w:tc>
      </w:tr>
      <w:tr w:rsidR="000F5B29" w:rsidRPr="00FD37DE" w14:paraId="552A41A2" w14:textId="77777777" w:rsidTr="00AC3862">
        <w:trPr>
          <w:trHeight w:val="404"/>
        </w:trPr>
        <w:tc>
          <w:tcPr>
            <w:tcW w:w="2365" w:type="dxa"/>
            <w:tcBorders>
              <w:top w:val="nil"/>
              <w:left w:val="single" w:sz="8" w:space="0" w:color="auto"/>
              <w:bottom w:val="single" w:sz="8" w:space="0" w:color="auto"/>
              <w:right w:val="single" w:sz="8" w:space="0" w:color="auto"/>
            </w:tcBorders>
            <w:vAlign w:val="bottom"/>
            <w:hideMark/>
          </w:tcPr>
          <w:p w14:paraId="6E7080B9" w14:textId="77777777" w:rsidR="000F5B29" w:rsidRPr="00FD37DE" w:rsidRDefault="000F5B29" w:rsidP="00AC3862">
            <w:pPr>
              <w:ind w:left="-66"/>
              <w:rPr>
                <w:b/>
                <w:bCs/>
                <w:sz w:val="14"/>
                <w:szCs w:val="14"/>
                <w:lang w:eastAsia="es-MX"/>
              </w:rPr>
            </w:pPr>
            <w:r w:rsidRPr="00FD37DE">
              <w:rPr>
                <w:b/>
                <w:bCs/>
                <w:sz w:val="14"/>
                <w:szCs w:val="14"/>
                <w:lang w:eastAsia="es-MX"/>
              </w:rPr>
              <w:t>Ingresos por Venta de Bienes y Servicios</w:t>
            </w:r>
          </w:p>
        </w:tc>
        <w:tc>
          <w:tcPr>
            <w:tcW w:w="1117" w:type="dxa"/>
            <w:tcBorders>
              <w:top w:val="nil"/>
              <w:left w:val="nil"/>
              <w:bottom w:val="single" w:sz="8" w:space="0" w:color="auto"/>
              <w:right w:val="single" w:sz="8" w:space="0" w:color="auto"/>
            </w:tcBorders>
            <w:noWrap/>
            <w:vAlign w:val="bottom"/>
          </w:tcPr>
          <w:p w14:paraId="6D0733B6" w14:textId="77777777" w:rsidR="000F5B29" w:rsidRPr="00FD37DE" w:rsidRDefault="000F5B29" w:rsidP="00AC3862">
            <w:pPr>
              <w:ind w:left="-66"/>
              <w:jc w:val="right"/>
              <w:rPr>
                <w:b/>
                <w:bCs/>
                <w:sz w:val="14"/>
                <w:szCs w:val="14"/>
                <w:lang w:eastAsia="es-MX"/>
              </w:rPr>
            </w:pPr>
            <w:r w:rsidRPr="00FD37DE">
              <w:rPr>
                <w:b/>
                <w:bCs/>
                <w:sz w:val="14"/>
                <w:szCs w:val="14"/>
                <w:lang w:eastAsia="es-MX"/>
              </w:rPr>
              <w:t xml:space="preserve">           106,638,170 </w:t>
            </w:r>
          </w:p>
        </w:tc>
        <w:tc>
          <w:tcPr>
            <w:tcW w:w="1117" w:type="dxa"/>
            <w:tcBorders>
              <w:top w:val="nil"/>
              <w:left w:val="nil"/>
              <w:bottom w:val="single" w:sz="8" w:space="0" w:color="auto"/>
              <w:right w:val="single" w:sz="8" w:space="0" w:color="auto"/>
            </w:tcBorders>
            <w:noWrap/>
            <w:vAlign w:val="bottom"/>
            <w:hideMark/>
          </w:tcPr>
          <w:p w14:paraId="4857CCB8" w14:textId="77777777" w:rsidR="000F5B29" w:rsidRPr="00FD37DE" w:rsidRDefault="000F5B29" w:rsidP="00AC3862">
            <w:pPr>
              <w:ind w:left="-66"/>
              <w:jc w:val="right"/>
              <w:rPr>
                <w:b/>
                <w:bCs/>
                <w:sz w:val="14"/>
                <w:szCs w:val="14"/>
                <w:lang w:eastAsia="es-MX"/>
              </w:rPr>
            </w:pPr>
            <w:r w:rsidRPr="00FD37DE">
              <w:rPr>
                <w:b/>
                <w:bCs/>
                <w:sz w:val="14"/>
                <w:szCs w:val="14"/>
                <w:lang w:eastAsia="es-MX"/>
              </w:rPr>
              <w:t xml:space="preserve">             124,194,640 </w:t>
            </w:r>
          </w:p>
        </w:tc>
        <w:tc>
          <w:tcPr>
            <w:tcW w:w="1257" w:type="dxa"/>
            <w:tcBorders>
              <w:top w:val="nil"/>
              <w:left w:val="nil"/>
              <w:bottom w:val="single" w:sz="8" w:space="0" w:color="auto"/>
              <w:right w:val="single" w:sz="8" w:space="0" w:color="auto"/>
            </w:tcBorders>
            <w:noWrap/>
            <w:vAlign w:val="bottom"/>
            <w:hideMark/>
          </w:tcPr>
          <w:p w14:paraId="6B559591" w14:textId="77777777" w:rsidR="000F5B29" w:rsidRPr="00FD37DE" w:rsidRDefault="000F5B29" w:rsidP="00AC3862">
            <w:pPr>
              <w:ind w:left="-66"/>
              <w:jc w:val="right"/>
              <w:rPr>
                <w:b/>
                <w:bCs/>
                <w:sz w:val="14"/>
                <w:szCs w:val="14"/>
                <w:lang w:eastAsia="es-MX"/>
              </w:rPr>
            </w:pPr>
            <w:r w:rsidRPr="00FD37DE">
              <w:rPr>
                <w:b/>
                <w:bCs/>
                <w:sz w:val="14"/>
                <w:szCs w:val="14"/>
                <w:lang w:eastAsia="es-MX"/>
              </w:rPr>
              <w:t>126,418,031</w:t>
            </w:r>
          </w:p>
        </w:tc>
        <w:tc>
          <w:tcPr>
            <w:tcW w:w="1117" w:type="dxa"/>
            <w:tcBorders>
              <w:top w:val="nil"/>
              <w:left w:val="nil"/>
              <w:bottom w:val="single" w:sz="8" w:space="0" w:color="auto"/>
              <w:right w:val="single" w:sz="8" w:space="0" w:color="auto"/>
            </w:tcBorders>
            <w:noWrap/>
            <w:vAlign w:val="bottom"/>
          </w:tcPr>
          <w:p w14:paraId="4D57DD00" w14:textId="77777777" w:rsidR="000F5B29" w:rsidRPr="00FD37DE" w:rsidRDefault="000F5B29" w:rsidP="00AC3862">
            <w:pPr>
              <w:ind w:left="-66"/>
              <w:jc w:val="right"/>
              <w:rPr>
                <w:b/>
                <w:bCs/>
                <w:sz w:val="14"/>
                <w:szCs w:val="14"/>
                <w:lang w:eastAsia="es-MX"/>
              </w:rPr>
            </w:pPr>
            <w:r>
              <w:rPr>
                <w:b/>
                <w:bCs/>
                <w:sz w:val="14"/>
                <w:szCs w:val="14"/>
                <w:lang w:eastAsia="es-MX"/>
              </w:rPr>
              <w:t>136,249,556</w:t>
            </w:r>
          </w:p>
        </w:tc>
        <w:tc>
          <w:tcPr>
            <w:tcW w:w="1267" w:type="dxa"/>
            <w:tcBorders>
              <w:top w:val="nil"/>
              <w:left w:val="nil"/>
              <w:bottom w:val="single" w:sz="8" w:space="0" w:color="auto"/>
              <w:right w:val="single" w:sz="8" w:space="0" w:color="auto"/>
            </w:tcBorders>
            <w:noWrap/>
            <w:vAlign w:val="bottom"/>
          </w:tcPr>
          <w:p w14:paraId="3EC6369F" w14:textId="77777777" w:rsidR="000F5B29" w:rsidRPr="00FD37DE" w:rsidRDefault="000F5B29" w:rsidP="00AC3862">
            <w:pPr>
              <w:ind w:left="-66"/>
              <w:jc w:val="right"/>
              <w:rPr>
                <w:b/>
                <w:bCs/>
                <w:sz w:val="14"/>
                <w:szCs w:val="14"/>
                <w:lang w:eastAsia="es-MX"/>
              </w:rPr>
            </w:pPr>
            <w:r>
              <w:rPr>
                <w:b/>
                <w:bCs/>
                <w:sz w:val="14"/>
                <w:szCs w:val="14"/>
                <w:lang w:eastAsia="es-MX"/>
              </w:rPr>
              <w:t>144,841,749</w:t>
            </w:r>
          </w:p>
        </w:tc>
      </w:tr>
      <w:tr w:rsidR="000F5B29" w:rsidRPr="00FD37DE" w14:paraId="5B9AF023" w14:textId="77777777" w:rsidTr="00AC3862">
        <w:trPr>
          <w:trHeight w:val="157"/>
        </w:trPr>
        <w:tc>
          <w:tcPr>
            <w:tcW w:w="2365" w:type="dxa"/>
            <w:tcBorders>
              <w:top w:val="nil"/>
              <w:left w:val="single" w:sz="8" w:space="0" w:color="auto"/>
              <w:bottom w:val="single" w:sz="8" w:space="0" w:color="auto"/>
              <w:right w:val="single" w:sz="8" w:space="0" w:color="auto"/>
            </w:tcBorders>
            <w:shd w:val="clear" w:color="000000" w:fill="B1A0C7"/>
            <w:noWrap/>
            <w:vAlign w:val="bottom"/>
            <w:hideMark/>
          </w:tcPr>
          <w:p w14:paraId="5124D5D1" w14:textId="77777777" w:rsidR="000F5B29" w:rsidRPr="00FD37DE" w:rsidRDefault="000F5B29" w:rsidP="00AC3862">
            <w:pPr>
              <w:ind w:left="-66"/>
              <w:rPr>
                <w:b/>
                <w:bCs/>
                <w:sz w:val="14"/>
                <w:szCs w:val="14"/>
                <w:lang w:eastAsia="es-MX"/>
              </w:rPr>
            </w:pPr>
            <w:proofErr w:type="gramStart"/>
            <w:r w:rsidRPr="00FD37DE">
              <w:rPr>
                <w:b/>
                <w:bCs/>
                <w:sz w:val="14"/>
                <w:szCs w:val="14"/>
                <w:lang w:eastAsia="es-MX"/>
              </w:rPr>
              <w:t>Total</w:t>
            </w:r>
            <w:proofErr w:type="gramEnd"/>
            <w:r w:rsidRPr="00FD37DE">
              <w:rPr>
                <w:b/>
                <w:bCs/>
                <w:sz w:val="14"/>
                <w:szCs w:val="14"/>
                <w:lang w:eastAsia="es-MX"/>
              </w:rPr>
              <w:t xml:space="preserve"> de Ingresos</w:t>
            </w:r>
          </w:p>
        </w:tc>
        <w:tc>
          <w:tcPr>
            <w:tcW w:w="1117" w:type="dxa"/>
            <w:tcBorders>
              <w:top w:val="nil"/>
              <w:left w:val="nil"/>
              <w:bottom w:val="single" w:sz="8" w:space="0" w:color="auto"/>
              <w:right w:val="single" w:sz="8" w:space="0" w:color="auto"/>
            </w:tcBorders>
            <w:shd w:val="clear" w:color="000000" w:fill="B1A0C7"/>
            <w:noWrap/>
            <w:vAlign w:val="bottom"/>
          </w:tcPr>
          <w:p w14:paraId="0D2B9755" w14:textId="77777777" w:rsidR="000F5B29" w:rsidRPr="00FD37DE" w:rsidRDefault="000F5B29" w:rsidP="00AC3862">
            <w:pPr>
              <w:ind w:left="-66"/>
              <w:jc w:val="right"/>
              <w:rPr>
                <w:b/>
                <w:bCs/>
                <w:sz w:val="14"/>
                <w:szCs w:val="14"/>
                <w:lang w:eastAsia="es-MX"/>
              </w:rPr>
            </w:pPr>
            <w:r w:rsidRPr="00FD37DE">
              <w:rPr>
                <w:b/>
                <w:bCs/>
                <w:sz w:val="14"/>
                <w:szCs w:val="14"/>
                <w:lang w:eastAsia="es-MX"/>
              </w:rPr>
              <w:t xml:space="preserve">        1,341,167,807 </w:t>
            </w:r>
          </w:p>
        </w:tc>
        <w:tc>
          <w:tcPr>
            <w:tcW w:w="1117" w:type="dxa"/>
            <w:tcBorders>
              <w:top w:val="nil"/>
              <w:left w:val="nil"/>
              <w:bottom w:val="single" w:sz="8" w:space="0" w:color="auto"/>
              <w:right w:val="single" w:sz="8" w:space="0" w:color="auto"/>
            </w:tcBorders>
            <w:shd w:val="clear" w:color="000000" w:fill="B1A0C7"/>
            <w:noWrap/>
            <w:vAlign w:val="bottom"/>
            <w:hideMark/>
          </w:tcPr>
          <w:p w14:paraId="5C595AA3" w14:textId="77777777" w:rsidR="000F5B29" w:rsidRPr="00FD37DE" w:rsidRDefault="000F5B29" w:rsidP="00AC3862">
            <w:pPr>
              <w:ind w:left="-66"/>
              <w:jc w:val="right"/>
              <w:rPr>
                <w:b/>
                <w:bCs/>
                <w:sz w:val="14"/>
                <w:szCs w:val="14"/>
                <w:lang w:eastAsia="es-MX"/>
              </w:rPr>
            </w:pPr>
            <w:r w:rsidRPr="00FD37DE">
              <w:rPr>
                <w:b/>
                <w:bCs/>
                <w:sz w:val="14"/>
                <w:szCs w:val="14"/>
                <w:lang w:eastAsia="es-MX"/>
              </w:rPr>
              <w:t xml:space="preserve">          1,596,448,843 </w:t>
            </w:r>
          </w:p>
        </w:tc>
        <w:tc>
          <w:tcPr>
            <w:tcW w:w="1257" w:type="dxa"/>
            <w:tcBorders>
              <w:top w:val="nil"/>
              <w:left w:val="nil"/>
              <w:bottom w:val="single" w:sz="8" w:space="0" w:color="auto"/>
              <w:right w:val="single" w:sz="8" w:space="0" w:color="auto"/>
            </w:tcBorders>
            <w:shd w:val="clear" w:color="000000" w:fill="B1A0C7"/>
            <w:noWrap/>
            <w:vAlign w:val="bottom"/>
            <w:hideMark/>
          </w:tcPr>
          <w:p w14:paraId="6AF71958" w14:textId="77777777" w:rsidR="000F5B29" w:rsidRPr="00FD37DE" w:rsidRDefault="000F5B29" w:rsidP="00AC3862">
            <w:pPr>
              <w:ind w:left="-66"/>
              <w:jc w:val="right"/>
              <w:rPr>
                <w:b/>
                <w:bCs/>
                <w:sz w:val="14"/>
                <w:szCs w:val="14"/>
                <w:lang w:eastAsia="es-MX"/>
              </w:rPr>
            </w:pPr>
            <w:r w:rsidRPr="00FD37DE">
              <w:rPr>
                <w:b/>
                <w:bCs/>
                <w:sz w:val="14"/>
                <w:szCs w:val="14"/>
                <w:lang w:eastAsia="es-MX"/>
              </w:rPr>
              <w:t>2,059,016,876</w:t>
            </w:r>
          </w:p>
        </w:tc>
        <w:tc>
          <w:tcPr>
            <w:tcW w:w="1117" w:type="dxa"/>
            <w:tcBorders>
              <w:top w:val="nil"/>
              <w:left w:val="nil"/>
              <w:bottom w:val="single" w:sz="8" w:space="0" w:color="auto"/>
              <w:right w:val="single" w:sz="8" w:space="0" w:color="auto"/>
            </w:tcBorders>
            <w:shd w:val="clear" w:color="000000" w:fill="B1A0C7"/>
            <w:noWrap/>
            <w:vAlign w:val="bottom"/>
          </w:tcPr>
          <w:p w14:paraId="24944805" w14:textId="77777777" w:rsidR="000F5B29" w:rsidRPr="00FD37DE" w:rsidRDefault="000F5B29" w:rsidP="00AC3862">
            <w:pPr>
              <w:ind w:left="-66"/>
              <w:jc w:val="right"/>
              <w:rPr>
                <w:b/>
                <w:bCs/>
                <w:sz w:val="14"/>
                <w:szCs w:val="14"/>
                <w:lang w:eastAsia="es-MX"/>
              </w:rPr>
            </w:pPr>
            <w:r w:rsidRPr="00FD37DE">
              <w:rPr>
                <w:b/>
                <w:bCs/>
                <w:sz w:val="14"/>
                <w:szCs w:val="14"/>
                <w:lang w:eastAsia="es-MX"/>
              </w:rPr>
              <w:t>2,</w:t>
            </w:r>
            <w:r>
              <w:rPr>
                <w:b/>
                <w:bCs/>
                <w:sz w:val="14"/>
                <w:szCs w:val="14"/>
                <w:lang w:eastAsia="es-MX"/>
              </w:rPr>
              <w:t>264</w:t>
            </w:r>
            <w:r w:rsidRPr="00FD37DE">
              <w:rPr>
                <w:b/>
                <w:bCs/>
                <w:sz w:val="14"/>
                <w:szCs w:val="14"/>
                <w:lang w:eastAsia="es-MX"/>
              </w:rPr>
              <w:t>,</w:t>
            </w:r>
            <w:r>
              <w:rPr>
                <w:b/>
                <w:bCs/>
                <w:sz w:val="14"/>
                <w:szCs w:val="14"/>
                <w:lang w:eastAsia="es-MX"/>
              </w:rPr>
              <w:t>467</w:t>
            </w:r>
            <w:r w:rsidRPr="00FD37DE">
              <w:rPr>
                <w:b/>
                <w:bCs/>
                <w:sz w:val="14"/>
                <w:szCs w:val="14"/>
                <w:lang w:eastAsia="es-MX"/>
              </w:rPr>
              <w:t>,</w:t>
            </w:r>
            <w:r>
              <w:rPr>
                <w:b/>
                <w:bCs/>
                <w:sz w:val="14"/>
                <w:szCs w:val="14"/>
                <w:lang w:eastAsia="es-MX"/>
              </w:rPr>
              <w:t>847</w:t>
            </w:r>
          </w:p>
        </w:tc>
        <w:tc>
          <w:tcPr>
            <w:tcW w:w="1267" w:type="dxa"/>
            <w:tcBorders>
              <w:top w:val="nil"/>
              <w:left w:val="nil"/>
              <w:bottom w:val="single" w:sz="8" w:space="0" w:color="auto"/>
              <w:right w:val="single" w:sz="8" w:space="0" w:color="auto"/>
            </w:tcBorders>
            <w:shd w:val="clear" w:color="000000" w:fill="B1A0C7"/>
            <w:noWrap/>
            <w:vAlign w:val="bottom"/>
          </w:tcPr>
          <w:p w14:paraId="679BB5D1" w14:textId="77777777" w:rsidR="000F5B29" w:rsidRPr="00FD37DE" w:rsidRDefault="000F5B29" w:rsidP="00AC3862">
            <w:pPr>
              <w:ind w:left="-66"/>
              <w:jc w:val="right"/>
              <w:rPr>
                <w:b/>
                <w:bCs/>
                <w:sz w:val="14"/>
                <w:szCs w:val="14"/>
                <w:lang w:eastAsia="es-MX"/>
              </w:rPr>
            </w:pPr>
            <w:r>
              <w:rPr>
                <w:b/>
                <w:bCs/>
                <w:sz w:val="14"/>
                <w:szCs w:val="14"/>
                <w:lang w:eastAsia="es-MX"/>
              </w:rPr>
              <w:t>2,269,135,353</w:t>
            </w:r>
          </w:p>
        </w:tc>
      </w:tr>
    </w:tbl>
    <w:p w14:paraId="61FB470E" w14:textId="77777777" w:rsidR="000F5B29" w:rsidRPr="00906252" w:rsidRDefault="000F5B29" w:rsidP="000F5B29">
      <w:pPr>
        <w:spacing w:line="360" w:lineRule="auto"/>
        <w:jc w:val="both"/>
        <w:rPr>
          <w:rFonts w:ascii="Arial" w:hAnsi="Arial" w:cs="Arial"/>
          <w:b/>
          <w:sz w:val="12"/>
          <w:szCs w:val="28"/>
        </w:rPr>
      </w:pPr>
      <w:r w:rsidRPr="00906252">
        <w:rPr>
          <w:rFonts w:ascii="Arial" w:hAnsi="Arial" w:cs="Arial"/>
          <w:b/>
          <w:sz w:val="12"/>
          <w:szCs w:val="28"/>
        </w:rPr>
        <w:t>Fuente: Dirección de Contabilidad Gubernamental y Coordinación Hacendaria.</w:t>
      </w:r>
    </w:p>
    <w:p w14:paraId="7FE1C3D7" w14:textId="77777777" w:rsidR="000F5B29" w:rsidRDefault="000F5B29" w:rsidP="000F5B29">
      <w:pPr>
        <w:spacing w:line="360" w:lineRule="auto"/>
        <w:jc w:val="both"/>
        <w:rPr>
          <w:rFonts w:ascii="Arial" w:hAnsi="Arial" w:cs="Arial"/>
          <w:b/>
          <w:sz w:val="12"/>
          <w:szCs w:val="28"/>
        </w:rPr>
      </w:pPr>
      <w:r w:rsidRPr="00906252">
        <w:rPr>
          <w:rFonts w:ascii="Arial" w:hAnsi="Arial" w:cs="Arial"/>
          <w:b/>
          <w:sz w:val="12"/>
          <w:szCs w:val="28"/>
        </w:rPr>
        <w:t>* Estimaciones al Cierre de 202</w:t>
      </w:r>
      <w:r>
        <w:rPr>
          <w:rFonts w:ascii="Arial" w:hAnsi="Arial" w:cs="Arial"/>
          <w:b/>
          <w:sz w:val="12"/>
          <w:szCs w:val="28"/>
        </w:rPr>
        <w:t>5</w:t>
      </w:r>
      <w:r w:rsidRPr="00906252">
        <w:rPr>
          <w:rFonts w:ascii="Arial" w:hAnsi="Arial" w:cs="Arial"/>
          <w:b/>
          <w:sz w:val="12"/>
          <w:szCs w:val="28"/>
        </w:rPr>
        <w:t>.</w:t>
      </w:r>
    </w:p>
    <w:p w14:paraId="1323148E" w14:textId="77777777" w:rsidR="000F5B29" w:rsidRPr="00906252" w:rsidRDefault="000F5B29" w:rsidP="000F5B29">
      <w:pPr>
        <w:spacing w:line="360" w:lineRule="auto"/>
        <w:jc w:val="both"/>
        <w:rPr>
          <w:rFonts w:ascii="Arial" w:hAnsi="Arial" w:cs="Arial"/>
          <w:b/>
          <w:sz w:val="12"/>
          <w:szCs w:val="28"/>
        </w:rPr>
      </w:pPr>
    </w:p>
    <w:p w14:paraId="43D85265" w14:textId="77777777" w:rsidR="000F5B29" w:rsidRPr="00DB1F68" w:rsidRDefault="000F5B29" w:rsidP="000F5B29">
      <w:pPr>
        <w:spacing w:line="360" w:lineRule="auto"/>
        <w:jc w:val="center"/>
        <w:rPr>
          <w:rFonts w:ascii="Arial" w:hAnsi="Arial" w:cs="Arial"/>
          <w:b/>
          <w:sz w:val="20"/>
          <w:szCs w:val="44"/>
        </w:rPr>
      </w:pPr>
      <w:proofErr w:type="gramStart"/>
      <w:r w:rsidRPr="00DB1F68">
        <w:rPr>
          <w:rFonts w:ascii="Arial" w:hAnsi="Arial" w:cs="Arial"/>
          <w:b/>
          <w:sz w:val="20"/>
          <w:szCs w:val="44"/>
        </w:rPr>
        <w:t>Total</w:t>
      </w:r>
      <w:proofErr w:type="gramEnd"/>
      <w:r w:rsidRPr="00DB1F68">
        <w:rPr>
          <w:rFonts w:ascii="Arial" w:hAnsi="Arial" w:cs="Arial"/>
          <w:b/>
          <w:sz w:val="20"/>
          <w:szCs w:val="44"/>
        </w:rPr>
        <w:t xml:space="preserve"> de Ingresos Recaudados 202</w:t>
      </w:r>
      <w:r>
        <w:rPr>
          <w:rFonts w:ascii="Arial" w:hAnsi="Arial" w:cs="Arial"/>
          <w:b/>
          <w:sz w:val="20"/>
          <w:szCs w:val="44"/>
        </w:rPr>
        <w:t>1</w:t>
      </w:r>
      <w:r w:rsidRPr="00DB1F68">
        <w:rPr>
          <w:rFonts w:ascii="Arial" w:hAnsi="Arial" w:cs="Arial"/>
          <w:b/>
          <w:sz w:val="20"/>
          <w:szCs w:val="44"/>
        </w:rPr>
        <w:t>-202</w:t>
      </w:r>
      <w:r>
        <w:rPr>
          <w:rFonts w:ascii="Arial" w:hAnsi="Arial" w:cs="Arial"/>
          <w:b/>
          <w:sz w:val="20"/>
          <w:szCs w:val="44"/>
        </w:rPr>
        <w:t>5</w:t>
      </w:r>
      <w:r w:rsidRPr="00DB1F68">
        <w:rPr>
          <w:rFonts w:ascii="Arial" w:hAnsi="Arial" w:cs="Arial"/>
          <w:b/>
          <w:sz w:val="20"/>
          <w:szCs w:val="44"/>
        </w:rPr>
        <w:t>*</w:t>
      </w:r>
    </w:p>
    <w:p w14:paraId="5CDDB91E" w14:textId="77777777" w:rsidR="000F5B29" w:rsidRPr="008D5C06" w:rsidRDefault="000F5B29" w:rsidP="000F5B29">
      <w:pPr>
        <w:spacing w:line="360" w:lineRule="auto"/>
        <w:jc w:val="center"/>
        <w:rPr>
          <w:rFonts w:ascii="Arial" w:hAnsi="Arial" w:cs="Arial"/>
          <w:b/>
          <w:sz w:val="10"/>
        </w:rPr>
      </w:pPr>
      <w:r>
        <w:rPr>
          <w:rFonts w:ascii="Arial" w:hAnsi="Arial" w:cs="Arial"/>
          <w:b/>
          <w:noProof/>
          <w:sz w:val="10"/>
        </w:rPr>
        <w:lastRenderedPageBreak/>
        <w:drawing>
          <wp:inline distT="0" distB="0" distL="0" distR="0" wp14:anchorId="1D5847F7" wp14:editId="086F137A">
            <wp:extent cx="4255995" cy="21229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9499" cy="2144700"/>
                    </a:xfrm>
                    <a:prstGeom prst="rect">
                      <a:avLst/>
                    </a:prstGeom>
                    <a:noFill/>
                  </pic:spPr>
                </pic:pic>
              </a:graphicData>
            </a:graphic>
          </wp:inline>
        </w:drawing>
      </w:r>
    </w:p>
    <w:p w14:paraId="4113983A" w14:textId="77777777" w:rsidR="000F5B29" w:rsidRPr="00906252" w:rsidRDefault="000F5B29" w:rsidP="000F5B29">
      <w:pPr>
        <w:spacing w:line="360" w:lineRule="auto"/>
        <w:jc w:val="both"/>
        <w:rPr>
          <w:rFonts w:ascii="Arial" w:hAnsi="Arial" w:cs="Arial"/>
          <w:b/>
          <w:sz w:val="12"/>
          <w:szCs w:val="28"/>
        </w:rPr>
      </w:pPr>
      <w:r w:rsidRPr="00906252">
        <w:rPr>
          <w:rFonts w:ascii="Arial" w:hAnsi="Arial" w:cs="Arial"/>
          <w:b/>
          <w:sz w:val="12"/>
          <w:szCs w:val="28"/>
        </w:rPr>
        <w:t xml:space="preserve">Fuente: Dirección de Contabilidad Gubernamental y Coordinación Hacendaria </w:t>
      </w:r>
    </w:p>
    <w:p w14:paraId="27C3CB3A" w14:textId="21CAEE17" w:rsidR="000F5B29" w:rsidRPr="00906252" w:rsidRDefault="000F5B29" w:rsidP="000F5B29">
      <w:pPr>
        <w:spacing w:line="360" w:lineRule="auto"/>
        <w:jc w:val="both"/>
        <w:rPr>
          <w:rFonts w:ascii="Arial" w:hAnsi="Arial" w:cs="Arial"/>
          <w:b/>
          <w:sz w:val="12"/>
          <w:szCs w:val="28"/>
        </w:rPr>
      </w:pPr>
      <w:r w:rsidRPr="00906252">
        <w:rPr>
          <w:rFonts w:ascii="Arial" w:hAnsi="Arial" w:cs="Arial"/>
          <w:b/>
          <w:sz w:val="12"/>
          <w:szCs w:val="28"/>
        </w:rPr>
        <w:t>* Estimaciones al Cierre de 202</w:t>
      </w:r>
      <w:r w:rsidR="000E6552">
        <w:rPr>
          <w:rFonts w:ascii="Arial" w:hAnsi="Arial" w:cs="Arial"/>
          <w:b/>
          <w:sz w:val="12"/>
          <w:szCs w:val="28"/>
        </w:rPr>
        <w:t>5</w:t>
      </w:r>
      <w:r w:rsidRPr="00906252">
        <w:rPr>
          <w:rFonts w:ascii="Arial" w:hAnsi="Arial" w:cs="Arial"/>
          <w:b/>
          <w:sz w:val="12"/>
          <w:szCs w:val="28"/>
        </w:rPr>
        <w:t>.</w:t>
      </w:r>
    </w:p>
    <w:p w14:paraId="7B958276" w14:textId="77777777" w:rsidR="00CE2445" w:rsidRPr="00CE2445" w:rsidRDefault="00CE2445" w:rsidP="00CE2445">
      <w:pPr>
        <w:pStyle w:val="PRIMERAPLANA"/>
        <w:spacing w:line="360" w:lineRule="auto"/>
        <w:rPr>
          <w:rFonts w:ascii="Times New Roman" w:hAnsi="Times New Roman"/>
          <w:lang w:val="es-MX"/>
        </w:rPr>
      </w:pPr>
    </w:p>
    <w:p w14:paraId="2AF03B0A" w14:textId="77777777" w:rsidR="000F5B29" w:rsidRPr="007D1162" w:rsidRDefault="000F5B29" w:rsidP="000F5B29">
      <w:pPr>
        <w:pStyle w:val="PRIMERAPLANA"/>
        <w:spacing w:line="360" w:lineRule="auto"/>
        <w:rPr>
          <w:rFonts w:ascii="Times New Roman" w:hAnsi="Times New Roman"/>
          <w:bCs/>
        </w:rPr>
      </w:pPr>
      <w:r w:rsidRPr="007D1162">
        <w:rPr>
          <w:rFonts w:ascii="Times New Roman" w:hAnsi="Times New Roman"/>
          <w:bCs/>
        </w:rPr>
        <w:t xml:space="preserve">Ante un panorama económico que puede presentar riesgos en el corto y en el mediano plazo, esta administración no prevé la creación de nuevos impuestos ni el incremento de los ya vigentes, por lo que será una tarea fundamental </w:t>
      </w:r>
      <w:proofErr w:type="spellStart"/>
      <w:r w:rsidRPr="007D1162">
        <w:rPr>
          <w:rFonts w:ascii="Times New Roman" w:hAnsi="Times New Roman"/>
          <w:bCs/>
        </w:rPr>
        <w:t>eficientar</w:t>
      </w:r>
      <w:proofErr w:type="spellEnd"/>
      <w:r w:rsidRPr="007D1162">
        <w:rPr>
          <w:rFonts w:ascii="Times New Roman" w:hAnsi="Times New Roman"/>
          <w:bCs/>
        </w:rPr>
        <w:t xml:space="preserve"> la administración y recaudación de las diferentes fuentes de ingresos</w:t>
      </w:r>
      <w:r>
        <w:rPr>
          <w:rFonts w:ascii="Times New Roman" w:hAnsi="Times New Roman"/>
          <w:bCs/>
        </w:rPr>
        <w:t xml:space="preserve">, mediante </w:t>
      </w:r>
      <w:r w:rsidRPr="007D1162">
        <w:rPr>
          <w:rFonts w:ascii="Times New Roman" w:hAnsi="Times New Roman"/>
          <w:bCs/>
        </w:rPr>
        <w:t>una política fiscal que favorezca el financiamiento del gasto público</w:t>
      </w:r>
      <w:r>
        <w:rPr>
          <w:rFonts w:ascii="Times New Roman" w:hAnsi="Times New Roman"/>
          <w:bCs/>
        </w:rPr>
        <w:t xml:space="preserve">. </w:t>
      </w:r>
      <w:r w:rsidRPr="007D1162">
        <w:rPr>
          <w:rFonts w:ascii="Times New Roman" w:hAnsi="Times New Roman"/>
          <w:bCs/>
        </w:rPr>
        <w:t>En materia de incentivos fiscales estatales, se propo</w:t>
      </w:r>
      <w:r>
        <w:rPr>
          <w:rFonts w:ascii="Times New Roman" w:hAnsi="Times New Roman"/>
          <w:bCs/>
        </w:rPr>
        <w:t>nen</w:t>
      </w:r>
      <w:r w:rsidRPr="007D1162">
        <w:rPr>
          <w:rFonts w:ascii="Times New Roman" w:hAnsi="Times New Roman"/>
          <w:bCs/>
        </w:rPr>
        <w:t xml:space="preserve"> políticas </w:t>
      </w:r>
      <w:r>
        <w:rPr>
          <w:rFonts w:ascii="Times New Roman" w:hAnsi="Times New Roman"/>
          <w:bCs/>
        </w:rPr>
        <w:t xml:space="preserve">que </w:t>
      </w:r>
      <w:r w:rsidRPr="007D1162">
        <w:rPr>
          <w:rFonts w:ascii="Times New Roman" w:hAnsi="Times New Roman"/>
          <w:bCs/>
        </w:rPr>
        <w:t>foment</w:t>
      </w:r>
      <w:r>
        <w:rPr>
          <w:rFonts w:ascii="Times New Roman" w:hAnsi="Times New Roman"/>
          <w:bCs/>
        </w:rPr>
        <w:t>an</w:t>
      </w:r>
      <w:r w:rsidRPr="007D1162">
        <w:rPr>
          <w:rFonts w:ascii="Times New Roman" w:hAnsi="Times New Roman"/>
          <w:bCs/>
        </w:rPr>
        <w:t xml:space="preserve"> la creación de nuevos empleos y</w:t>
      </w:r>
      <w:r>
        <w:rPr>
          <w:rFonts w:ascii="Times New Roman" w:hAnsi="Times New Roman"/>
          <w:bCs/>
        </w:rPr>
        <w:t xml:space="preserve"> la</w:t>
      </w:r>
      <w:r w:rsidRPr="007D1162">
        <w:rPr>
          <w:rFonts w:ascii="Times New Roman" w:hAnsi="Times New Roman"/>
          <w:bCs/>
        </w:rPr>
        <w:t xml:space="preserve"> </w:t>
      </w:r>
      <w:r>
        <w:rPr>
          <w:rFonts w:ascii="Times New Roman" w:hAnsi="Times New Roman"/>
          <w:bCs/>
        </w:rPr>
        <w:t>integración de</w:t>
      </w:r>
      <w:r w:rsidRPr="007D1162">
        <w:rPr>
          <w:rFonts w:ascii="Times New Roman" w:hAnsi="Times New Roman"/>
          <w:bCs/>
        </w:rPr>
        <w:t xml:space="preserve"> cadenas productivas, que </w:t>
      </w:r>
      <w:r>
        <w:rPr>
          <w:rFonts w:ascii="Times New Roman" w:hAnsi="Times New Roman"/>
          <w:bCs/>
        </w:rPr>
        <w:t>propicien el desarrollo de los sectores económicos de</w:t>
      </w:r>
      <w:r w:rsidRPr="007D1162">
        <w:rPr>
          <w:rFonts w:ascii="Times New Roman" w:hAnsi="Times New Roman"/>
          <w:bCs/>
        </w:rPr>
        <w:t>l Estado.</w:t>
      </w:r>
    </w:p>
    <w:p w14:paraId="5D15BF08" w14:textId="77777777" w:rsidR="000F5B29" w:rsidRPr="007D1162" w:rsidRDefault="000F5B29" w:rsidP="000F5B29">
      <w:pPr>
        <w:pStyle w:val="PRIMERAPLANA"/>
        <w:spacing w:line="360" w:lineRule="auto"/>
        <w:rPr>
          <w:rFonts w:ascii="Times New Roman" w:hAnsi="Times New Roman"/>
          <w:bCs/>
        </w:rPr>
      </w:pPr>
    </w:p>
    <w:p w14:paraId="264E6BED" w14:textId="77777777" w:rsidR="000F5B29" w:rsidRPr="007D1162" w:rsidRDefault="000F5B29" w:rsidP="000F5B29">
      <w:pPr>
        <w:pStyle w:val="PRIMERAPLANA"/>
        <w:spacing w:line="360" w:lineRule="auto"/>
        <w:rPr>
          <w:rFonts w:ascii="Times New Roman" w:hAnsi="Times New Roman"/>
          <w:bCs/>
        </w:rPr>
      </w:pPr>
      <w:r>
        <w:rPr>
          <w:rFonts w:ascii="Times New Roman" w:hAnsi="Times New Roman"/>
          <w:bCs/>
        </w:rPr>
        <w:t xml:space="preserve">Es por ello, </w:t>
      </w:r>
      <w:proofErr w:type="gramStart"/>
      <w:r>
        <w:rPr>
          <w:rFonts w:ascii="Times New Roman" w:hAnsi="Times New Roman"/>
          <w:bCs/>
        </w:rPr>
        <w:t>que</w:t>
      </w:r>
      <w:proofErr w:type="gramEnd"/>
      <w:r>
        <w:rPr>
          <w:rFonts w:ascii="Times New Roman" w:hAnsi="Times New Roman"/>
          <w:bCs/>
        </w:rPr>
        <w:t xml:space="preserve"> o</w:t>
      </w:r>
      <w:r w:rsidRPr="007D1162">
        <w:rPr>
          <w:rFonts w:ascii="Times New Roman" w:hAnsi="Times New Roman"/>
          <w:bCs/>
        </w:rPr>
        <w:t>bservando el principio de justicia tributaria, se prevé otorgar estímulos en materia del Impuesto Sobre Nóminas a empresas que ya se encuentren instaladas y a las de nueva creación con domicilio fiscal en el Estado, que contraten adultos mayores y a personas con alguna discapacidad; por otra parte, se continuará subsidiando el pago del Impuesto Estatal Sobre Tenencia o Uso de Vehículos</w:t>
      </w:r>
      <w:r>
        <w:rPr>
          <w:rFonts w:ascii="Times New Roman" w:hAnsi="Times New Roman"/>
          <w:bCs/>
        </w:rPr>
        <w:t xml:space="preserve"> en apoyo de las familias tlaxcaltecas</w:t>
      </w:r>
      <w:r w:rsidRPr="007D1162">
        <w:rPr>
          <w:rFonts w:ascii="Times New Roman" w:hAnsi="Times New Roman"/>
          <w:bCs/>
        </w:rPr>
        <w:t>.</w:t>
      </w:r>
    </w:p>
    <w:p w14:paraId="298F2AA8" w14:textId="77777777" w:rsidR="000F5B29" w:rsidRPr="007D1162" w:rsidRDefault="000F5B29" w:rsidP="000F5B29">
      <w:pPr>
        <w:pStyle w:val="PRIMERAPLANA"/>
        <w:spacing w:line="360" w:lineRule="auto"/>
        <w:rPr>
          <w:rFonts w:ascii="Times New Roman" w:hAnsi="Times New Roman"/>
          <w:bCs/>
        </w:rPr>
      </w:pPr>
    </w:p>
    <w:p w14:paraId="74643469" w14:textId="11730E92" w:rsidR="000F5B29" w:rsidRPr="007D1162" w:rsidRDefault="000F5B29" w:rsidP="000F5B29">
      <w:pPr>
        <w:pStyle w:val="PRIMERAPLANA"/>
        <w:spacing w:line="360" w:lineRule="auto"/>
        <w:rPr>
          <w:rFonts w:ascii="Times New Roman" w:hAnsi="Times New Roman"/>
          <w:bCs/>
        </w:rPr>
      </w:pPr>
      <w:r w:rsidRPr="00AF2D7D">
        <w:rPr>
          <w:rFonts w:ascii="Times New Roman" w:hAnsi="Times New Roman"/>
          <w:bCs/>
        </w:rPr>
        <w:t>Asimismo, se otorgan beneficios a los propietarios, tenedores o usuarios de vehículos automotores</w:t>
      </w:r>
      <w:r w:rsidRPr="00767773">
        <w:rPr>
          <w:rFonts w:ascii="Times New Roman" w:hAnsi="Times New Roman"/>
          <w:bCs/>
        </w:rPr>
        <w:t xml:space="preserve"> híbridos que circulen en la Entidad, otorgándoles una exención del 100% en el pago del Impuesto Estatal Sobre Tenencia o Uso de Vehículos y de los Derechos por Registro y Control Vehicular; la reducción en el cobro de infracciones, estableciendo un tabulador para tal efecto, a fin de otorgar certeza jurídica a los infractores que se les imponga alguna multa por los supuestos establecidos en el Reglamento de la Ley de Comunicaciones y Transportes en el Estado de Tlaxcala en Materia de </w:t>
      </w:r>
      <w:r w:rsidR="00AF2D7D">
        <w:rPr>
          <w:rFonts w:ascii="Times New Roman" w:hAnsi="Times New Roman"/>
          <w:bCs/>
        </w:rPr>
        <w:t xml:space="preserve">Vías de Comunicación, </w:t>
      </w:r>
      <w:r w:rsidRPr="00767773">
        <w:rPr>
          <w:rFonts w:ascii="Times New Roman" w:hAnsi="Times New Roman"/>
          <w:bCs/>
        </w:rPr>
        <w:t>Transporte Público y Privado, así como facilidades a los propietarios de motocicletas para su registro en el Padrón Estatal Vehicular.</w:t>
      </w:r>
    </w:p>
    <w:p w14:paraId="62A87AE3" w14:textId="77777777" w:rsidR="000F5B29" w:rsidRPr="007D1162" w:rsidRDefault="000F5B29" w:rsidP="000F5B29">
      <w:pPr>
        <w:spacing w:line="360" w:lineRule="auto"/>
        <w:jc w:val="both"/>
        <w:rPr>
          <w:bCs/>
          <w:sz w:val="20"/>
          <w:szCs w:val="20"/>
          <w:lang w:val="es-ES_tradnl"/>
        </w:rPr>
      </w:pPr>
      <w:r>
        <w:rPr>
          <w:bCs/>
          <w:sz w:val="20"/>
          <w:szCs w:val="20"/>
          <w:lang w:val="es-ES_tradnl"/>
        </w:rPr>
        <w:lastRenderedPageBreak/>
        <w:t>L</w:t>
      </w:r>
      <w:r w:rsidRPr="007D1162">
        <w:rPr>
          <w:bCs/>
          <w:sz w:val="20"/>
          <w:szCs w:val="20"/>
          <w:lang w:val="es-ES_tradnl"/>
        </w:rPr>
        <w:t>a atención de los derechos de las niñas, niños y adolescentes de 0 a 5 años y adolescentes hasta los 18 años es fundamental</w:t>
      </w:r>
      <w:r>
        <w:rPr>
          <w:bCs/>
          <w:sz w:val="20"/>
          <w:szCs w:val="20"/>
          <w:lang w:val="es-ES_tradnl"/>
        </w:rPr>
        <w:t>, por lo que e</w:t>
      </w:r>
      <w:r w:rsidRPr="007D1162">
        <w:rPr>
          <w:bCs/>
          <w:sz w:val="20"/>
          <w:szCs w:val="20"/>
          <w:lang w:val="es-ES_tradnl"/>
        </w:rPr>
        <w:t xml:space="preserve">l Gobierno del Estado considera prioritaria una estrategia de inclusión social con perspectiva de género, </w:t>
      </w:r>
      <w:r>
        <w:rPr>
          <w:bCs/>
          <w:sz w:val="20"/>
          <w:szCs w:val="20"/>
          <w:lang w:val="es-ES_tradnl"/>
        </w:rPr>
        <w:t>para lo cual se</w:t>
      </w:r>
      <w:r w:rsidRPr="007D1162">
        <w:rPr>
          <w:bCs/>
          <w:sz w:val="20"/>
          <w:szCs w:val="20"/>
          <w:lang w:val="es-ES_tradnl"/>
        </w:rPr>
        <w:t xml:space="preserve"> han emprendido acciones que permiten identificar plenamente los recursos que son ejercidos en estos rubros por las </w:t>
      </w:r>
      <w:r>
        <w:rPr>
          <w:bCs/>
          <w:sz w:val="20"/>
          <w:szCs w:val="20"/>
          <w:lang w:val="es-ES_tradnl"/>
        </w:rPr>
        <w:t xml:space="preserve">diferentes </w:t>
      </w:r>
      <w:r w:rsidRPr="007D1162">
        <w:rPr>
          <w:bCs/>
          <w:sz w:val="20"/>
          <w:szCs w:val="20"/>
          <w:lang w:val="es-ES_tradnl"/>
        </w:rPr>
        <w:t xml:space="preserve">Dependencias del Estado, previniendo rezagos y desigualdades, </w:t>
      </w:r>
      <w:r>
        <w:rPr>
          <w:bCs/>
          <w:sz w:val="20"/>
          <w:szCs w:val="20"/>
          <w:lang w:val="es-ES_tradnl"/>
        </w:rPr>
        <w:t>incorporando</w:t>
      </w:r>
      <w:r w:rsidRPr="007D1162">
        <w:rPr>
          <w:bCs/>
          <w:sz w:val="20"/>
          <w:szCs w:val="20"/>
          <w:lang w:val="es-ES_tradnl"/>
        </w:rPr>
        <w:t xml:space="preserve"> estrategias de desarrollo con perspectiva de género al interior de éstas.</w:t>
      </w:r>
    </w:p>
    <w:p w14:paraId="747F3878" w14:textId="77777777" w:rsidR="000F5B29" w:rsidRPr="007D1162" w:rsidRDefault="000F5B29" w:rsidP="000F5B29">
      <w:pPr>
        <w:spacing w:line="360" w:lineRule="auto"/>
        <w:jc w:val="both"/>
        <w:rPr>
          <w:bCs/>
          <w:sz w:val="20"/>
          <w:szCs w:val="20"/>
          <w:lang w:val="es-ES_tradnl"/>
        </w:rPr>
      </w:pPr>
    </w:p>
    <w:p w14:paraId="5218EC2F" w14:textId="47F8F6EB" w:rsidR="00CE2445" w:rsidRDefault="000F5B29" w:rsidP="000F5B29">
      <w:pPr>
        <w:spacing w:line="360" w:lineRule="auto"/>
        <w:jc w:val="both"/>
        <w:rPr>
          <w:sz w:val="20"/>
          <w:szCs w:val="20"/>
        </w:rPr>
      </w:pPr>
      <w:r w:rsidRPr="002C78C7">
        <w:rPr>
          <w:bCs/>
          <w:sz w:val="20"/>
          <w:szCs w:val="20"/>
          <w:lang w:val="es-ES_tradnl"/>
        </w:rPr>
        <w:t xml:space="preserve">Al mes de </w:t>
      </w:r>
      <w:r w:rsidR="005E0F95">
        <w:rPr>
          <w:bCs/>
          <w:sz w:val="20"/>
          <w:szCs w:val="20"/>
          <w:lang w:val="es-ES_tradnl"/>
        </w:rPr>
        <w:t>a</w:t>
      </w:r>
      <w:r>
        <w:rPr>
          <w:bCs/>
          <w:sz w:val="20"/>
          <w:szCs w:val="20"/>
          <w:lang w:val="es-ES_tradnl"/>
        </w:rPr>
        <w:t>gosto</w:t>
      </w:r>
      <w:r w:rsidRPr="002C78C7">
        <w:rPr>
          <w:bCs/>
          <w:sz w:val="20"/>
          <w:szCs w:val="20"/>
          <w:lang w:val="es-ES_tradnl"/>
        </w:rPr>
        <w:t xml:space="preserve"> de 2025 la tasa de ocupación reflejó una participación del 1% al total nacional,</w:t>
      </w:r>
      <w:r w:rsidRPr="007D1162">
        <w:rPr>
          <w:bCs/>
          <w:sz w:val="20"/>
          <w:szCs w:val="20"/>
          <w:lang w:val="es-ES_tradnl"/>
        </w:rPr>
        <w:t xml:space="preserve"> presentando un incremento de </w:t>
      </w:r>
      <w:r>
        <w:rPr>
          <w:bCs/>
          <w:sz w:val="20"/>
          <w:szCs w:val="20"/>
          <w:lang w:val="es-ES_tradnl"/>
        </w:rPr>
        <w:t>563</w:t>
      </w:r>
      <w:r w:rsidRPr="007D1162">
        <w:rPr>
          <w:bCs/>
          <w:sz w:val="20"/>
          <w:szCs w:val="20"/>
          <w:lang w:val="es-ES_tradnl"/>
        </w:rPr>
        <w:t xml:space="preserve"> puestos de trabajo permanentes respecto a diciembre de 202</w:t>
      </w:r>
      <w:r>
        <w:rPr>
          <w:bCs/>
          <w:sz w:val="20"/>
          <w:szCs w:val="20"/>
          <w:lang w:val="es-ES_tradnl"/>
        </w:rPr>
        <w:t>4</w:t>
      </w:r>
      <w:r w:rsidRPr="007D1162">
        <w:rPr>
          <w:bCs/>
          <w:sz w:val="20"/>
          <w:szCs w:val="20"/>
          <w:lang w:val="es-ES_tradnl"/>
        </w:rPr>
        <w:t xml:space="preserve">. Al mes de </w:t>
      </w:r>
      <w:r>
        <w:rPr>
          <w:bCs/>
          <w:sz w:val="20"/>
          <w:szCs w:val="20"/>
          <w:lang w:val="es-ES_tradnl"/>
        </w:rPr>
        <w:t>agosto</w:t>
      </w:r>
      <w:r w:rsidRPr="007D1162">
        <w:rPr>
          <w:bCs/>
          <w:sz w:val="20"/>
          <w:szCs w:val="20"/>
          <w:lang w:val="es-ES_tradnl"/>
        </w:rPr>
        <w:t xml:space="preserve"> de 202</w:t>
      </w:r>
      <w:r>
        <w:rPr>
          <w:bCs/>
          <w:sz w:val="20"/>
          <w:szCs w:val="20"/>
          <w:lang w:val="es-ES_tradnl"/>
        </w:rPr>
        <w:t>5</w:t>
      </w:r>
      <w:r w:rsidRPr="007D1162">
        <w:rPr>
          <w:bCs/>
          <w:sz w:val="20"/>
          <w:szCs w:val="20"/>
          <w:lang w:val="es-ES_tradnl"/>
        </w:rPr>
        <w:t>, se tienen registrados 11</w:t>
      </w:r>
      <w:r>
        <w:rPr>
          <w:bCs/>
          <w:sz w:val="20"/>
          <w:szCs w:val="20"/>
          <w:lang w:val="es-ES_tradnl"/>
        </w:rPr>
        <w:t>6</w:t>
      </w:r>
      <w:r w:rsidRPr="007D1162">
        <w:rPr>
          <w:bCs/>
          <w:sz w:val="20"/>
          <w:szCs w:val="20"/>
          <w:lang w:val="es-ES_tradnl"/>
        </w:rPr>
        <w:t>,</w:t>
      </w:r>
      <w:r>
        <w:rPr>
          <w:bCs/>
          <w:sz w:val="20"/>
          <w:szCs w:val="20"/>
          <w:lang w:val="es-ES_tradnl"/>
        </w:rPr>
        <w:t>849</w:t>
      </w:r>
      <w:r w:rsidRPr="007D1162">
        <w:rPr>
          <w:bCs/>
          <w:sz w:val="20"/>
          <w:szCs w:val="20"/>
          <w:lang w:val="es-ES_tradnl"/>
        </w:rPr>
        <w:t xml:space="preserve"> trabajadores asegurados en el IMSS, tal y como se muestra en los cuadros siguientes</w:t>
      </w:r>
      <w:r w:rsidR="00CE2445" w:rsidRPr="00CE2445">
        <w:rPr>
          <w:sz w:val="20"/>
          <w:szCs w:val="20"/>
        </w:rPr>
        <w:t>:</w:t>
      </w:r>
    </w:p>
    <w:p w14:paraId="480AFE9A" w14:textId="68D622A0" w:rsidR="000F5B29" w:rsidRPr="00CE2445" w:rsidRDefault="000F5B29" w:rsidP="000F5B29">
      <w:pPr>
        <w:spacing w:line="360" w:lineRule="auto"/>
        <w:jc w:val="both"/>
        <w:rPr>
          <w:sz w:val="20"/>
          <w:szCs w:val="20"/>
        </w:rPr>
      </w:pPr>
      <w:r>
        <w:rPr>
          <w:noProof/>
        </w:rPr>
        <w:drawing>
          <wp:inline distT="0" distB="0" distL="0" distR="0" wp14:anchorId="79FB354E" wp14:editId="3538E1BB">
            <wp:extent cx="5132527" cy="3917619"/>
            <wp:effectExtent l="0" t="0" r="0" b="6985"/>
            <wp:docPr id="865858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58904" name=""/>
                    <pic:cNvPicPr/>
                  </pic:nvPicPr>
                  <pic:blipFill rotWithShape="1">
                    <a:blip r:embed="rId17"/>
                    <a:srcRect l="23593" t="23218" r="25172" b="7253"/>
                    <a:stretch>
                      <a:fillRect/>
                    </a:stretch>
                  </pic:blipFill>
                  <pic:spPr bwMode="auto">
                    <a:xfrm>
                      <a:off x="0" y="0"/>
                      <a:ext cx="5187997" cy="3959959"/>
                    </a:xfrm>
                    <a:prstGeom prst="rect">
                      <a:avLst/>
                    </a:prstGeom>
                    <a:ln>
                      <a:noFill/>
                    </a:ln>
                    <a:extLst>
                      <a:ext uri="{53640926-AAD7-44D8-BBD7-CCE9431645EC}">
                        <a14:shadowObscured xmlns:a14="http://schemas.microsoft.com/office/drawing/2010/main"/>
                      </a:ext>
                    </a:extLst>
                  </pic:spPr>
                </pic:pic>
              </a:graphicData>
            </a:graphic>
          </wp:inline>
        </w:drawing>
      </w:r>
    </w:p>
    <w:p w14:paraId="46030B01" w14:textId="77777777" w:rsidR="000F5B29" w:rsidRDefault="000F5B29" w:rsidP="00CE2445">
      <w:pPr>
        <w:spacing w:line="360" w:lineRule="auto"/>
        <w:jc w:val="both"/>
        <w:rPr>
          <w:sz w:val="20"/>
          <w:szCs w:val="20"/>
        </w:rPr>
      </w:pPr>
    </w:p>
    <w:p w14:paraId="688258A5" w14:textId="05F2FAD4" w:rsidR="000F5B29" w:rsidRDefault="000F5B29" w:rsidP="00CE2445">
      <w:pPr>
        <w:spacing w:line="360" w:lineRule="auto"/>
        <w:jc w:val="both"/>
        <w:rPr>
          <w:bCs/>
          <w:sz w:val="20"/>
          <w:szCs w:val="20"/>
          <w:lang w:val="es-ES_tradnl"/>
        </w:rPr>
      </w:pPr>
      <w:r w:rsidRPr="007D1162">
        <w:rPr>
          <w:bCs/>
          <w:sz w:val="20"/>
          <w:szCs w:val="20"/>
          <w:lang w:val="es-ES_tradnl"/>
        </w:rPr>
        <w:t xml:space="preserve">De acuerdo al Directorio Estadístico Nacional de Unidades Económicas, Tlaxcala cuenta con </w:t>
      </w:r>
      <w:r>
        <w:rPr>
          <w:bCs/>
          <w:sz w:val="20"/>
          <w:szCs w:val="20"/>
          <w:lang w:val="es-ES_tradnl"/>
        </w:rPr>
        <w:t>98</w:t>
      </w:r>
      <w:r w:rsidRPr="007D1162">
        <w:rPr>
          <w:bCs/>
          <w:sz w:val="20"/>
          <w:szCs w:val="20"/>
          <w:lang w:val="es-ES_tradnl"/>
        </w:rPr>
        <w:t>,</w:t>
      </w:r>
      <w:r>
        <w:rPr>
          <w:bCs/>
          <w:sz w:val="20"/>
          <w:szCs w:val="20"/>
          <w:lang w:val="es-ES_tradnl"/>
        </w:rPr>
        <w:t>71</w:t>
      </w:r>
      <w:r w:rsidRPr="007D1162">
        <w:rPr>
          <w:bCs/>
          <w:sz w:val="20"/>
          <w:szCs w:val="20"/>
          <w:lang w:val="es-ES_tradnl"/>
        </w:rPr>
        <w:t>1 Unidades Económicas al mes de septiembre de 202</w:t>
      </w:r>
      <w:r>
        <w:rPr>
          <w:bCs/>
          <w:sz w:val="20"/>
          <w:szCs w:val="20"/>
          <w:lang w:val="es-ES_tradnl"/>
        </w:rPr>
        <w:t>5</w:t>
      </w:r>
      <w:r w:rsidRPr="007D1162">
        <w:rPr>
          <w:bCs/>
          <w:sz w:val="20"/>
          <w:szCs w:val="20"/>
          <w:lang w:val="es-ES_tradnl"/>
        </w:rPr>
        <w:t>, lo que representa una participación del 1</w:t>
      </w:r>
      <w:r>
        <w:rPr>
          <w:bCs/>
          <w:sz w:val="20"/>
          <w:szCs w:val="20"/>
          <w:lang w:val="es-ES_tradnl"/>
        </w:rPr>
        <w:t>.6</w:t>
      </w:r>
      <w:r w:rsidRPr="007D1162">
        <w:rPr>
          <w:bCs/>
          <w:sz w:val="20"/>
          <w:szCs w:val="20"/>
          <w:lang w:val="es-ES_tradnl"/>
        </w:rPr>
        <w:t>% del Estado en el total nacional. Al segundo trimestre de 202</w:t>
      </w:r>
      <w:r>
        <w:rPr>
          <w:bCs/>
          <w:sz w:val="20"/>
          <w:szCs w:val="20"/>
          <w:lang w:val="es-ES_tradnl"/>
        </w:rPr>
        <w:t>5,</w:t>
      </w:r>
      <w:r w:rsidRPr="007D1162">
        <w:rPr>
          <w:bCs/>
          <w:sz w:val="20"/>
          <w:szCs w:val="20"/>
          <w:lang w:val="es-ES_tradnl"/>
        </w:rPr>
        <w:t xml:space="preserve"> la Población Económicamente Activa (PEA) </w:t>
      </w:r>
      <w:r w:rsidRPr="007D1162">
        <w:rPr>
          <w:bCs/>
          <w:sz w:val="20"/>
          <w:szCs w:val="20"/>
          <w:lang w:val="es-ES_tradnl"/>
        </w:rPr>
        <w:lastRenderedPageBreak/>
        <w:t xml:space="preserve">ascendió a </w:t>
      </w:r>
      <w:r>
        <w:rPr>
          <w:bCs/>
          <w:sz w:val="20"/>
          <w:szCs w:val="20"/>
          <w:lang w:val="es-ES_tradnl"/>
        </w:rPr>
        <w:t>703</w:t>
      </w:r>
      <w:r w:rsidRPr="007D1162">
        <w:rPr>
          <w:bCs/>
          <w:sz w:val="20"/>
          <w:szCs w:val="20"/>
          <w:lang w:val="es-ES_tradnl"/>
        </w:rPr>
        <w:t>,</w:t>
      </w:r>
      <w:r>
        <w:rPr>
          <w:bCs/>
          <w:sz w:val="20"/>
          <w:szCs w:val="20"/>
          <w:lang w:val="es-ES_tradnl"/>
        </w:rPr>
        <w:t>274</w:t>
      </w:r>
      <w:r w:rsidRPr="007D1162">
        <w:rPr>
          <w:bCs/>
          <w:sz w:val="20"/>
          <w:szCs w:val="20"/>
          <w:lang w:val="es-ES_tradnl"/>
        </w:rPr>
        <w:t xml:space="preserve"> personas, representando el 61% de la población en edad de trabajar. Del total de la PEA, el 9</w:t>
      </w:r>
      <w:r>
        <w:rPr>
          <w:bCs/>
          <w:sz w:val="20"/>
          <w:szCs w:val="20"/>
          <w:lang w:val="es-ES_tradnl"/>
        </w:rPr>
        <w:t>8</w:t>
      </w:r>
      <w:r w:rsidRPr="007D1162">
        <w:rPr>
          <w:bCs/>
          <w:sz w:val="20"/>
          <w:szCs w:val="20"/>
          <w:lang w:val="es-ES_tradnl"/>
        </w:rPr>
        <w:t xml:space="preserve">% está ocupada y el </w:t>
      </w:r>
      <w:r>
        <w:rPr>
          <w:bCs/>
          <w:sz w:val="20"/>
          <w:szCs w:val="20"/>
          <w:lang w:val="es-ES_tradnl"/>
        </w:rPr>
        <w:t>2</w:t>
      </w:r>
      <w:r w:rsidRPr="007D1162">
        <w:rPr>
          <w:bCs/>
          <w:sz w:val="20"/>
          <w:szCs w:val="20"/>
          <w:lang w:val="es-ES_tradnl"/>
        </w:rPr>
        <w:t>% se encuentra desocupada</w:t>
      </w:r>
      <w:r>
        <w:rPr>
          <w:bCs/>
          <w:sz w:val="20"/>
          <w:szCs w:val="20"/>
          <w:lang w:val="es-ES_tradnl"/>
        </w:rPr>
        <w:t>.</w:t>
      </w:r>
    </w:p>
    <w:p w14:paraId="26D86DDE" w14:textId="77777777" w:rsidR="000F5B29" w:rsidRDefault="000F5B29" w:rsidP="00CE2445">
      <w:pPr>
        <w:spacing w:line="360" w:lineRule="auto"/>
        <w:jc w:val="both"/>
        <w:rPr>
          <w:bCs/>
          <w:sz w:val="20"/>
          <w:szCs w:val="20"/>
          <w:lang w:val="es-ES_tradnl"/>
        </w:rPr>
      </w:pPr>
    </w:p>
    <w:p w14:paraId="6CCF7E32" w14:textId="6F292BB6" w:rsidR="000F5B29" w:rsidRDefault="000F5B29" w:rsidP="00CE2445">
      <w:pPr>
        <w:spacing w:line="360" w:lineRule="auto"/>
        <w:jc w:val="both"/>
        <w:rPr>
          <w:sz w:val="20"/>
          <w:szCs w:val="20"/>
        </w:rPr>
      </w:pPr>
      <w:r>
        <w:rPr>
          <w:noProof/>
        </w:rPr>
        <w:drawing>
          <wp:inline distT="0" distB="0" distL="0" distR="0" wp14:anchorId="197EE685" wp14:editId="345E4A78">
            <wp:extent cx="5127976" cy="3774608"/>
            <wp:effectExtent l="0" t="0" r="0" b="0"/>
            <wp:docPr id="2115448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48079" name=""/>
                    <pic:cNvPicPr/>
                  </pic:nvPicPr>
                  <pic:blipFill rotWithShape="1">
                    <a:blip r:embed="rId18"/>
                    <a:srcRect l="22755" t="24416" r="23896" b="5767"/>
                    <a:stretch>
                      <a:fillRect/>
                    </a:stretch>
                  </pic:blipFill>
                  <pic:spPr bwMode="auto">
                    <a:xfrm>
                      <a:off x="0" y="0"/>
                      <a:ext cx="5159261" cy="3797636"/>
                    </a:xfrm>
                    <a:prstGeom prst="rect">
                      <a:avLst/>
                    </a:prstGeom>
                    <a:ln>
                      <a:noFill/>
                    </a:ln>
                    <a:extLst>
                      <a:ext uri="{53640926-AAD7-44D8-BBD7-CCE9431645EC}">
                        <a14:shadowObscured xmlns:a14="http://schemas.microsoft.com/office/drawing/2010/main"/>
                      </a:ext>
                    </a:extLst>
                  </pic:spPr>
                </pic:pic>
              </a:graphicData>
            </a:graphic>
          </wp:inline>
        </w:drawing>
      </w:r>
    </w:p>
    <w:p w14:paraId="3C65E38F" w14:textId="77777777" w:rsidR="000F5B29" w:rsidRPr="007D1162" w:rsidRDefault="000F5B29" w:rsidP="000F5B29">
      <w:pPr>
        <w:spacing w:line="360" w:lineRule="auto"/>
        <w:jc w:val="both"/>
        <w:rPr>
          <w:bCs/>
          <w:sz w:val="20"/>
          <w:szCs w:val="20"/>
          <w:lang w:val="es-ES_tradnl"/>
        </w:rPr>
      </w:pPr>
      <w:r w:rsidRPr="007D1162">
        <w:rPr>
          <w:bCs/>
          <w:sz w:val="20"/>
          <w:szCs w:val="20"/>
          <w:lang w:val="es-ES_tradnl"/>
        </w:rPr>
        <w:t xml:space="preserve">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w:t>
      </w:r>
    </w:p>
    <w:p w14:paraId="2BD7B98B" w14:textId="77777777" w:rsidR="000F5B29" w:rsidRPr="00FD37DE" w:rsidRDefault="000F5B29" w:rsidP="000F5B29">
      <w:pPr>
        <w:spacing w:line="360" w:lineRule="auto"/>
        <w:jc w:val="both"/>
        <w:rPr>
          <w:bCs/>
          <w:sz w:val="20"/>
          <w:szCs w:val="20"/>
          <w:lang w:val="es-ES_tradnl"/>
        </w:rPr>
      </w:pPr>
    </w:p>
    <w:p w14:paraId="0DF5E61C" w14:textId="77777777" w:rsidR="000F5B29" w:rsidRPr="008D5C06" w:rsidRDefault="000F5B29" w:rsidP="000F5B29">
      <w:pPr>
        <w:spacing w:line="360" w:lineRule="auto"/>
        <w:jc w:val="both"/>
        <w:rPr>
          <w:rFonts w:ascii="Arial" w:hAnsi="Arial" w:cs="Arial"/>
        </w:rPr>
      </w:pPr>
      <w:r w:rsidRPr="007D1162">
        <w:rPr>
          <w:bCs/>
          <w:sz w:val="20"/>
          <w:szCs w:val="20"/>
          <w:lang w:val="es-ES_tradnl"/>
        </w:rPr>
        <w:t>El año 2020 marcó el inicio de una década de acción ambiciosa a fin de alcanzar los objetivos para el 2030, por lo que en nuestro Estado consciente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w:t>
      </w:r>
      <w:r w:rsidRPr="008D5C06">
        <w:rPr>
          <w:rFonts w:ascii="Arial" w:hAnsi="Arial" w:cs="Arial"/>
        </w:rPr>
        <w:t xml:space="preserve"> </w:t>
      </w:r>
      <w:r w:rsidRPr="007D1162">
        <w:rPr>
          <w:bCs/>
          <w:sz w:val="20"/>
          <w:szCs w:val="20"/>
          <w:lang w:val="es-ES_tradnl"/>
        </w:rPr>
        <w:t>e internacional identificando las oportunidades de una economía globalizada y aprovecharlas, dado que se presentan mayores complejidades.</w:t>
      </w:r>
    </w:p>
    <w:p w14:paraId="2D898721" w14:textId="77777777" w:rsidR="000F5B29" w:rsidRDefault="000F5B29" w:rsidP="000F5B29">
      <w:pPr>
        <w:spacing w:line="360" w:lineRule="auto"/>
        <w:jc w:val="both"/>
        <w:rPr>
          <w:bCs/>
          <w:sz w:val="20"/>
          <w:szCs w:val="20"/>
          <w:lang w:val="es-ES_tradnl"/>
        </w:rPr>
      </w:pPr>
    </w:p>
    <w:p w14:paraId="1011D75B" w14:textId="7D120F45" w:rsidR="000F5B29" w:rsidRDefault="000F5B29" w:rsidP="000F5B29">
      <w:pPr>
        <w:spacing w:line="360" w:lineRule="auto"/>
        <w:jc w:val="both"/>
        <w:rPr>
          <w:bCs/>
          <w:sz w:val="20"/>
          <w:szCs w:val="20"/>
          <w:lang w:val="es-ES_tradnl"/>
        </w:rPr>
      </w:pPr>
      <w:r w:rsidRPr="00E00355">
        <w:rPr>
          <w:bCs/>
          <w:sz w:val="20"/>
          <w:szCs w:val="20"/>
          <w:lang w:val="es-ES_tradnl"/>
        </w:rPr>
        <w:lastRenderedPageBreak/>
        <w:t xml:space="preserve">En </w:t>
      </w:r>
      <w:r>
        <w:rPr>
          <w:bCs/>
          <w:sz w:val="20"/>
          <w:szCs w:val="20"/>
          <w:lang w:val="es-ES_tradnl"/>
        </w:rPr>
        <w:t xml:space="preserve">lo que se refiere a </w:t>
      </w:r>
      <w:r w:rsidR="00AF2D7D">
        <w:rPr>
          <w:bCs/>
          <w:sz w:val="20"/>
          <w:szCs w:val="20"/>
          <w:lang w:val="es-ES_tradnl"/>
        </w:rPr>
        <w:t xml:space="preserve">la </w:t>
      </w:r>
      <w:r w:rsidRPr="00E00355">
        <w:rPr>
          <w:bCs/>
          <w:sz w:val="20"/>
          <w:szCs w:val="20"/>
          <w:lang w:val="es-ES_tradnl"/>
        </w:rPr>
        <w:t xml:space="preserve">IED, Tlaxcala también ha tenido un desempeño notable. En 2024, el </w:t>
      </w:r>
      <w:r>
        <w:rPr>
          <w:bCs/>
          <w:sz w:val="20"/>
          <w:szCs w:val="20"/>
          <w:lang w:val="es-ES_tradnl"/>
        </w:rPr>
        <w:t>E</w:t>
      </w:r>
      <w:r w:rsidRPr="00E00355">
        <w:rPr>
          <w:bCs/>
          <w:sz w:val="20"/>
          <w:szCs w:val="20"/>
          <w:lang w:val="es-ES_tradnl"/>
        </w:rPr>
        <w:t>stado captó 94.2 millones de dólares</w:t>
      </w:r>
      <w:r>
        <w:rPr>
          <w:bCs/>
          <w:sz w:val="20"/>
          <w:szCs w:val="20"/>
          <w:lang w:val="es-ES_tradnl"/>
        </w:rPr>
        <w:t>,</w:t>
      </w:r>
      <w:r w:rsidRPr="00E00355">
        <w:rPr>
          <w:bCs/>
          <w:sz w:val="20"/>
          <w:szCs w:val="20"/>
          <w:lang w:val="es-ES_tradnl"/>
        </w:rPr>
        <w:t xml:space="preserve"> lo que refleja la confianza de los inversionistas en el potencial económico de la </w:t>
      </w:r>
      <w:r>
        <w:rPr>
          <w:bCs/>
          <w:sz w:val="20"/>
          <w:szCs w:val="20"/>
          <w:lang w:val="es-ES_tradnl"/>
        </w:rPr>
        <w:t>E</w:t>
      </w:r>
      <w:r w:rsidRPr="00E00355">
        <w:rPr>
          <w:bCs/>
          <w:sz w:val="20"/>
          <w:szCs w:val="20"/>
          <w:lang w:val="es-ES_tradnl"/>
        </w:rPr>
        <w:t xml:space="preserve">ntidad. Esta inversión proviene de una variedad de países, </w:t>
      </w:r>
      <w:r>
        <w:rPr>
          <w:bCs/>
          <w:sz w:val="20"/>
          <w:szCs w:val="20"/>
          <w:lang w:val="es-ES_tradnl"/>
        </w:rPr>
        <w:t xml:space="preserve">entre los que destacan </w:t>
      </w:r>
      <w:r w:rsidRPr="00E00355">
        <w:rPr>
          <w:bCs/>
          <w:sz w:val="20"/>
          <w:szCs w:val="20"/>
          <w:lang w:val="es-ES_tradnl"/>
        </w:rPr>
        <w:t>Alemania, España</w:t>
      </w:r>
      <w:r>
        <w:rPr>
          <w:bCs/>
          <w:sz w:val="20"/>
          <w:szCs w:val="20"/>
          <w:lang w:val="es-ES_tradnl"/>
        </w:rPr>
        <w:t xml:space="preserve"> y</w:t>
      </w:r>
      <w:r w:rsidRPr="00E00355">
        <w:rPr>
          <w:bCs/>
          <w:sz w:val="20"/>
          <w:szCs w:val="20"/>
          <w:lang w:val="es-ES_tradnl"/>
        </w:rPr>
        <w:t xml:space="preserve"> Estados Unidos, así como Argentina,</w:t>
      </w:r>
      <w:r>
        <w:rPr>
          <w:bCs/>
          <w:sz w:val="20"/>
          <w:szCs w:val="20"/>
          <w:lang w:val="es-ES_tradnl"/>
        </w:rPr>
        <w:t xml:space="preserve"> </w:t>
      </w:r>
      <w:r w:rsidRPr="00E00355">
        <w:rPr>
          <w:bCs/>
          <w:sz w:val="20"/>
          <w:szCs w:val="20"/>
          <w:lang w:val="es-ES_tradnl"/>
        </w:rPr>
        <w:t>Australia,</w:t>
      </w:r>
      <w:r>
        <w:rPr>
          <w:bCs/>
          <w:sz w:val="20"/>
          <w:szCs w:val="20"/>
          <w:lang w:val="es-ES_tradnl"/>
        </w:rPr>
        <w:t xml:space="preserve"> </w:t>
      </w:r>
      <w:r w:rsidRPr="00E00355">
        <w:rPr>
          <w:bCs/>
          <w:sz w:val="20"/>
          <w:szCs w:val="20"/>
          <w:lang w:val="es-ES_tradnl"/>
        </w:rPr>
        <w:t>Bélgica,</w:t>
      </w:r>
      <w:r>
        <w:rPr>
          <w:bCs/>
          <w:sz w:val="20"/>
          <w:szCs w:val="20"/>
          <w:lang w:val="es-ES_tradnl"/>
        </w:rPr>
        <w:t xml:space="preserve"> </w:t>
      </w:r>
      <w:r w:rsidRPr="00E00355">
        <w:rPr>
          <w:bCs/>
          <w:sz w:val="20"/>
          <w:szCs w:val="20"/>
          <w:lang w:val="es-ES_tradnl"/>
        </w:rPr>
        <w:t>Brasil,</w:t>
      </w:r>
      <w:r>
        <w:rPr>
          <w:bCs/>
          <w:sz w:val="20"/>
          <w:szCs w:val="20"/>
          <w:lang w:val="es-ES_tradnl"/>
        </w:rPr>
        <w:t xml:space="preserve"> </w:t>
      </w:r>
      <w:r w:rsidRPr="00E00355">
        <w:rPr>
          <w:bCs/>
          <w:sz w:val="20"/>
          <w:szCs w:val="20"/>
          <w:lang w:val="es-ES_tradnl"/>
        </w:rPr>
        <w:t>India,</w:t>
      </w:r>
      <w:r>
        <w:rPr>
          <w:bCs/>
          <w:sz w:val="20"/>
          <w:szCs w:val="20"/>
          <w:lang w:val="es-ES_tradnl"/>
        </w:rPr>
        <w:t xml:space="preserve"> </w:t>
      </w:r>
      <w:r w:rsidRPr="00E00355">
        <w:rPr>
          <w:bCs/>
          <w:sz w:val="20"/>
          <w:szCs w:val="20"/>
          <w:lang w:val="es-ES_tradnl"/>
        </w:rPr>
        <w:t>Japón,</w:t>
      </w:r>
      <w:r>
        <w:rPr>
          <w:bCs/>
          <w:sz w:val="20"/>
          <w:szCs w:val="20"/>
          <w:lang w:val="es-ES_tradnl"/>
        </w:rPr>
        <w:t xml:space="preserve"> </w:t>
      </w:r>
      <w:r w:rsidRPr="00E00355">
        <w:rPr>
          <w:bCs/>
          <w:sz w:val="20"/>
          <w:szCs w:val="20"/>
          <w:lang w:val="es-ES_tradnl"/>
        </w:rPr>
        <w:t>Países Bajos,</w:t>
      </w:r>
      <w:r>
        <w:rPr>
          <w:bCs/>
          <w:sz w:val="20"/>
          <w:szCs w:val="20"/>
          <w:lang w:val="es-ES_tradnl"/>
        </w:rPr>
        <w:t xml:space="preserve"> </w:t>
      </w:r>
      <w:r w:rsidRPr="00E00355">
        <w:rPr>
          <w:bCs/>
          <w:sz w:val="20"/>
          <w:szCs w:val="20"/>
          <w:lang w:val="es-ES_tradnl"/>
        </w:rPr>
        <w:t>Reino Unido</w:t>
      </w:r>
      <w:r>
        <w:rPr>
          <w:bCs/>
          <w:sz w:val="20"/>
          <w:szCs w:val="20"/>
          <w:lang w:val="es-ES_tradnl"/>
        </w:rPr>
        <w:t xml:space="preserve"> </w:t>
      </w:r>
      <w:r w:rsidRPr="00E00355">
        <w:rPr>
          <w:bCs/>
          <w:sz w:val="20"/>
          <w:szCs w:val="20"/>
          <w:lang w:val="es-ES_tradnl"/>
        </w:rPr>
        <w:t>y</w:t>
      </w:r>
      <w:r>
        <w:rPr>
          <w:bCs/>
          <w:sz w:val="20"/>
          <w:szCs w:val="20"/>
          <w:lang w:val="es-ES_tradnl"/>
        </w:rPr>
        <w:t xml:space="preserve"> </w:t>
      </w:r>
      <w:r w:rsidRPr="00E00355">
        <w:rPr>
          <w:bCs/>
          <w:sz w:val="20"/>
          <w:szCs w:val="20"/>
          <w:lang w:val="es-ES_tradnl"/>
        </w:rPr>
        <w:t xml:space="preserve">Suecia. La participación de </w:t>
      </w:r>
      <w:r>
        <w:rPr>
          <w:bCs/>
          <w:sz w:val="20"/>
          <w:szCs w:val="20"/>
          <w:lang w:val="es-ES_tradnl"/>
        </w:rPr>
        <w:t xml:space="preserve">diversos </w:t>
      </w:r>
      <w:r w:rsidRPr="00E00355">
        <w:rPr>
          <w:bCs/>
          <w:sz w:val="20"/>
          <w:szCs w:val="20"/>
          <w:lang w:val="es-ES_tradnl"/>
        </w:rPr>
        <w:t>inversionistas contribuye a la generación de empleo</w:t>
      </w:r>
      <w:r>
        <w:rPr>
          <w:bCs/>
          <w:sz w:val="20"/>
          <w:szCs w:val="20"/>
          <w:lang w:val="es-ES_tradnl"/>
        </w:rPr>
        <w:t>s</w:t>
      </w:r>
      <w:r w:rsidRPr="00E00355">
        <w:rPr>
          <w:bCs/>
          <w:sz w:val="20"/>
          <w:szCs w:val="20"/>
          <w:lang w:val="es-ES_tradnl"/>
        </w:rPr>
        <w:t xml:space="preserve">, al aumento del desarrollo local y a la captación de divisas que refuerzan la </w:t>
      </w:r>
      <w:r>
        <w:rPr>
          <w:bCs/>
          <w:sz w:val="20"/>
          <w:szCs w:val="20"/>
          <w:lang w:val="es-ES_tradnl"/>
        </w:rPr>
        <w:t xml:space="preserve">actividad </w:t>
      </w:r>
      <w:r w:rsidRPr="00E00355">
        <w:rPr>
          <w:bCs/>
          <w:sz w:val="20"/>
          <w:szCs w:val="20"/>
          <w:lang w:val="es-ES_tradnl"/>
        </w:rPr>
        <w:t>econ</w:t>
      </w:r>
      <w:r>
        <w:rPr>
          <w:bCs/>
          <w:sz w:val="20"/>
          <w:szCs w:val="20"/>
          <w:lang w:val="es-ES_tradnl"/>
        </w:rPr>
        <w:t>ó</w:t>
      </w:r>
      <w:r w:rsidRPr="00E00355">
        <w:rPr>
          <w:bCs/>
          <w:sz w:val="20"/>
          <w:szCs w:val="20"/>
          <w:lang w:val="es-ES_tradnl"/>
        </w:rPr>
        <w:t>m</w:t>
      </w:r>
      <w:r>
        <w:rPr>
          <w:bCs/>
          <w:sz w:val="20"/>
          <w:szCs w:val="20"/>
          <w:lang w:val="es-ES_tradnl"/>
        </w:rPr>
        <w:t>ic</w:t>
      </w:r>
      <w:r w:rsidRPr="00E00355">
        <w:rPr>
          <w:bCs/>
          <w:sz w:val="20"/>
          <w:szCs w:val="20"/>
          <w:lang w:val="es-ES_tradnl"/>
        </w:rPr>
        <w:t>a de Tlaxcala.</w:t>
      </w:r>
    </w:p>
    <w:p w14:paraId="177F73C9" w14:textId="77777777" w:rsidR="000F5B29" w:rsidRPr="00E00355" w:rsidRDefault="000F5B29" w:rsidP="000F5B29">
      <w:pPr>
        <w:spacing w:line="360" w:lineRule="auto"/>
        <w:jc w:val="both"/>
        <w:rPr>
          <w:bCs/>
          <w:sz w:val="20"/>
          <w:szCs w:val="20"/>
          <w:lang w:val="es-ES_tradnl"/>
        </w:rPr>
      </w:pPr>
    </w:p>
    <w:p w14:paraId="7C846257" w14:textId="1350BBD1" w:rsidR="000F5B29" w:rsidRDefault="000F5B29" w:rsidP="000F5B29">
      <w:pPr>
        <w:spacing w:line="360" w:lineRule="auto"/>
        <w:jc w:val="both"/>
        <w:rPr>
          <w:bCs/>
          <w:sz w:val="20"/>
          <w:szCs w:val="20"/>
          <w:lang w:val="es-ES_tradnl"/>
        </w:rPr>
      </w:pPr>
      <w:r w:rsidRPr="007D1162">
        <w:rPr>
          <w:bCs/>
          <w:sz w:val="20"/>
          <w:szCs w:val="20"/>
          <w:lang w:val="es-ES_tradnl"/>
        </w:rPr>
        <w:t xml:space="preserve">Al </w:t>
      </w:r>
      <w:r>
        <w:rPr>
          <w:bCs/>
          <w:sz w:val="20"/>
          <w:szCs w:val="20"/>
          <w:lang w:val="es-ES_tradnl"/>
        </w:rPr>
        <w:t>primer</w:t>
      </w:r>
      <w:r w:rsidRPr="007D1162">
        <w:rPr>
          <w:bCs/>
          <w:sz w:val="20"/>
          <w:szCs w:val="20"/>
          <w:lang w:val="es-ES_tradnl"/>
        </w:rPr>
        <w:t xml:space="preserve"> trimestre de 202</w:t>
      </w:r>
      <w:r>
        <w:rPr>
          <w:bCs/>
          <w:sz w:val="20"/>
          <w:szCs w:val="20"/>
          <w:lang w:val="es-ES_tradnl"/>
        </w:rPr>
        <w:t>5</w:t>
      </w:r>
      <w:r w:rsidRPr="007D1162">
        <w:rPr>
          <w:bCs/>
          <w:sz w:val="20"/>
          <w:szCs w:val="20"/>
          <w:lang w:val="es-ES_tradnl"/>
        </w:rPr>
        <w:t xml:space="preserve">, la Inversión Extranjera Directa Acumulada del año 2006 al mes de </w:t>
      </w:r>
      <w:r>
        <w:rPr>
          <w:bCs/>
          <w:sz w:val="20"/>
          <w:szCs w:val="20"/>
          <w:lang w:val="es-ES_tradnl"/>
        </w:rPr>
        <w:t>marzo</w:t>
      </w:r>
      <w:r w:rsidRPr="007D1162">
        <w:rPr>
          <w:bCs/>
          <w:sz w:val="20"/>
          <w:szCs w:val="20"/>
          <w:lang w:val="es-ES_tradnl"/>
        </w:rPr>
        <w:t xml:space="preserve"> de 202</w:t>
      </w:r>
      <w:r>
        <w:rPr>
          <w:bCs/>
          <w:sz w:val="20"/>
          <w:szCs w:val="20"/>
          <w:lang w:val="es-ES_tradnl"/>
        </w:rPr>
        <w:t>5</w:t>
      </w:r>
      <w:r w:rsidRPr="007D1162">
        <w:rPr>
          <w:bCs/>
          <w:sz w:val="20"/>
          <w:szCs w:val="20"/>
          <w:lang w:val="es-ES_tradnl"/>
        </w:rPr>
        <w:t xml:space="preserve"> en el Estado de Tlaxcala fue de 3,</w:t>
      </w:r>
      <w:r>
        <w:rPr>
          <w:bCs/>
          <w:sz w:val="20"/>
          <w:szCs w:val="20"/>
          <w:lang w:val="es-ES_tradnl"/>
        </w:rPr>
        <w:t>342</w:t>
      </w:r>
      <w:r w:rsidRPr="007D1162">
        <w:rPr>
          <w:bCs/>
          <w:sz w:val="20"/>
          <w:szCs w:val="20"/>
          <w:lang w:val="es-ES_tradnl"/>
        </w:rPr>
        <w:t xml:space="preserve"> millones de dólares, lo que representó un aporte del 0.5</w:t>
      </w:r>
      <w:r>
        <w:rPr>
          <w:bCs/>
          <w:sz w:val="20"/>
          <w:szCs w:val="20"/>
          <w:lang w:val="es-ES_tradnl"/>
        </w:rPr>
        <w:t>4</w:t>
      </w:r>
      <w:r w:rsidRPr="007D1162">
        <w:rPr>
          <w:bCs/>
          <w:sz w:val="20"/>
          <w:szCs w:val="20"/>
          <w:lang w:val="es-ES_tradnl"/>
        </w:rPr>
        <w:t>% al total nacional, tal y como se observa en el cuadro comparativo siguiente</w:t>
      </w:r>
      <w:r>
        <w:rPr>
          <w:bCs/>
          <w:sz w:val="20"/>
          <w:szCs w:val="20"/>
          <w:lang w:val="es-ES_tradnl"/>
        </w:rPr>
        <w:t>:</w:t>
      </w:r>
    </w:p>
    <w:p w14:paraId="22DC2978" w14:textId="77777777" w:rsidR="00AF2D7D" w:rsidRDefault="00AF2D7D" w:rsidP="000F5B29">
      <w:pPr>
        <w:spacing w:line="360" w:lineRule="auto"/>
        <w:jc w:val="both"/>
        <w:rPr>
          <w:sz w:val="20"/>
          <w:szCs w:val="20"/>
        </w:rPr>
      </w:pPr>
    </w:p>
    <w:p w14:paraId="2129A5B6" w14:textId="53E3D546" w:rsidR="00CE2445" w:rsidRDefault="000F5B29" w:rsidP="00CE2445">
      <w:pPr>
        <w:spacing w:line="360" w:lineRule="auto"/>
        <w:jc w:val="both"/>
        <w:rPr>
          <w:sz w:val="20"/>
          <w:szCs w:val="20"/>
        </w:rPr>
      </w:pPr>
      <w:r w:rsidRPr="0042364D">
        <w:rPr>
          <w:noProof/>
        </w:rPr>
        <w:drawing>
          <wp:inline distT="0" distB="0" distL="0" distR="0" wp14:anchorId="6679BD5D" wp14:editId="5E5CB246">
            <wp:extent cx="5179695" cy="3858398"/>
            <wp:effectExtent l="0" t="0" r="1905" b="8890"/>
            <wp:docPr id="70067067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9695" cy="3858398"/>
                    </a:xfrm>
                    <a:prstGeom prst="rect">
                      <a:avLst/>
                    </a:prstGeom>
                    <a:noFill/>
                    <a:ln>
                      <a:noFill/>
                    </a:ln>
                  </pic:spPr>
                </pic:pic>
              </a:graphicData>
            </a:graphic>
          </wp:inline>
        </w:drawing>
      </w:r>
    </w:p>
    <w:p w14:paraId="73C058D3" w14:textId="77777777" w:rsidR="000F5B29" w:rsidRDefault="000F5B29" w:rsidP="000F5B29">
      <w:pPr>
        <w:spacing w:line="360" w:lineRule="auto"/>
        <w:jc w:val="both"/>
        <w:rPr>
          <w:bCs/>
          <w:sz w:val="20"/>
          <w:szCs w:val="20"/>
          <w:lang w:val="es-ES_tradnl"/>
        </w:rPr>
      </w:pPr>
    </w:p>
    <w:p w14:paraId="412E3386" w14:textId="732F9A96" w:rsidR="000F5B29" w:rsidRDefault="000F5B29" w:rsidP="000F5B29">
      <w:pPr>
        <w:spacing w:line="360" w:lineRule="auto"/>
        <w:jc w:val="both"/>
        <w:rPr>
          <w:bCs/>
          <w:sz w:val="20"/>
          <w:szCs w:val="20"/>
          <w:lang w:val="es-ES_tradnl"/>
        </w:rPr>
      </w:pPr>
      <w:r w:rsidRPr="007D1162">
        <w:rPr>
          <w:bCs/>
          <w:sz w:val="20"/>
          <w:szCs w:val="20"/>
          <w:lang w:val="es-ES_tradnl"/>
        </w:rPr>
        <w:t xml:space="preserve">El ejercicio del gasto público es un elemento fundamental por lo que, la eficacia y la eficiencia en su ejercicio contribuirá a la identificación de posibles casos de corrupción. El Instituto Mexicano para la Competitividad A.C. elaboró el Índice de Información Presupuestal Estatal (IIPE); actual Barómetro </w:t>
      </w:r>
      <w:r w:rsidRPr="007D1162">
        <w:rPr>
          <w:bCs/>
          <w:sz w:val="20"/>
          <w:szCs w:val="20"/>
          <w:lang w:val="es-ES_tradnl"/>
        </w:rPr>
        <w:lastRenderedPageBreak/>
        <w:t>de Información Presupuestal Estatal (BIPE), que evalúa la calidad del reporte de la información presupuestal de las 32 Entidades Federativas.</w:t>
      </w:r>
    </w:p>
    <w:p w14:paraId="247B71D9" w14:textId="77777777" w:rsidR="000F5B29" w:rsidRDefault="000F5B29" w:rsidP="000F5B29">
      <w:pPr>
        <w:spacing w:line="360" w:lineRule="auto"/>
        <w:jc w:val="both"/>
        <w:rPr>
          <w:bCs/>
          <w:sz w:val="20"/>
          <w:szCs w:val="20"/>
          <w:lang w:val="es-ES_tradnl"/>
        </w:rPr>
      </w:pPr>
    </w:p>
    <w:p w14:paraId="60D970F3" w14:textId="351C9BA7" w:rsidR="000F5B29" w:rsidRDefault="000F5B29" w:rsidP="000F5B29">
      <w:pPr>
        <w:spacing w:line="360" w:lineRule="auto"/>
        <w:jc w:val="both"/>
        <w:rPr>
          <w:bCs/>
          <w:sz w:val="20"/>
          <w:szCs w:val="20"/>
          <w:lang w:val="es-ES_tradnl"/>
        </w:rPr>
      </w:pPr>
      <w:r w:rsidRPr="007D1162">
        <w:rPr>
          <w:bCs/>
          <w:sz w:val="20"/>
          <w:szCs w:val="20"/>
          <w:lang w:val="es-ES_tradnl"/>
        </w:rPr>
        <w:t>El BIPE tiene como propósito eliminar las condiciones de opacidad en el manejo de los recursos públicos y fomentar buenas prácticas presupuestales. Desde 2008, el IMCO evalúa la calidad de la información presupuestal de los estados sobre la base de un catálogo de buenas prácticas y las normas de contabilidad gubernamental. El BIPE ubica al Estado de Tlaxcala entre las 20 entidades mejor evaluadas en esta materia</w:t>
      </w:r>
      <w:r>
        <w:rPr>
          <w:bCs/>
          <w:sz w:val="20"/>
          <w:szCs w:val="20"/>
          <w:lang w:val="es-ES_tradnl"/>
        </w:rPr>
        <w:t>.</w:t>
      </w:r>
    </w:p>
    <w:p w14:paraId="538D802B" w14:textId="77777777" w:rsidR="000F5B29" w:rsidRDefault="000F5B29" w:rsidP="000F5B29">
      <w:pPr>
        <w:spacing w:line="360" w:lineRule="auto"/>
        <w:jc w:val="both"/>
        <w:rPr>
          <w:bCs/>
          <w:sz w:val="20"/>
          <w:szCs w:val="20"/>
          <w:lang w:val="es-ES_tradnl"/>
        </w:rPr>
      </w:pPr>
    </w:p>
    <w:p w14:paraId="6B9E494E" w14:textId="77777777" w:rsidR="000F5B29" w:rsidRDefault="000F5B29" w:rsidP="000F5B29">
      <w:pPr>
        <w:spacing w:line="360" w:lineRule="auto"/>
        <w:jc w:val="center"/>
        <w:rPr>
          <w:bCs/>
          <w:sz w:val="20"/>
          <w:szCs w:val="20"/>
          <w:lang w:val="es-ES_tradnl"/>
        </w:rPr>
      </w:pPr>
      <w:r>
        <w:rPr>
          <w:noProof/>
        </w:rPr>
        <w:drawing>
          <wp:anchor distT="0" distB="0" distL="114300" distR="114300" simplePos="0" relativeHeight="251741184" behindDoc="0" locked="0" layoutInCell="1" allowOverlap="1" wp14:anchorId="668E7024" wp14:editId="01710447">
            <wp:simplePos x="0" y="0"/>
            <wp:positionH relativeFrom="column">
              <wp:posOffset>679879</wp:posOffset>
            </wp:positionH>
            <wp:positionV relativeFrom="paragraph">
              <wp:posOffset>55880</wp:posOffset>
            </wp:positionV>
            <wp:extent cx="1248355" cy="429216"/>
            <wp:effectExtent l="0" t="0" r="0" b="9525"/>
            <wp:wrapNone/>
            <wp:docPr id="11321396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39664" name=""/>
                    <pic:cNvPicPr/>
                  </pic:nvPicPr>
                  <pic:blipFill rotWithShape="1">
                    <a:blip r:embed="rId20" cstate="print">
                      <a:extLst>
                        <a:ext uri="{28A0092B-C50C-407E-A947-70E740481C1C}">
                          <a14:useLocalDpi xmlns:a14="http://schemas.microsoft.com/office/drawing/2010/main" val="0"/>
                        </a:ext>
                      </a:extLst>
                    </a:blip>
                    <a:srcRect l="9897" t="61015" r="65821" b="24142"/>
                    <a:stretch>
                      <a:fillRect/>
                    </a:stretch>
                  </pic:blipFill>
                  <pic:spPr bwMode="auto">
                    <a:xfrm>
                      <a:off x="0" y="0"/>
                      <a:ext cx="1248355" cy="4292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BDBA2F" wp14:editId="6B7A3E9D">
            <wp:extent cx="4572000" cy="882015"/>
            <wp:effectExtent l="0" t="0" r="0" b="0"/>
            <wp:docPr id="12943914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35400" name=""/>
                    <pic:cNvPicPr/>
                  </pic:nvPicPr>
                  <pic:blipFill rotWithShape="1">
                    <a:blip r:embed="rId21"/>
                    <a:srcRect l="33537" t="27562" r="9666" b="51186"/>
                    <a:stretch>
                      <a:fillRect/>
                    </a:stretch>
                  </pic:blipFill>
                  <pic:spPr bwMode="auto">
                    <a:xfrm>
                      <a:off x="0" y="0"/>
                      <a:ext cx="4759467" cy="9181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AFD372" wp14:editId="25C4D23C">
            <wp:extent cx="4609317" cy="1772920"/>
            <wp:effectExtent l="0" t="0" r="1270" b="0"/>
            <wp:docPr id="876735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35400" name=""/>
                    <pic:cNvPicPr/>
                  </pic:nvPicPr>
                  <pic:blipFill rotWithShape="1">
                    <a:blip r:embed="rId22">
                      <a:extLst>
                        <a:ext uri="{BEBA8EAE-BF5A-486C-A8C5-ECC9F3942E4B}">
                          <a14:imgProps xmlns:a14="http://schemas.microsoft.com/office/drawing/2010/main">
                            <a14:imgLayer r:embed="rId23">
                              <a14:imgEffect>
                                <a14:brightnessContrast bright="20000" contrast="20000"/>
                              </a14:imgEffect>
                            </a14:imgLayer>
                          </a14:imgProps>
                        </a:ext>
                      </a:extLst>
                    </a:blip>
                    <a:srcRect l="32437" t="49913" r="9666" b="19541"/>
                    <a:stretch>
                      <a:fillRect/>
                    </a:stretch>
                  </pic:blipFill>
                  <pic:spPr bwMode="auto">
                    <a:xfrm>
                      <a:off x="0" y="0"/>
                      <a:ext cx="4721096" cy="1815914"/>
                    </a:xfrm>
                    <a:prstGeom prst="rect">
                      <a:avLst/>
                    </a:prstGeom>
                    <a:ln>
                      <a:noFill/>
                    </a:ln>
                    <a:extLst>
                      <a:ext uri="{53640926-AAD7-44D8-BBD7-CCE9431645EC}">
                        <a14:shadowObscured xmlns:a14="http://schemas.microsoft.com/office/drawing/2010/main"/>
                      </a:ext>
                    </a:extLst>
                  </pic:spPr>
                </pic:pic>
              </a:graphicData>
            </a:graphic>
          </wp:inline>
        </w:drawing>
      </w:r>
    </w:p>
    <w:p w14:paraId="326F1CF7" w14:textId="77777777" w:rsidR="000F5B29" w:rsidRDefault="000F5B29" w:rsidP="000F5B29">
      <w:pPr>
        <w:spacing w:line="360" w:lineRule="auto"/>
        <w:jc w:val="center"/>
        <w:rPr>
          <w:bCs/>
          <w:sz w:val="20"/>
          <w:szCs w:val="20"/>
          <w:lang w:val="es-ES_tradnl"/>
        </w:rPr>
      </w:pPr>
      <w:r>
        <w:rPr>
          <w:noProof/>
        </w:rPr>
        <w:drawing>
          <wp:inline distT="0" distB="0" distL="0" distR="0" wp14:anchorId="330B3DEA" wp14:editId="507C7400">
            <wp:extent cx="4556097" cy="332740"/>
            <wp:effectExtent l="0" t="0" r="0" b="0"/>
            <wp:docPr id="940605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05086" name=""/>
                    <pic:cNvPicPr/>
                  </pic:nvPicPr>
                  <pic:blipFill rotWithShape="1">
                    <a:blip r:embed="rId24"/>
                    <a:srcRect l="8851" t="46436" r="9714" b="44276"/>
                    <a:stretch>
                      <a:fillRect/>
                    </a:stretch>
                  </pic:blipFill>
                  <pic:spPr bwMode="auto">
                    <a:xfrm>
                      <a:off x="0" y="0"/>
                      <a:ext cx="4818788" cy="351925"/>
                    </a:xfrm>
                    <a:prstGeom prst="rect">
                      <a:avLst/>
                    </a:prstGeom>
                    <a:ln>
                      <a:noFill/>
                    </a:ln>
                    <a:extLst>
                      <a:ext uri="{53640926-AAD7-44D8-BBD7-CCE9431645EC}">
                        <a14:shadowObscured xmlns:a14="http://schemas.microsoft.com/office/drawing/2010/main"/>
                      </a:ext>
                    </a:extLst>
                  </pic:spPr>
                </pic:pic>
              </a:graphicData>
            </a:graphic>
          </wp:inline>
        </w:drawing>
      </w:r>
    </w:p>
    <w:p w14:paraId="6BB6EB4C" w14:textId="77777777" w:rsidR="000F5B29" w:rsidRDefault="000F5B29" w:rsidP="000F5B29">
      <w:pPr>
        <w:shd w:val="clear" w:color="auto" w:fill="FFFFFF" w:themeFill="background1"/>
        <w:spacing w:line="360" w:lineRule="auto"/>
        <w:jc w:val="both"/>
        <w:rPr>
          <w:bCs/>
          <w:sz w:val="20"/>
          <w:szCs w:val="20"/>
          <w:lang w:val="es-ES_tradnl"/>
        </w:rPr>
      </w:pPr>
    </w:p>
    <w:p w14:paraId="636DABF5" w14:textId="77777777" w:rsidR="000F5B29" w:rsidRPr="007D1162" w:rsidRDefault="000F5B29" w:rsidP="000F5B29">
      <w:pPr>
        <w:shd w:val="clear" w:color="auto" w:fill="FFFFFF" w:themeFill="background1"/>
        <w:spacing w:line="360" w:lineRule="auto"/>
        <w:jc w:val="both"/>
        <w:rPr>
          <w:bCs/>
          <w:sz w:val="20"/>
          <w:szCs w:val="20"/>
          <w:lang w:val="es-ES_tradnl"/>
        </w:rPr>
      </w:pPr>
      <w:r w:rsidRPr="005B2E2A">
        <w:rPr>
          <w:bCs/>
          <w:sz w:val="20"/>
          <w:szCs w:val="20"/>
          <w:lang w:val="es-ES_tradnl"/>
        </w:rPr>
        <w:t>En materia de ingresos provenientes de fuentes locales, se estima que para el ejercicio fiscal 2026, se tenga una variación cercana al 15% con relación a la Ley de Ingresos aprobada para el ejercicio fiscal de 2025. En esta estimación se incluyen los ingresos que se esperan captar por parte de los Organismos</w:t>
      </w:r>
      <w:r w:rsidRPr="007D1162">
        <w:rPr>
          <w:bCs/>
          <w:sz w:val="20"/>
          <w:szCs w:val="20"/>
          <w:lang w:val="es-ES_tradnl"/>
        </w:rPr>
        <w:t xml:space="preserve"> Públicos Descentralizados, por la prestación de servicios inherentes a sus funciones, mismos que serán recaudados a través de la Secretaría de Finanzas.</w:t>
      </w:r>
    </w:p>
    <w:p w14:paraId="016ABED5" w14:textId="77777777" w:rsidR="000F5B29" w:rsidRPr="007D1162" w:rsidRDefault="000F5B29" w:rsidP="000F5B29">
      <w:pPr>
        <w:spacing w:line="360" w:lineRule="auto"/>
        <w:jc w:val="both"/>
        <w:rPr>
          <w:bCs/>
          <w:sz w:val="20"/>
          <w:szCs w:val="20"/>
          <w:lang w:val="es-ES_tradnl"/>
        </w:rPr>
      </w:pPr>
    </w:p>
    <w:p w14:paraId="7727A946" w14:textId="77777777" w:rsidR="000F5B29" w:rsidRPr="008D5C06" w:rsidRDefault="000F5B29" w:rsidP="000F5B29">
      <w:pPr>
        <w:spacing w:line="360" w:lineRule="auto"/>
        <w:jc w:val="both"/>
        <w:rPr>
          <w:rFonts w:ascii="Arial" w:hAnsi="Arial" w:cs="Arial"/>
        </w:rPr>
      </w:pPr>
      <w:r w:rsidRPr="008108AB">
        <w:rPr>
          <w:bCs/>
          <w:sz w:val="20"/>
          <w:szCs w:val="20"/>
          <w:lang w:val="es-ES_tradnl"/>
        </w:rPr>
        <w:t xml:space="preserve">En lo que corresponde a participaciones federales referenciadas a la Recaudación Federal Participable en el presente ejercicio (al mes de septiembre de 2025), la distribución por Entidad Federativa, muestra una variación promedio de 1.44%; Tlaxcala se sitúa con un -0.40%; esto derivado de la recaudación de </w:t>
      </w:r>
      <w:r w:rsidRPr="008108AB">
        <w:rPr>
          <w:bCs/>
          <w:sz w:val="20"/>
          <w:szCs w:val="20"/>
          <w:lang w:val="es-ES_tradnl"/>
        </w:rPr>
        <w:lastRenderedPageBreak/>
        <w:t>los impuestos y derechos locales (incluye</w:t>
      </w:r>
      <w:r w:rsidRPr="008108AB">
        <w:rPr>
          <w:rFonts w:ascii="Arial" w:hAnsi="Arial" w:cs="Arial"/>
        </w:rPr>
        <w:t xml:space="preserve"> </w:t>
      </w:r>
      <w:r w:rsidRPr="008108AB">
        <w:rPr>
          <w:bCs/>
          <w:sz w:val="20"/>
          <w:szCs w:val="20"/>
          <w:lang w:val="es-ES_tradnl"/>
        </w:rPr>
        <w:t>predial y agua municipal) en los periodos 2023-2024</w:t>
      </w:r>
      <w:r>
        <w:rPr>
          <w:bCs/>
          <w:sz w:val="20"/>
          <w:szCs w:val="20"/>
          <w:lang w:val="es-ES_tradnl"/>
        </w:rPr>
        <w:t>,</w:t>
      </w:r>
      <w:r w:rsidRPr="008108AB">
        <w:rPr>
          <w:bCs/>
          <w:sz w:val="20"/>
          <w:szCs w:val="20"/>
          <w:lang w:val="es-ES_tradnl"/>
        </w:rPr>
        <w:t xml:space="preserve"> tal </w:t>
      </w:r>
      <w:r>
        <w:rPr>
          <w:bCs/>
          <w:sz w:val="20"/>
          <w:szCs w:val="20"/>
          <w:lang w:val="es-ES_tradnl"/>
        </w:rPr>
        <w:t xml:space="preserve">y </w:t>
      </w:r>
      <w:r w:rsidRPr="008108AB">
        <w:rPr>
          <w:bCs/>
          <w:sz w:val="20"/>
          <w:szCs w:val="20"/>
          <w:lang w:val="es-ES_tradnl"/>
        </w:rPr>
        <w:t>como se aprecia en el gráfico siguiente:</w:t>
      </w:r>
    </w:p>
    <w:p w14:paraId="4795CF9A" w14:textId="77777777" w:rsidR="000F5B29" w:rsidRPr="00FD37DE" w:rsidRDefault="000F5B29" w:rsidP="000F5B29">
      <w:pPr>
        <w:spacing w:line="360" w:lineRule="auto"/>
        <w:jc w:val="both"/>
        <w:rPr>
          <w:bCs/>
          <w:sz w:val="20"/>
          <w:szCs w:val="20"/>
          <w:lang w:val="es-ES_tradnl"/>
        </w:rPr>
      </w:pPr>
    </w:p>
    <w:p w14:paraId="594A1EFC" w14:textId="77777777" w:rsidR="000F5B29" w:rsidRPr="00503227" w:rsidRDefault="000F5B29" w:rsidP="000F5B29">
      <w:pPr>
        <w:spacing w:line="360" w:lineRule="auto"/>
        <w:jc w:val="center"/>
        <w:rPr>
          <w:rFonts w:ascii="Arial" w:hAnsi="Arial" w:cs="Arial"/>
          <w:b/>
          <w:sz w:val="14"/>
        </w:rPr>
      </w:pPr>
      <w:r w:rsidRPr="00503227">
        <w:rPr>
          <w:rFonts w:ascii="Arial" w:hAnsi="Arial" w:cs="Arial"/>
          <w:noProof/>
          <w:lang w:eastAsia="en-US"/>
        </w:rPr>
        <mc:AlternateContent>
          <mc:Choice Requires="wps">
            <w:drawing>
              <wp:anchor distT="0" distB="0" distL="114300" distR="114300" simplePos="0" relativeHeight="251742208" behindDoc="0" locked="0" layoutInCell="1" allowOverlap="1" wp14:anchorId="77A0E65E" wp14:editId="2306FC05">
                <wp:simplePos x="0" y="0"/>
                <wp:positionH relativeFrom="column">
                  <wp:posOffset>4219575</wp:posOffset>
                </wp:positionH>
                <wp:positionV relativeFrom="paragraph">
                  <wp:posOffset>1054735</wp:posOffset>
                </wp:positionV>
                <wp:extent cx="120650" cy="174625"/>
                <wp:effectExtent l="19050" t="0" r="31750" b="34925"/>
                <wp:wrapNone/>
                <wp:docPr id="2074850724" name="Flech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20650" cy="174625"/>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E01C6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332.25pt;margin-top:83.05pt;width:9.5pt;height:13.7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" adj="14138" fillcolor="#c00000" strokecolor="#c00000" strokeweight="1pt">
                <v:path arrowok="t"/>
              </v:shape>
            </w:pict>
          </mc:Fallback>
        </mc:AlternateContent>
      </w:r>
      <w:r w:rsidRPr="00503227">
        <w:rPr>
          <w:rFonts w:ascii="Arial" w:hAnsi="Arial" w:cs="Arial"/>
          <w:b/>
          <w:noProof/>
          <w:sz w:val="14"/>
        </w:rPr>
        <w:drawing>
          <wp:inline distT="0" distB="0" distL="0" distR="0" wp14:anchorId="49F626D7" wp14:editId="033CD934">
            <wp:extent cx="4678326" cy="2232586"/>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3665" t="11456" r="4982" b="7702"/>
                    <a:stretch>
                      <a:fillRect/>
                    </a:stretch>
                  </pic:blipFill>
                  <pic:spPr bwMode="auto">
                    <a:xfrm>
                      <a:off x="0" y="0"/>
                      <a:ext cx="4709422" cy="2247426"/>
                    </a:xfrm>
                    <a:prstGeom prst="rect">
                      <a:avLst/>
                    </a:prstGeom>
                    <a:noFill/>
                    <a:ln>
                      <a:noFill/>
                    </a:ln>
                    <a:extLst>
                      <a:ext uri="{53640926-AAD7-44D8-BBD7-CCE9431645EC}">
                        <a14:shadowObscured xmlns:a14="http://schemas.microsoft.com/office/drawing/2010/main"/>
                      </a:ext>
                    </a:extLst>
                  </pic:spPr>
                </pic:pic>
              </a:graphicData>
            </a:graphic>
          </wp:inline>
        </w:drawing>
      </w:r>
    </w:p>
    <w:p w14:paraId="0B9393CC" w14:textId="77777777" w:rsidR="000F5B29" w:rsidRPr="00906252" w:rsidRDefault="000F5B29" w:rsidP="000F5B29">
      <w:pPr>
        <w:spacing w:line="360" w:lineRule="auto"/>
        <w:jc w:val="both"/>
        <w:rPr>
          <w:rFonts w:ascii="Arial" w:hAnsi="Arial" w:cs="Arial"/>
          <w:b/>
          <w:sz w:val="12"/>
          <w:szCs w:val="22"/>
        </w:rPr>
      </w:pPr>
      <w:r w:rsidRPr="00906252">
        <w:rPr>
          <w:rFonts w:ascii="Arial" w:hAnsi="Arial" w:cs="Arial"/>
          <w:b/>
          <w:sz w:val="12"/>
          <w:szCs w:val="22"/>
        </w:rPr>
        <w:t>Fuente: Elaboración propia DCGCH.</w:t>
      </w:r>
    </w:p>
    <w:p w14:paraId="3799C251" w14:textId="77777777" w:rsidR="000F5B29" w:rsidRPr="007D1162" w:rsidRDefault="000F5B29" w:rsidP="000F5B29">
      <w:pPr>
        <w:spacing w:line="360" w:lineRule="auto"/>
        <w:jc w:val="both"/>
        <w:rPr>
          <w:bCs/>
          <w:sz w:val="20"/>
          <w:szCs w:val="20"/>
          <w:lang w:val="es-ES_tradnl"/>
        </w:rPr>
      </w:pPr>
      <w:r w:rsidRPr="008108AB">
        <w:rPr>
          <w:bCs/>
          <w:sz w:val="20"/>
          <w:szCs w:val="20"/>
          <w:lang w:val="es-ES_tradnl"/>
        </w:rPr>
        <w:t>Para el ejercicio fiscal 2026, se prevé una variación del 9.83% en las participaciones federales e incentivos económicos, respecto de las cifras autorizadas en la Ley de Ingresos del Estado de Tlaxcala para el Ejercicio Fiscal 2025, tal y como se muestra en la gráfica siguiente:</w:t>
      </w:r>
    </w:p>
    <w:p w14:paraId="20C062A9" w14:textId="2AE210EC" w:rsidR="000F5B29" w:rsidRDefault="000F5B29" w:rsidP="000F5B29">
      <w:pPr>
        <w:spacing w:line="360" w:lineRule="auto"/>
        <w:jc w:val="center"/>
        <w:rPr>
          <w:rFonts w:ascii="Arial" w:hAnsi="Arial" w:cs="Arial"/>
          <w:b/>
          <w:sz w:val="14"/>
        </w:rPr>
      </w:pPr>
      <w:r>
        <w:rPr>
          <w:noProof/>
        </w:rPr>
        <mc:AlternateContent>
          <mc:Choice Requires="wps">
            <w:drawing>
              <wp:anchor distT="0" distB="0" distL="114300" distR="114300" simplePos="0" relativeHeight="251743232" behindDoc="0" locked="0" layoutInCell="1" allowOverlap="1" wp14:anchorId="50656439" wp14:editId="5CC2D1B9">
                <wp:simplePos x="0" y="0"/>
                <wp:positionH relativeFrom="column">
                  <wp:posOffset>1939925</wp:posOffset>
                </wp:positionH>
                <wp:positionV relativeFrom="paragraph">
                  <wp:posOffset>483870</wp:posOffset>
                </wp:positionV>
                <wp:extent cx="1152525" cy="301625"/>
                <wp:effectExtent l="0" t="0" r="0" b="0"/>
                <wp:wrapNone/>
                <wp:docPr id="18" name="1 CuadroTexto"/>
                <wp:cNvGraphicFramePr/>
                <a:graphic xmlns:a="http://schemas.openxmlformats.org/drawingml/2006/main">
                  <a:graphicData uri="http://schemas.microsoft.com/office/word/2010/wordprocessingShape">
                    <wps:wsp>
                      <wps:cNvSpPr txBox="1"/>
                      <wps:spPr>
                        <a:xfrm>
                          <a:off x="0" y="0"/>
                          <a:ext cx="1152525" cy="301625"/>
                        </a:xfrm>
                        <a:prstGeom prst="rect">
                          <a:avLst/>
                        </a:prstGeom>
                      </wps:spPr>
                      <wps:txbx>
                        <w:txbxContent>
                          <w:p w14:paraId="74012967" w14:textId="77777777" w:rsidR="000F5B29" w:rsidRPr="008108AB" w:rsidRDefault="000F5B29" w:rsidP="000F5B29">
                            <w:pPr>
                              <w:jc w:val="center"/>
                              <w:rPr>
                                <w:rFonts w:asciiTheme="minorHAnsi" w:hAnsi="Calibri" w:cstheme="minorBidi"/>
                                <w:b/>
                                <w:bCs/>
                                <w:color w:val="000000"/>
                                <w:sz w:val="16"/>
                                <w:szCs w:val="16"/>
                              </w:rPr>
                            </w:pPr>
                            <w:r w:rsidRPr="008108AB">
                              <w:rPr>
                                <w:rFonts w:asciiTheme="minorHAnsi" w:hAnsi="Calibri" w:cstheme="minorBidi"/>
                                <w:b/>
                                <w:bCs/>
                                <w:color w:val="000000"/>
                                <w:sz w:val="16"/>
                                <w:szCs w:val="16"/>
                              </w:rPr>
                              <w:t>9.83%</w:t>
                            </w:r>
                          </w:p>
                        </w:txbxContent>
                      </wps:txbx>
                      <wps:bodyPr wrap="square" rtlCol="0"/>
                    </wps:wsp>
                  </a:graphicData>
                </a:graphic>
              </wp:anchor>
            </w:drawing>
          </mc:Choice>
          <mc:Fallback xmlns:w16sdtfl="http://schemas.microsoft.com/office/word/2024/wordml/sdtformatlock" xmlns:w16du="http://schemas.microsoft.com/office/word/2023/wordml/word16du">
            <w:pict>
              <v:shape w14:anchorId="50656439" id="1 CuadroTexto" o:spid="_x0000_s1027" type="#_x0000_t202" style="position:absolute;left:0;text-align:left;margin-left:152.75pt;margin-top:38.1pt;width:90.75pt;height:23.7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" filled="f" stroked="f">
                <v:textbox>
                  <w:txbxContent>
                    <w:p w14:paraId="74012967" w14:textId="77777777" w:rsidR="000F5B29" w:rsidRPr="008108AB" w:rsidRDefault="000F5B29" w:rsidP="000F5B29">
                      <w:pPr>
                        <w:jc w:val="center"/>
                        <w:rPr>
                          <w:rFonts w:asciiTheme="minorHAnsi" w:hAnsi="Calibri" w:cstheme="minorBidi"/>
                          <w:b/>
                          <w:bCs/>
                          <w:color w:val="000000"/>
                          <w:sz w:val="16"/>
                          <w:szCs w:val="16"/>
                        </w:rPr>
                      </w:pPr>
                      <w:r w:rsidRPr="008108AB">
                        <w:rPr>
                          <w:rFonts w:asciiTheme="minorHAnsi" w:hAnsi="Calibri" w:cstheme="minorBidi"/>
                          <w:b/>
                          <w:bCs/>
                          <w:color w:val="000000"/>
                          <w:sz w:val="16"/>
                          <w:szCs w:val="16"/>
                        </w:rPr>
                        <w:t>9.83%</w:t>
                      </w:r>
                    </w:p>
                  </w:txbxContent>
                </v:textbox>
              </v:shape>
            </w:pict>
          </mc:Fallback>
        </mc:AlternateContent>
      </w:r>
      <w:r w:rsidR="005D5104">
        <w:rPr>
          <w:rFonts w:ascii="Arial" w:hAnsi="Arial" w:cs="Arial"/>
          <w:b/>
          <w:noProof/>
          <w:sz w:val="14"/>
        </w:rPr>
        <w:drawing>
          <wp:inline distT="0" distB="0" distL="0" distR="0" wp14:anchorId="2133021A" wp14:editId="18C7694E">
            <wp:extent cx="4943475" cy="284099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4540" cy="2841602"/>
                    </a:xfrm>
                    <a:prstGeom prst="rect">
                      <a:avLst/>
                    </a:prstGeom>
                    <a:noFill/>
                  </pic:spPr>
                </pic:pic>
              </a:graphicData>
            </a:graphic>
          </wp:inline>
        </w:drawing>
      </w:r>
    </w:p>
    <w:p w14:paraId="0F95C0F1" w14:textId="77777777" w:rsidR="000F5B29" w:rsidRPr="00906252" w:rsidRDefault="000F5B29" w:rsidP="000F5B29">
      <w:pPr>
        <w:spacing w:line="360" w:lineRule="auto"/>
        <w:jc w:val="both"/>
        <w:rPr>
          <w:rFonts w:ascii="Arial" w:hAnsi="Arial" w:cs="Arial"/>
          <w:b/>
          <w:sz w:val="12"/>
          <w:szCs w:val="22"/>
        </w:rPr>
      </w:pPr>
      <w:r w:rsidRPr="008D5C06">
        <w:rPr>
          <w:rFonts w:ascii="Arial" w:hAnsi="Arial" w:cs="Arial"/>
          <w:b/>
          <w:sz w:val="14"/>
        </w:rPr>
        <w:t xml:space="preserve">Fuente: </w:t>
      </w:r>
      <w:r w:rsidRPr="00906252">
        <w:rPr>
          <w:rFonts w:ascii="Arial" w:hAnsi="Arial" w:cs="Arial"/>
          <w:b/>
          <w:sz w:val="12"/>
          <w:szCs w:val="22"/>
        </w:rPr>
        <w:t>Elaboración propia DCGCH.</w:t>
      </w:r>
    </w:p>
    <w:p w14:paraId="2787D0CB" w14:textId="77777777" w:rsidR="00213F39" w:rsidRDefault="00213F39" w:rsidP="000F5B29">
      <w:pPr>
        <w:spacing w:line="360" w:lineRule="auto"/>
        <w:jc w:val="both"/>
        <w:rPr>
          <w:bCs/>
          <w:sz w:val="20"/>
          <w:szCs w:val="20"/>
          <w:lang w:val="es-ES_tradnl"/>
        </w:rPr>
      </w:pPr>
    </w:p>
    <w:p w14:paraId="7F17A554" w14:textId="2C4328FA" w:rsidR="000F5B29" w:rsidRPr="007D1162" w:rsidRDefault="000F5B29" w:rsidP="000F5B29">
      <w:pPr>
        <w:spacing w:line="360" w:lineRule="auto"/>
        <w:jc w:val="both"/>
        <w:rPr>
          <w:bCs/>
          <w:sz w:val="20"/>
          <w:szCs w:val="20"/>
          <w:lang w:val="es-ES_tradnl"/>
        </w:rPr>
      </w:pPr>
      <w:r w:rsidRPr="008108AB">
        <w:rPr>
          <w:bCs/>
          <w:sz w:val="20"/>
          <w:szCs w:val="20"/>
          <w:lang w:val="es-ES_tradnl"/>
        </w:rPr>
        <w:t xml:space="preserve">En el caso de las aportaciones federales, se espera un </w:t>
      </w:r>
      <w:r>
        <w:rPr>
          <w:bCs/>
          <w:sz w:val="20"/>
          <w:szCs w:val="20"/>
          <w:lang w:val="es-ES_tradnl"/>
        </w:rPr>
        <w:t xml:space="preserve">crecimiento </w:t>
      </w:r>
      <w:r w:rsidRPr="008108AB">
        <w:rPr>
          <w:bCs/>
          <w:sz w:val="20"/>
          <w:szCs w:val="20"/>
          <w:lang w:val="es-ES_tradnl"/>
        </w:rPr>
        <w:t xml:space="preserve">moderado, derivado de la aportación al IMSS Bienestar, y considerando que son recursos </w:t>
      </w:r>
      <w:r>
        <w:rPr>
          <w:bCs/>
          <w:sz w:val="20"/>
          <w:szCs w:val="20"/>
          <w:lang w:val="es-ES_tradnl"/>
        </w:rPr>
        <w:t xml:space="preserve">con un destino específico o </w:t>
      </w:r>
      <w:r w:rsidRPr="008108AB">
        <w:rPr>
          <w:bCs/>
          <w:sz w:val="20"/>
          <w:szCs w:val="20"/>
          <w:lang w:val="es-ES_tradnl"/>
        </w:rPr>
        <w:t>etiquetados</w:t>
      </w:r>
      <w:r>
        <w:rPr>
          <w:bCs/>
          <w:sz w:val="20"/>
          <w:szCs w:val="20"/>
          <w:lang w:val="es-ES_tradnl"/>
        </w:rPr>
        <w:t xml:space="preserve">, por lo que </w:t>
      </w:r>
      <w:r w:rsidRPr="008108AB">
        <w:rPr>
          <w:bCs/>
          <w:sz w:val="20"/>
          <w:szCs w:val="20"/>
          <w:lang w:val="es-ES_tradnl"/>
        </w:rPr>
        <w:lastRenderedPageBreak/>
        <w:t>se estima una variación de</w:t>
      </w:r>
      <w:r>
        <w:rPr>
          <w:bCs/>
          <w:sz w:val="20"/>
          <w:szCs w:val="20"/>
          <w:lang w:val="es-ES_tradnl"/>
        </w:rPr>
        <w:t>l</w:t>
      </w:r>
      <w:r w:rsidRPr="008108AB">
        <w:rPr>
          <w:bCs/>
          <w:sz w:val="20"/>
          <w:szCs w:val="20"/>
          <w:lang w:val="es-ES_tradnl"/>
        </w:rPr>
        <w:t xml:space="preserve"> 3.77% con relación a las cifras aprobadas </w:t>
      </w:r>
      <w:r>
        <w:rPr>
          <w:bCs/>
          <w:sz w:val="20"/>
          <w:szCs w:val="20"/>
          <w:lang w:val="es-ES_tradnl"/>
        </w:rPr>
        <w:t>para</w:t>
      </w:r>
      <w:r w:rsidRPr="008108AB">
        <w:rPr>
          <w:bCs/>
          <w:sz w:val="20"/>
          <w:szCs w:val="20"/>
          <w:lang w:val="es-ES_tradnl"/>
        </w:rPr>
        <w:t xml:space="preserve"> el ejercicio fiscal 2025, como se </w:t>
      </w:r>
      <w:r>
        <w:rPr>
          <w:bCs/>
          <w:sz w:val="20"/>
          <w:szCs w:val="20"/>
          <w:lang w:val="es-ES_tradnl"/>
        </w:rPr>
        <w:t>representa</w:t>
      </w:r>
      <w:r w:rsidRPr="008108AB">
        <w:rPr>
          <w:bCs/>
          <w:sz w:val="20"/>
          <w:szCs w:val="20"/>
          <w:lang w:val="es-ES_tradnl"/>
        </w:rPr>
        <w:t xml:space="preserve"> a continuación:</w:t>
      </w:r>
      <w:r w:rsidRPr="007D1162">
        <w:rPr>
          <w:bCs/>
          <w:sz w:val="20"/>
          <w:szCs w:val="20"/>
          <w:lang w:val="es-ES_tradnl"/>
        </w:rPr>
        <w:t xml:space="preserve"> </w:t>
      </w:r>
    </w:p>
    <w:p w14:paraId="492E882B" w14:textId="77777777" w:rsidR="000F5B29" w:rsidRPr="00292FD1" w:rsidRDefault="000F5B29" w:rsidP="000F5B29">
      <w:pPr>
        <w:spacing w:line="360" w:lineRule="auto"/>
        <w:jc w:val="center"/>
        <w:rPr>
          <w:rFonts w:ascii="Arial" w:hAnsi="Arial" w:cs="Arial"/>
          <w:lang w:val="es-ES_tradnl"/>
        </w:rPr>
      </w:pPr>
      <w:r>
        <w:rPr>
          <w:rFonts w:ascii="Arial" w:hAnsi="Arial" w:cs="Arial"/>
          <w:noProof/>
          <w:lang w:val="es-ES_tradnl"/>
        </w:rPr>
        <w:drawing>
          <wp:inline distT="0" distB="0" distL="0" distR="0" wp14:anchorId="042676E7" wp14:editId="52AC273A">
            <wp:extent cx="4796918" cy="2633472"/>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851" cy="2635631"/>
                    </a:xfrm>
                    <a:prstGeom prst="rect">
                      <a:avLst/>
                    </a:prstGeom>
                    <a:noFill/>
                  </pic:spPr>
                </pic:pic>
              </a:graphicData>
            </a:graphic>
          </wp:inline>
        </w:drawing>
      </w:r>
    </w:p>
    <w:p w14:paraId="192AAED1" w14:textId="77777777" w:rsidR="000F5B29" w:rsidRPr="00906252" w:rsidRDefault="000F5B29" w:rsidP="000F5B29">
      <w:pPr>
        <w:spacing w:line="360" w:lineRule="auto"/>
        <w:jc w:val="both"/>
        <w:rPr>
          <w:rFonts w:ascii="Arial" w:hAnsi="Arial" w:cs="Arial"/>
          <w:b/>
          <w:sz w:val="12"/>
          <w:szCs w:val="22"/>
        </w:rPr>
      </w:pPr>
      <w:r w:rsidRPr="00906252">
        <w:rPr>
          <w:rFonts w:ascii="Arial" w:hAnsi="Arial" w:cs="Arial"/>
          <w:b/>
          <w:sz w:val="12"/>
          <w:szCs w:val="22"/>
        </w:rPr>
        <w:t>Fuente: Elaboración propia DCGCH.</w:t>
      </w:r>
    </w:p>
    <w:p w14:paraId="15814F8F" w14:textId="77777777" w:rsidR="000F5B29" w:rsidRPr="008A5D7E" w:rsidRDefault="000F5B29" w:rsidP="000F5B29">
      <w:pPr>
        <w:spacing w:line="360" w:lineRule="auto"/>
        <w:jc w:val="both"/>
        <w:rPr>
          <w:sz w:val="14"/>
          <w:szCs w:val="14"/>
        </w:rPr>
      </w:pPr>
    </w:p>
    <w:p w14:paraId="1CD5ED4E" w14:textId="77777777" w:rsidR="000F5B29" w:rsidRDefault="000F5B29" w:rsidP="000F5B29">
      <w:pPr>
        <w:spacing w:line="360" w:lineRule="auto"/>
        <w:jc w:val="both"/>
        <w:rPr>
          <w:sz w:val="20"/>
          <w:szCs w:val="20"/>
        </w:rPr>
      </w:pPr>
      <w:r w:rsidRPr="009C2CC6">
        <w:rPr>
          <w:sz w:val="20"/>
          <w:szCs w:val="20"/>
        </w:rPr>
        <w:t>Para el ejercicio fiscal 2026, se prevé obtener un total de ingresos para el Estado de Tlaxcala por $30,086,079,028 00/100 M.N., provenientes de fuentes locales, participaciones e incentivos económicos, aportaciones federales, convenios suscritos con el Gobierno Federal y extraordinarios, lo que representa una variación del 7.32% respecto de las cifras autorizadas en la Ley de Ingresos del Estado de Tlaxcala, para el Ejercicio Fiscal 2025, tal y como se observa en la gráfica siguiente:</w:t>
      </w:r>
    </w:p>
    <w:p w14:paraId="55FD8055" w14:textId="77777777" w:rsidR="000F5B29" w:rsidRPr="008A5D7E" w:rsidRDefault="000F5B29" w:rsidP="000F5B29">
      <w:pPr>
        <w:spacing w:line="360" w:lineRule="auto"/>
        <w:jc w:val="both"/>
        <w:rPr>
          <w:sz w:val="14"/>
          <w:szCs w:val="14"/>
        </w:rPr>
      </w:pPr>
    </w:p>
    <w:p w14:paraId="79312327" w14:textId="77777777" w:rsidR="000F5B29" w:rsidRPr="008D5C06" w:rsidRDefault="000F5B29" w:rsidP="000F5B29">
      <w:pPr>
        <w:spacing w:line="360" w:lineRule="auto"/>
        <w:jc w:val="center"/>
        <w:rPr>
          <w:rFonts w:ascii="Arial" w:hAnsi="Arial" w:cs="Arial"/>
        </w:rPr>
      </w:pPr>
      <w:r>
        <w:rPr>
          <w:rFonts w:ascii="Arial" w:hAnsi="Arial" w:cs="Arial"/>
          <w:noProof/>
        </w:rPr>
        <w:drawing>
          <wp:inline distT="0" distB="0" distL="0" distR="0" wp14:anchorId="3169B576" wp14:editId="3F633E18">
            <wp:extent cx="5076749" cy="247884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8053" cy="2479484"/>
                    </a:xfrm>
                    <a:prstGeom prst="rect">
                      <a:avLst/>
                    </a:prstGeom>
                    <a:noFill/>
                  </pic:spPr>
                </pic:pic>
              </a:graphicData>
            </a:graphic>
          </wp:inline>
        </w:drawing>
      </w:r>
    </w:p>
    <w:p w14:paraId="6D1E8D0C" w14:textId="77777777" w:rsidR="000F5B29" w:rsidRPr="00906252" w:rsidRDefault="000F5B29" w:rsidP="000F5B29">
      <w:pPr>
        <w:spacing w:line="360" w:lineRule="auto"/>
        <w:jc w:val="both"/>
        <w:rPr>
          <w:rFonts w:ascii="Arial" w:hAnsi="Arial" w:cs="Arial"/>
          <w:b/>
          <w:sz w:val="12"/>
          <w:szCs w:val="22"/>
        </w:rPr>
      </w:pPr>
      <w:r w:rsidRPr="00906252">
        <w:rPr>
          <w:rFonts w:ascii="Arial" w:hAnsi="Arial" w:cs="Arial"/>
          <w:b/>
          <w:sz w:val="12"/>
          <w:szCs w:val="22"/>
        </w:rPr>
        <w:t>Fuente: Elaboración propia DCGCH.</w:t>
      </w:r>
    </w:p>
    <w:p w14:paraId="0B066EEE" w14:textId="77777777" w:rsidR="000F5B29" w:rsidRPr="00DF7F1D" w:rsidRDefault="000F5B29" w:rsidP="000F5B29">
      <w:pPr>
        <w:spacing w:line="360" w:lineRule="auto"/>
        <w:jc w:val="both"/>
        <w:rPr>
          <w:sz w:val="20"/>
          <w:szCs w:val="20"/>
        </w:rPr>
      </w:pPr>
      <w:r w:rsidRPr="00DF7F1D">
        <w:rPr>
          <w:sz w:val="20"/>
          <w:szCs w:val="20"/>
        </w:rPr>
        <w:lastRenderedPageBreak/>
        <w:t>La Iniciativa</w:t>
      </w:r>
      <w:r>
        <w:rPr>
          <w:sz w:val="20"/>
          <w:szCs w:val="20"/>
        </w:rPr>
        <w:t xml:space="preserve"> de Ley de Ingresos del Estado de Tlaxcala, para el Ejercicio Fiscal 2026</w:t>
      </w:r>
      <w:r w:rsidRPr="00DF7F1D">
        <w:rPr>
          <w:sz w:val="20"/>
          <w:szCs w:val="20"/>
        </w:rPr>
        <w:t>, garantiza que las fuentes de financiamiento de los programas y proyectos previstos en la Iniciativa de Decreto de Presupuesto de Egresos del Estado de Tlaxcala, para el Ejercicio Fiscal 202</w:t>
      </w:r>
      <w:r>
        <w:rPr>
          <w:sz w:val="20"/>
          <w:szCs w:val="20"/>
        </w:rPr>
        <w:t>6</w:t>
      </w:r>
      <w:r w:rsidRPr="00DF7F1D">
        <w:rPr>
          <w:sz w:val="20"/>
          <w:szCs w:val="20"/>
        </w:rPr>
        <w:t>, se aplicará</w:t>
      </w:r>
      <w:r>
        <w:rPr>
          <w:sz w:val="20"/>
          <w:szCs w:val="20"/>
        </w:rPr>
        <w:t>n</w:t>
      </w:r>
      <w:r w:rsidRPr="00DF7F1D">
        <w:rPr>
          <w:sz w:val="20"/>
          <w:szCs w:val="20"/>
        </w:rPr>
        <w:t xml:space="preserve"> observando los principios de eficiencia, eficacia, economía y austeridad.</w:t>
      </w:r>
    </w:p>
    <w:p w14:paraId="10DA6A0B" w14:textId="77777777" w:rsidR="000F5B29" w:rsidRDefault="000F5B29" w:rsidP="000F5B29">
      <w:pPr>
        <w:spacing w:line="360" w:lineRule="auto"/>
        <w:jc w:val="both"/>
        <w:rPr>
          <w:sz w:val="20"/>
          <w:szCs w:val="20"/>
        </w:rPr>
      </w:pPr>
    </w:p>
    <w:p w14:paraId="77C4CB1A" w14:textId="77777777" w:rsidR="000F5B29" w:rsidRPr="00DF7F1D" w:rsidRDefault="000F5B29" w:rsidP="000F5B29">
      <w:pPr>
        <w:pStyle w:val="PRIMERAPLANA"/>
        <w:spacing w:line="360" w:lineRule="auto"/>
        <w:rPr>
          <w:rFonts w:ascii="Times New Roman" w:hAnsi="Times New Roman"/>
          <w:lang w:val="es-ES"/>
        </w:rPr>
      </w:pPr>
      <w:r w:rsidRPr="00DF7F1D">
        <w:rPr>
          <w:rFonts w:ascii="Times New Roman" w:hAnsi="Times New Roman"/>
          <w:lang w:val="es-ES"/>
        </w:rPr>
        <w:t>Los ingresos que obtenga el Gobierno del Estado y su aplicación, estarán en función de los preceptos establecidos en el Plan Estatal de Desarrollo 2021-2027, buscando siempre mantener finanzas públicas sanas con transparencia en el ejercicio del quehacer gubernamental, por lo que los esfuerzos del Gobierno del Estado se centrarán en:</w:t>
      </w:r>
    </w:p>
    <w:p w14:paraId="53B0937D" w14:textId="77777777" w:rsidR="000F5B29" w:rsidRPr="00DF7F1D" w:rsidRDefault="000F5B29" w:rsidP="000F5B29">
      <w:pPr>
        <w:pStyle w:val="PRIMERAPLANA"/>
        <w:spacing w:line="360" w:lineRule="auto"/>
        <w:rPr>
          <w:rFonts w:ascii="Times New Roman" w:hAnsi="Times New Roman"/>
          <w:bCs/>
          <w:lang w:val="es-MX"/>
        </w:rPr>
      </w:pPr>
    </w:p>
    <w:p w14:paraId="381703BE" w14:textId="77777777" w:rsidR="000F5B29" w:rsidRPr="00DF7F1D" w:rsidRDefault="000F5B29" w:rsidP="000F5B29">
      <w:pPr>
        <w:pStyle w:val="Prrafodelista"/>
        <w:numPr>
          <w:ilvl w:val="0"/>
          <w:numId w:val="14"/>
        </w:numPr>
        <w:spacing w:line="360" w:lineRule="auto"/>
        <w:jc w:val="both"/>
        <w:rPr>
          <w:sz w:val="20"/>
          <w:szCs w:val="20"/>
        </w:rPr>
      </w:pPr>
      <w:r w:rsidRPr="00DF7F1D">
        <w:rPr>
          <w:sz w:val="20"/>
          <w:szCs w:val="20"/>
        </w:rPr>
        <w:t>Fortalecer la recaudación de contribuciones locales, especialmente en lo relativo a impuestos y derechos para obtener mayores recursos e incrementar los coeficientes de participaciones federales.</w:t>
      </w:r>
    </w:p>
    <w:p w14:paraId="65F767FD" w14:textId="77777777" w:rsidR="000F5B29" w:rsidRPr="00DF7F1D" w:rsidRDefault="000F5B29" w:rsidP="000F5B29">
      <w:pPr>
        <w:pStyle w:val="Prrafodelista"/>
        <w:spacing w:line="360" w:lineRule="auto"/>
        <w:jc w:val="both"/>
        <w:rPr>
          <w:sz w:val="20"/>
          <w:szCs w:val="20"/>
        </w:rPr>
      </w:pPr>
    </w:p>
    <w:p w14:paraId="5F5D3830" w14:textId="77777777" w:rsidR="000F5B29" w:rsidRPr="00DF7F1D" w:rsidRDefault="000F5B29" w:rsidP="000F5B29">
      <w:pPr>
        <w:pStyle w:val="Prrafodelista"/>
        <w:numPr>
          <w:ilvl w:val="0"/>
          <w:numId w:val="14"/>
        </w:numPr>
        <w:spacing w:line="360" w:lineRule="auto"/>
        <w:jc w:val="both"/>
        <w:rPr>
          <w:sz w:val="20"/>
          <w:szCs w:val="20"/>
        </w:rPr>
      </w:pPr>
      <w:r w:rsidRPr="00DF7F1D">
        <w:rPr>
          <w:sz w:val="20"/>
          <w:szCs w:val="20"/>
        </w:rPr>
        <w:t>Fortalecer los Ingresos Ordinarios del Estado; teniendo como finalidad la mejora del Balance Presupuestario de Recursos Disponibles y el consecuente financiamiento del gasto en desarrollo social e inversión en obra pública, a través del uso eficiente de las potestades tributarias delegadas y de la ampliación de la base de contribuyentes.</w:t>
      </w:r>
    </w:p>
    <w:p w14:paraId="16417D21" w14:textId="77777777" w:rsidR="000F5B29" w:rsidRPr="00DF7F1D" w:rsidRDefault="000F5B29" w:rsidP="000F5B29">
      <w:pPr>
        <w:spacing w:line="360" w:lineRule="auto"/>
        <w:ind w:left="-11"/>
        <w:jc w:val="both"/>
        <w:rPr>
          <w:sz w:val="20"/>
          <w:szCs w:val="20"/>
        </w:rPr>
      </w:pPr>
    </w:p>
    <w:p w14:paraId="696A1FD8" w14:textId="555785AE" w:rsidR="000F5B29" w:rsidRPr="00DF7F1D" w:rsidRDefault="000F5B29" w:rsidP="000F5B29">
      <w:pPr>
        <w:pStyle w:val="Prrafodelista"/>
        <w:numPr>
          <w:ilvl w:val="0"/>
          <w:numId w:val="14"/>
        </w:numPr>
        <w:spacing w:line="360" w:lineRule="auto"/>
        <w:jc w:val="both"/>
        <w:rPr>
          <w:sz w:val="20"/>
          <w:szCs w:val="20"/>
        </w:rPr>
      </w:pPr>
      <w:r w:rsidRPr="00DF7F1D">
        <w:rPr>
          <w:sz w:val="20"/>
          <w:szCs w:val="20"/>
        </w:rPr>
        <w:t xml:space="preserve">Fortalecer los mecanismos de Coordinación Fiscal, en congruencia con la Administración Pública </w:t>
      </w:r>
      <w:proofErr w:type="gramStart"/>
      <w:r w:rsidRPr="00DF7F1D">
        <w:rPr>
          <w:sz w:val="20"/>
          <w:szCs w:val="20"/>
        </w:rPr>
        <w:t>Federal</w:t>
      </w:r>
      <w:proofErr w:type="gramEnd"/>
      <w:r w:rsidRPr="00DF7F1D">
        <w:rPr>
          <w:sz w:val="20"/>
          <w:szCs w:val="20"/>
        </w:rPr>
        <w:t xml:space="preserve"> así como la coordinación con los municipios del Estado, para incrementar las fuentes de ingresos locales.</w:t>
      </w:r>
    </w:p>
    <w:p w14:paraId="27549EE7" w14:textId="77777777" w:rsidR="000F5B29" w:rsidRPr="00DF7F1D" w:rsidRDefault="000F5B29" w:rsidP="000F5B29">
      <w:pPr>
        <w:spacing w:line="360" w:lineRule="auto"/>
        <w:ind w:left="-11"/>
        <w:jc w:val="both"/>
        <w:rPr>
          <w:sz w:val="20"/>
          <w:szCs w:val="20"/>
        </w:rPr>
      </w:pPr>
    </w:p>
    <w:p w14:paraId="7460B9F0" w14:textId="77777777" w:rsidR="000F5B29" w:rsidRPr="00DF7F1D" w:rsidRDefault="000F5B29" w:rsidP="000F5B29">
      <w:pPr>
        <w:pStyle w:val="Prrafodelista"/>
        <w:numPr>
          <w:ilvl w:val="0"/>
          <w:numId w:val="14"/>
        </w:numPr>
        <w:spacing w:line="360" w:lineRule="auto"/>
        <w:jc w:val="both"/>
        <w:rPr>
          <w:sz w:val="20"/>
          <w:szCs w:val="20"/>
        </w:rPr>
      </w:pPr>
      <w:r w:rsidRPr="00DF7F1D">
        <w:rPr>
          <w:sz w:val="20"/>
          <w:szCs w:val="20"/>
        </w:rPr>
        <w:t>Cumplir con las metas de Ingresos Presupuestarios; que permitan mantener finanzas públicas sanas.</w:t>
      </w:r>
    </w:p>
    <w:p w14:paraId="3DCA2AF7" w14:textId="77777777" w:rsidR="000F5B29" w:rsidRDefault="000F5B29" w:rsidP="000F5B29">
      <w:pPr>
        <w:spacing w:line="360" w:lineRule="auto"/>
        <w:ind w:left="-11"/>
        <w:jc w:val="both"/>
        <w:rPr>
          <w:sz w:val="20"/>
          <w:szCs w:val="20"/>
        </w:rPr>
      </w:pPr>
    </w:p>
    <w:p w14:paraId="0FDF2C76" w14:textId="77777777" w:rsidR="000F5B29" w:rsidRPr="008D5C06" w:rsidRDefault="000F5B29" w:rsidP="000F5B29">
      <w:pPr>
        <w:spacing w:line="360" w:lineRule="auto"/>
        <w:ind w:left="-11"/>
        <w:jc w:val="both"/>
        <w:rPr>
          <w:rFonts w:ascii="Arial" w:hAnsi="Arial" w:cs="Arial"/>
        </w:rPr>
      </w:pPr>
      <w:r w:rsidRPr="00DF7F1D">
        <w:rPr>
          <w:sz w:val="20"/>
          <w:szCs w:val="20"/>
        </w:rPr>
        <w:t xml:space="preserve">Para tales fines, se propone la consolidación de un gobierno cercano con visión extendida, comprometido y de resultados, transparente y de rendición de cuentas, de </w:t>
      </w:r>
      <w:proofErr w:type="gramStart"/>
      <w:r w:rsidRPr="00DF7F1D">
        <w:rPr>
          <w:sz w:val="20"/>
          <w:szCs w:val="20"/>
        </w:rPr>
        <w:t>cero tolerancia</w:t>
      </w:r>
      <w:proofErr w:type="gramEnd"/>
      <w:r w:rsidRPr="00DF7F1D">
        <w:rPr>
          <w:sz w:val="20"/>
          <w:szCs w:val="20"/>
        </w:rPr>
        <w:t xml:space="preserve"> a la corrupción y sensible a las necesidades sociales, a través de las siguientes estrategias:</w:t>
      </w:r>
    </w:p>
    <w:p w14:paraId="7FB95F77" w14:textId="77777777" w:rsidR="000F5B29" w:rsidRPr="0092056F" w:rsidRDefault="000F5B29" w:rsidP="000F5B29">
      <w:pPr>
        <w:spacing w:line="360" w:lineRule="auto"/>
        <w:ind w:left="-11"/>
        <w:jc w:val="both"/>
        <w:rPr>
          <w:sz w:val="20"/>
          <w:szCs w:val="20"/>
        </w:rPr>
      </w:pPr>
    </w:p>
    <w:p w14:paraId="059045B4" w14:textId="77777777" w:rsidR="000F5B29" w:rsidRPr="00A27D68" w:rsidRDefault="000F5B29" w:rsidP="000F5B29">
      <w:pPr>
        <w:pStyle w:val="PRIMERAPLANA"/>
        <w:numPr>
          <w:ilvl w:val="0"/>
          <w:numId w:val="18"/>
        </w:numPr>
        <w:spacing w:line="360" w:lineRule="auto"/>
        <w:rPr>
          <w:rFonts w:ascii="Times New Roman" w:hAnsi="Times New Roman"/>
          <w:bCs/>
          <w:lang w:val="es-MX"/>
        </w:rPr>
      </w:pPr>
      <w:r>
        <w:rPr>
          <w:rFonts w:ascii="Times New Roman" w:hAnsi="Times New Roman"/>
          <w:bCs/>
          <w:lang w:val="es-MX"/>
        </w:rPr>
        <w:t>Realizar</w:t>
      </w:r>
      <w:r w:rsidRPr="00A27D68">
        <w:rPr>
          <w:rFonts w:ascii="Times New Roman" w:hAnsi="Times New Roman"/>
          <w:bCs/>
          <w:lang w:val="es-MX"/>
        </w:rPr>
        <w:t xml:space="preserve"> campañas </w:t>
      </w:r>
      <w:r>
        <w:rPr>
          <w:rFonts w:ascii="Times New Roman" w:hAnsi="Times New Roman"/>
          <w:bCs/>
          <w:lang w:val="es-MX"/>
        </w:rPr>
        <w:t xml:space="preserve">de </w:t>
      </w:r>
      <w:r w:rsidRPr="00A27D68">
        <w:rPr>
          <w:rFonts w:ascii="Times New Roman" w:hAnsi="Times New Roman"/>
          <w:bCs/>
          <w:lang w:val="es-MX"/>
        </w:rPr>
        <w:t>difusión</w:t>
      </w:r>
      <w:r>
        <w:rPr>
          <w:rFonts w:ascii="Times New Roman" w:hAnsi="Times New Roman"/>
          <w:bCs/>
          <w:lang w:val="es-MX"/>
        </w:rPr>
        <w:t>;</w:t>
      </w:r>
      <w:r w:rsidRPr="00A27D68">
        <w:rPr>
          <w:rFonts w:ascii="Times New Roman" w:hAnsi="Times New Roman"/>
          <w:bCs/>
          <w:lang w:val="es-MX"/>
        </w:rPr>
        <w:t xml:space="preserve"> </w:t>
      </w:r>
      <w:r>
        <w:rPr>
          <w:rFonts w:ascii="Times New Roman" w:hAnsi="Times New Roman"/>
          <w:bCs/>
          <w:lang w:val="es-MX"/>
        </w:rPr>
        <w:t xml:space="preserve">así como, </w:t>
      </w:r>
      <w:r w:rsidRPr="00A27D68">
        <w:rPr>
          <w:rFonts w:ascii="Times New Roman" w:hAnsi="Times New Roman"/>
          <w:bCs/>
          <w:lang w:val="es-MX"/>
        </w:rPr>
        <w:t>proporcionar asistencia y asesorías a los contribuyentes aumenta</w:t>
      </w:r>
      <w:r>
        <w:rPr>
          <w:rFonts w:ascii="Times New Roman" w:hAnsi="Times New Roman"/>
          <w:bCs/>
          <w:lang w:val="es-MX"/>
        </w:rPr>
        <w:t>ndo</w:t>
      </w:r>
      <w:r w:rsidRPr="00A27D68">
        <w:rPr>
          <w:rFonts w:ascii="Times New Roman" w:hAnsi="Times New Roman"/>
          <w:bCs/>
          <w:lang w:val="es-MX"/>
        </w:rPr>
        <w:t xml:space="preserve"> la presencia fiscal para disminuir la informalidad.</w:t>
      </w:r>
    </w:p>
    <w:p w14:paraId="0ACECC68" w14:textId="77777777" w:rsidR="000F5B29" w:rsidRPr="00A27D68" w:rsidRDefault="000F5B29" w:rsidP="000F5B29">
      <w:pPr>
        <w:pStyle w:val="PRIMERAPLANA"/>
        <w:spacing w:line="360" w:lineRule="auto"/>
        <w:ind w:left="720"/>
        <w:rPr>
          <w:rFonts w:ascii="Times New Roman" w:hAnsi="Times New Roman"/>
          <w:bCs/>
          <w:lang w:val="es-MX"/>
        </w:rPr>
      </w:pPr>
    </w:p>
    <w:p w14:paraId="3A84663B" w14:textId="77777777" w:rsidR="000F5B29" w:rsidRPr="00A27D68" w:rsidRDefault="000F5B29" w:rsidP="000F5B29">
      <w:pPr>
        <w:pStyle w:val="PRIMERAPLANA"/>
        <w:numPr>
          <w:ilvl w:val="0"/>
          <w:numId w:val="18"/>
        </w:numPr>
        <w:spacing w:line="360" w:lineRule="auto"/>
        <w:rPr>
          <w:rFonts w:ascii="Times New Roman" w:hAnsi="Times New Roman"/>
          <w:bCs/>
          <w:lang w:val="es-MX"/>
        </w:rPr>
      </w:pPr>
      <w:r w:rsidRPr="00A27D68">
        <w:rPr>
          <w:rFonts w:ascii="Times New Roman" w:hAnsi="Times New Roman"/>
          <w:bCs/>
          <w:lang w:val="es-MX"/>
        </w:rPr>
        <w:lastRenderedPageBreak/>
        <w:t xml:space="preserve">Otorgar incentivos fiscales a las micro y pequeñas empresas, que </w:t>
      </w:r>
      <w:r>
        <w:rPr>
          <w:rFonts w:ascii="Times New Roman" w:hAnsi="Times New Roman"/>
          <w:bCs/>
          <w:lang w:val="es-MX"/>
        </w:rPr>
        <w:t>promuevan</w:t>
      </w:r>
      <w:r w:rsidRPr="00A27D68">
        <w:rPr>
          <w:rFonts w:ascii="Times New Roman" w:hAnsi="Times New Roman"/>
          <w:bCs/>
          <w:lang w:val="es-MX"/>
        </w:rPr>
        <w:t xml:space="preserve"> la inversión en el Estado. </w:t>
      </w:r>
    </w:p>
    <w:p w14:paraId="0452C4F9" w14:textId="77777777" w:rsidR="000F5B29" w:rsidRPr="00A27D68" w:rsidRDefault="000F5B29" w:rsidP="000F5B29">
      <w:pPr>
        <w:pStyle w:val="Prrafodelista"/>
        <w:rPr>
          <w:bCs/>
          <w:sz w:val="20"/>
          <w:szCs w:val="20"/>
        </w:rPr>
      </w:pPr>
    </w:p>
    <w:p w14:paraId="765B2845" w14:textId="77777777" w:rsidR="000F5B29" w:rsidRPr="00A27D68" w:rsidRDefault="000F5B29" w:rsidP="000F5B29">
      <w:pPr>
        <w:pStyle w:val="PRIMERAPLANA"/>
        <w:numPr>
          <w:ilvl w:val="0"/>
          <w:numId w:val="18"/>
        </w:numPr>
        <w:spacing w:line="360" w:lineRule="auto"/>
        <w:rPr>
          <w:rFonts w:ascii="Times New Roman" w:hAnsi="Times New Roman"/>
          <w:bCs/>
          <w:lang w:val="es-MX"/>
        </w:rPr>
      </w:pPr>
      <w:r w:rsidRPr="00A27D68">
        <w:rPr>
          <w:rFonts w:ascii="Times New Roman" w:hAnsi="Times New Roman"/>
          <w:bCs/>
          <w:lang w:val="es-MX"/>
        </w:rPr>
        <w:t xml:space="preserve">Simplificar los trámites administrativos para que el contribuyente pueda realizar trámites a través del Portal de la Secretaría de Finanzas </w:t>
      </w:r>
      <w:r>
        <w:rPr>
          <w:rFonts w:ascii="Times New Roman" w:hAnsi="Times New Roman"/>
          <w:bCs/>
          <w:lang w:val="es-MX"/>
        </w:rPr>
        <w:t>y realizar</w:t>
      </w:r>
      <w:r w:rsidRPr="00A27D68">
        <w:rPr>
          <w:rFonts w:ascii="Times New Roman" w:hAnsi="Times New Roman"/>
          <w:bCs/>
          <w:lang w:val="es-MX"/>
        </w:rPr>
        <w:t xml:space="preserve"> el pago de contribuciones </w:t>
      </w:r>
      <w:r>
        <w:rPr>
          <w:rFonts w:ascii="Times New Roman" w:hAnsi="Times New Roman"/>
          <w:bCs/>
          <w:lang w:val="es-MX"/>
        </w:rPr>
        <w:t xml:space="preserve">mediante </w:t>
      </w:r>
      <w:r w:rsidRPr="00A27D68">
        <w:rPr>
          <w:rFonts w:ascii="Times New Roman" w:hAnsi="Times New Roman"/>
          <w:bCs/>
          <w:lang w:val="es-MX"/>
        </w:rPr>
        <w:t>el uso de tecnologías de la información.</w:t>
      </w:r>
    </w:p>
    <w:p w14:paraId="2224D887" w14:textId="77777777" w:rsidR="000F5B29" w:rsidRPr="00A27D68" w:rsidRDefault="000F5B29" w:rsidP="000F5B29">
      <w:pPr>
        <w:pStyle w:val="Prrafodelista"/>
        <w:rPr>
          <w:bCs/>
          <w:sz w:val="20"/>
          <w:szCs w:val="20"/>
        </w:rPr>
      </w:pPr>
    </w:p>
    <w:p w14:paraId="7A937773" w14:textId="77777777" w:rsidR="000F5B29" w:rsidRPr="00A27D68" w:rsidRDefault="000F5B29" w:rsidP="000F5B29">
      <w:pPr>
        <w:pStyle w:val="PRIMERAPLANA"/>
        <w:numPr>
          <w:ilvl w:val="0"/>
          <w:numId w:val="18"/>
        </w:numPr>
        <w:spacing w:line="360" w:lineRule="auto"/>
        <w:rPr>
          <w:rFonts w:ascii="Times New Roman" w:hAnsi="Times New Roman"/>
          <w:bCs/>
          <w:lang w:val="es-MX"/>
        </w:rPr>
      </w:pPr>
      <w:r w:rsidRPr="00A27D68">
        <w:rPr>
          <w:rFonts w:ascii="Times New Roman" w:hAnsi="Times New Roman"/>
          <w:bCs/>
          <w:lang w:val="es-MX"/>
        </w:rPr>
        <w:t>Establecer programas para la revisión y fiscalización que incrementen el cobro de contribuciones locales.</w:t>
      </w:r>
    </w:p>
    <w:p w14:paraId="065A70C4" w14:textId="77777777" w:rsidR="000F5B29" w:rsidRPr="00A27D68" w:rsidRDefault="000F5B29" w:rsidP="000F5B29">
      <w:pPr>
        <w:pStyle w:val="Prrafodelista"/>
        <w:rPr>
          <w:bCs/>
          <w:sz w:val="20"/>
          <w:szCs w:val="20"/>
        </w:rPr>
      </w:pPr>
    </w:p>
    <w:p w14:paraId="56A4B797" w14:textId="77777777" w:rsidR="000F5B29" w:rsidRPr="00A27D68" w:rsidRDefault="000F5B29" w:rsidP="000F5B29">
      <w:pPr>
        <w:pStyle w:val="PRIMERAPLANA"/>
        <w:numPr>
          <w:ilvl w:val="0"/>
          <w:numId w:val="18"/>
        </w:numPr>
        <w:spacing w:line="360" w:lineRule="auto"/>
        <w:rPr>
          <w:rFonts w:ascii="Times New Roman" w:hAnsi="Times New Roman"/>
          <w:bCs/>
          <w:lang w:val="es-MX"/>
        </w:rPr>
      </w:pPr>
      <w:r>
        <w:rPr>
          <w:rFonts w:ascii="Times New Roman" w:hAnsi="Times New Roman"/>
          <w:bCs/>
          <w:lang w:val="es-MX"/>
        </w:rPr>
        <w:t>P</w:t>
      </w:r>
      <w:r w:rsidRPr="00A27D68">
        <w:rPr>
          <w:rFonts w:ascii="Times New Roman" w:hAnsi="Times New Roman"/>
          <w:bCs/>
          <w:lang w:val="es-MX"/>
        </w:rPr>
        <w:t>articipa</w:t>
      </w:r>
      <w:r>
        <w:rPr>
          <w:rFonts w:ascii="Times New Roman" w:hAnsi="Times New Roman"/>
          <w:bCs/>
          <w:lang w:val="es-MX"/>
        </w:rPr>
        <w:t>r activamente</w:t>
      </w:r>
      <w:r w:rsidRPr="00A27D68">
        <w:rPr>
          <w:rFonts w:ascii="Times New Roman" w:hAnsi="Times New Roman"/>
          <w:bCs/>
          <w:lang w:val="es-MX"/>
        </w:rPr>
        <w:t xml:space="preserve"> en los Comités y Grupos de Trabajo </w:t>
      </w:r>
      <w:r>
        <w:rPr>
          <w:rFonts w:ascii="Times New Roman" w:hAnsi="Times New Roman"/>
          <w:bCs/>
          <w:lang w:val="es-MX"/>
        </w:rPr>
        <w:t>d</w:t>
      </w:r>
      <w:r w:rsidRPr="00A27D68">
        <w:rPr>
          <w:rFonts w:ascii="Times New Roman" w:hAnsi="Times New Roman"/>
          <w:bCs/>
          <w:lang w:val="es-MX"/>
        </w:rPr>
        <w:t xml:space="preserve">el Sistema Nacional de Coordinación Fiscal, así como </w:t>
      </w:r>
      <w:r>
        <w:rPr>
          <w:rFonts w:ascii="Times New Roman" w:hAnsi="Times New Roman"/>
          <w:bCs/>
          <w:lang w:val="es-MX"/>
        </w:rPr>
        <w:t xml:space="preserve">en los trabajos </w:t>
      </w:r>
      <w:r w:rsidRPr="00A27D68">
        <w:rPr>
          <w:rFonts w:ascii="Times New Roman" w:hAnsi="Times New Roman"/>
          <w:bCs/>
          <w:lang w:val="es-MX"/>
        </w:rPr>
        <w:t xml:space="preserve">de la Comisión Permanente de </w:t>
      </w:r>
      <w:proofErr w:type="gramStart"/>
      <w:r w:rsidRPr="00A27D68">
        <w:rPr>
          <w:rFonts w:ascii="Times New Roman" w:hAnsi="Times New Roman"/>
          <w:bCs/>
          <w:lang w:val="es-MX"/>
        </w:rPr>
        <w:t>Funcionarios</w:t>
      </w:r>
      <w:proofErr w:type="gramEnd"/>
      <w:r w:rsidRPr="00A27D68">
        <w:rPr>
          <w:rFonts w:ascii="Times New Roman" w:hAnsi="Times New Roman"/>
          <w:bCs/>
          <w:lang w:val="es-MX"/>
        </w:rPr>
        <w:t xml:space="preserve"> Fiscales.</w:t>
      </w:r>
    </w:p>
    <w:p w14:paraId="0823F207" w14:textId="77777777" w:rsidR="000F5B29" w:rsidRPr="00A27D68" w:rsidRDefault="000F5B29" w:rsidP="000F5B29">
      <w:pPr>
        <w:pStyle w:val="Prrafodelista"/>
        <w:rPr>
          <w:bCs/>
          <w:sz w:val="20"/>
          <w:szCs w:val="20"/>
        </w:rPr>
      </w:pPr>
    </w:p>
    <w:p w14:paraId="6608A5AC" w14:textId="1B7CB10D" w:rsidR="000F5B29" w:rsidRPr="00A27D68" w:rsidRDefault="007E1CE0" w:rsidP="000F5B29">
      <w:pPr>
        <w:pStyle w:val="PRIMERAPLANA"/>
        <w:numPr>
          <w:ilvl w:val="0"/>
          <w:numId w:val="18"/>
        </w:numPr>
        <w:spacing w:line="360" w:lineRule="auto"/>
        <w:rPr>
          <w:rFonts w:ascii="Times New Roman" w:hAnsi="Times New Roman"/>
          <w:bCs/>
          <w:lang w:val="es-MX"/>
        </w:rPr>
      </w:pPr>
      <w:r>
        <w:rPr>
          <w:rFonts w:ascii="Times New Roman" w:hAnsi="Times New Roman"/>
          <w:bCs/>
          <w:lang w:val="es-MX"/>
        </w:rPr>
        <w:t>F</w:t>
      </w:r>
      <w:r w:rsidR="000F5B29" w:rsidRPr="00A27D68">
        <w:rPr>
          <w:rFonts w:ascii="Times New Roman" w:hAnsi="Times New Roman"/>
          <w:bCs/>
          <w:lang w:val="es-MX"/>
        </w:rPr>
        <w:t>acilitar el cumplimiento de obligaciones fiscales</w:t>
      </w:r>
      <w:r w:rsidR="000F5B29">
        <w:rPr>
          <w:rFonts w:ascii="Times New Roman" w:hAnsi="Times New Roman"/>
          <w:bCs/>
          <w:lang w:val="es-MX"/>
        </w:rPr>
        <w:t xml:space="preserve">, mediante </w:t>
      </w:r>
      <w:r w:rsidR="000F5B29" w:rsidRPr="00A27D68">
        <w:rPr>
          <w:rFonts w:ascii="Times New Roman" w:hAnsi="Times New Roman"/>
          <w:bCs/>
          <w:lang w:val="es-MX"/>
        </w:rPr>
        <w:t>la diversifica</w:t>
      </w:r>
      <w:r w:rsidR="000F5B29">
        <w:rPr>
          <w:rFonts w:ascii="Times New Roman" w:hAnsi="Times New Roman"/>
          <w:bCs/>
          <w:lang w:val="es-MX"/>
        </w:rPr>
        <w:t>ción</w:t>
      </w:r>
      <w:r w:rsidR="000F5B29" w:rsidRPr="00A27D68">
        <w:rPr>
          <w:rFonts w:ascii="Times New Roman" w:hAnsi="Times New Roman"/>
          <w:bCs/>
          <w:lang w:val="es-MX"/>
        </w:rPr>
        <w:t xml:space="preserve"> </w:t>
      </w:r>
      <w:r w:rsidR="000F5B29">
        <w:rPr>
          <w:rFonts w:ascii="Times New Roman" w:hAnsi="Times New Roman"/>
          <w:bCs/>
          <w:lang w:val="es-MX"/>
        </w:rPr>
        <w:t xml:space="preserve">de </w:t>
      </w:r>
      <w:r w:rsidR="000F5B29" w:rsidRPr="00A27D68">
        <w:rPr>
          <w:rFonts w:ascii="Times New Roman" w:hAnsi="Times New Roman"/>
          <w:bCs/>
          <w:lang w:val="es-MX"/>
        </w:rPr>
        <w:t xml:space="preserve">las formas de pago </w:t>
      </w:r>
      <w:r w:rsidR="000F5B29">
        <w:rPr>
          <w:rFonts w:ascii="Times New Roman" w:hAnsi="Times New Roman"/>
          <w:bCs/>
          <w:lang w:val="es-MX"/>
        </w:rPr>
        <w:t xml:space="preserve">y </w:t>
      </w:r>
      <w:r w:rsidR="000F5B29" w:rsidRPr="00A27D68">
        <w:rPr>
          <w:rFonts w:ascii="Times New Roman" w:hAnsi="Times New Roman"/>
          <w:bCs/>
          <w:lang w:val="es-MX"/>
        </w:rPr>
        <w:t>e</w:t>
      </w:r>
      <w:r w:rsidR="000F5B29">
        <w:rPr>
          <w:rFonts w:ascii="Times New Roman" w:hAnsi="Times New Roman"/>
          <w:bCs/>
          <w:lang w:val="es-MX"/>
        </w:rPr>
        <w:t>l</w:t>
      </w:r>
      <w:r w:rsidR="000F5B29" w:rsidRPr="00A27D68">
        <w:rPr>
          <w:rFonts w:ascii="Times New Roman" w:hAnsi="Times New Roman"/>
          <w:bCs/>
          <w:lang w:val="es-MX"/>
        </w:rPr>
        <w:t xml:space="preserve"> increment</w:t>
      </w:r>
      <w:r w:rsidR="000F5B29">
        <w:rPr>
          <w:rFonts w:ascii="Times New Roman" w:hAnsi="Times New Roman"/>
          <w:bCs/>
          <w:lang w:val="es-MX"/>
        </w:rPr>
        <w:t>o de</w:t>
      </w:r>
      <w:r w:rsidR="000F5B29" w:rsidRPr="00A27D68">
        <w:rPr>
          <w:rFonts w:ascii="Times New Roman" w:hAnsi="Times New Roman"/>
          <w:bCs/>
          <w:lang w:val="es-MX"/>
        </w:rPr>
        <w:t xml:space="preserve"> los puntos de cobro de contribuciones.</w:t>
      </w:r>
    </w:p>
    <w:p w14:paraId="74C89AFC" w14:textId="77777777" w:rsidR="000F5B29" w:rsidRPr="00A27D68" w:rsidRDefault="000F5B29" w:rsidP="000F5B29">
      <w:pPr>
        <w:pStyle w:val="Prrafodelista"/>
        <w:rPr>
          <w:bCs/>
          <w:sz w:val="20"/>
          <w:szCs w:val="20"/>
        </w:rPr>
      </w:pPr>
    </w:p>
    <w:p w14:paraId="4EEEBE24" w14:textId="77777777" w:rsidR="000F5B29" w:rsidRPr="00C403A2" w:rsidRDefault="000F5B29" w:rsidP="000F5B29">
      <w:pPr>
        <w:pStyle w:val="Prrafodelista"/>
        <w:numPr>
          <w:ilvl w:val="0"/>
          <w:numId w:val="18"/>
        </w:numPr>
        <w:spacing w:line="360" w:lineRule="auto"/>
        <w:jc w:val="both"/>
        <w:rPr>
          <w:sz w:val="20"/>
          <w:szCs w:val="20"/>
        </w:rPr>
      </w:pPr>
      <w:r w:rsidRPr="00C403A2">
        <w:rPr>
          <w:sz w:val="20"/>
          <w:szCs w:val="20"/>
        </w:rPr>
        <w:t>Fortalecer las fuentes de ingresos federales y los esquemas de incentivos derivados del Convenio de Colaboración Administrativa en Materia Fiscal Federal.</w:t>
      </w:r>
    </w:p>
    <w:p w14:paraId="38014A03" w14:textId="77777777" w:rsidR="000F5B29" w:rsidRPr="00A27D68" w:rsidRDefault="000F5B29" w:rsidP="000F5B29">
      <w:pPr>
        <w:pStyle w:val="Prrafodelista"/>
        <w:rPr>
          <w:sz w:val="20"/>
          <w:szCs w:val="20"/>
        </w:rPr>
      </w:pPr>
    </w:p>
    <w:p w14:paraId="24813440" w14:textId="77777777" w:rsidR="000F5B29" w:rsidRPr="00A27D68" w:rsidRDefault="000F5B29" w:rsidP="000F5B29">
      <w:pPr>
        <w:pStyle w:val="Prrafodelista"/>
        <w:numPr>
          <w:ilvl w:val="0"/>
          <w:numId w:val="18"/>
        </w:numPr>
        <w:spacing w:line="360" w:lineRule="auto"/>
        <w:jc w:val="both"/>
        <w:rPr>
          <w:sz w:val="20"/>
          <w:szCs w:val="20"/>
        </w:rPr>
      </w:pPr>
      <w:r w:rsidRPr="00A27D68">
        <w:rPr>
          <w:sz w:val="20"/>
          <w:szCs w:val="20"/>
        </w:rPr>
        <w:t>Mejorar las capacidades administrativas de los Organismos Descentralizados para el timbrado en tiempo y forma de la nómina de empleados estatales, para recibir las participaciones establecidas en el artículo 3-B de la Ley de Coordinación Fiscal.</w:t>
      </w:r>
    </w:p>
    <w:p w14:paraId="0BBE48F4" w14:textId="77777777" w:rsidR="000F5B29" w:rsidRPr="00A27D68" w:rsidRDefault="000F5B29" w:rsidP="000F5B29">
      <w:pPr>
        <w:pStyle w:val="Prrafodelista"/>
        <w:rPr>
          <w:sz w:val="20"/>
          <w:szCs w:val="20"/>
        </w:rPr>
      </w:pPr>
    </w:p>
    <w:p w14:paraId="1E0179FB" w14:textId="77777777" w:rsidR="000F5B29" w:rsidRPr="00A27D68" w:rsidRDefault="000F5B29" w:rsidP="000F5B29">
      <w:pPr>
        <w:pStyle w:val="Prrafodelista"/>
        <w:numPr>
          <w:ilvl w:val="0"/>
          <w:numId w:val="18"/>
        </w:numPr>
        <w:spacing w:line="360" w:lineRule="auto"/>
        <w:jc w:val="both"/>
        <w:rPr>
          <w:sz w:val="20"/>
          <w:szCs w:val="20"/>
        </w:rPr>
      </w:pPr>
      <w:r w:rsidRPr="00A27D68">
        <w:rPr>
          <w:sz w:val="20"/>
          <w:szCs w:val="20"/>
        </w:rPr>
        <w:t>Enviar cartas invitación para incentivar a los contribuyentes a regularizar su situación fiscal.</w:t>
      </w:r>
    </w:p>
    <w:p w14:paraId="39B154A5" w14:textId="77777777" w:rsidR="000F5B29" w:rsidRPr="00A27D68" w:rsidRDefault="000F5B29" w:rsidP="000F5B29">
      <w:pPr>
        <w:pStyle w:val="Prrafodelista"/>
        <w:rPr>
          <w:sz w:val="20"/>
          <w:szCs w:val="20"/>
        </w:rPr>
      </w:pPr>
    </w:p>
    <w:p w14:paraId="63091C33" w14:textId="77777777" w:rsidR="000F5B29" w:rsidRPr="00A27D68" w:rsidRDefault="000F5B29" w:rsidP="000F5B29">
      <w:pPr>
        <w:pStyle w:val="Prrafodelista"/>
        <w:numPr>
          <w:ilvl w:val="0"/>
          <w:numId w:val="18"/>
        </w:numPr>
        <w:spacing w:line="360" w:lineRule="auto"/>
        <w:jc w:val="both"/>
        <w:rPr>
          <w:sz w:val="20"/>
          <w:szCs w:val="20"/>
        </w:rPr>
      </w:pPr>
      <w:r w:rsidRPr="00A27D68">
        <w:rPr>
          <w:sz w:val="20"/>
          <w:szCs w:val="20"/>
        </w:rPr>
        <w:t>Cumplimiento de la normatividad emitida por el Consejo Nacional de Armonización Contable (CONAC).</w:t>
      </w:r>
    </w:p>
    <w:p w14:paraId="6F8BBDB2" w14:textId="77777777" w:rsidR="000F5B29" w:rsidRPr="00A27D68" w:rsidRDefault="000F5B29" w:rsidP="000F5B29">
      <w:pPr>
        <w:pStyle w:val="Prrafodelista"/>
        <w:rPr>
          <w:sz w:val="20"/>
          <w:szCs w:val="20"/>
        </w:rPr>
      </w:pPr>
    </w:p>
    <w:p w14:paraId="5EF94874" w14:textId="77777777" w:rsidR="000F5B29" w:rsidRPr="00A27D68" w:rsidRDefault="000F5B29" w:rsidP="000F5B29">
      <w:pPr>
        <w:pStyle w:val="Prrafodelista"/>
        <w:numPr>
          <w:ilvl w:val="0"/>
          <w:numId w:val="18"/>
        </w:numPr>
        <w:spacing w:line="360" w:lineRule="auto"/>
        <w:jc w:val="both"/>
        <w:rPr>
          <w:sz w:val="20"/>
          <w:szCs w:val="20"/>
        </w:rPr>
      </w:pPr>
      <w:r w:rsidRPr="00A27D68">
        <w:rPr>
          <w:sz w:val="20"/>
          <w:szCs w:val="20"/>
        </w:rPr>
        <w:t>Congruencia en los pronósticos de recaudación federal y estatal considerando riesgos fiscales, evolución y perspectivas económicas.</w:t>
      </w:r>
    </w:p>
    <w:p w14:paraId="1C5D6E79" w14:textId="77777777" w:rsidR="000F5B29" w:rsidRPr="00A27D68" w:rsidRDefault="000F5B29" w:rsidP="000F5B29">
      <w:pPr>
        <w:pStyle w:val="Prrafodelista"/>
        <w:rPr>
          <w:sz w:val="20"/>
          <w:szCs w:val="20"/>
        </w:rPr>
      </w:pPr>
    </w:p>
    <w:p w14:paraId="4763D3C0" w14:textId="77777777" w:rsidR="000F5B29" w:rsidRPr="00A27D68" w:rsidRDefault="000F5B29" w:rsidP="000F5B29">
      <w:pPr>
        <w:pStyle w:val="Prrafodelista"/>
        <w:numPr>
          <w:ilvl w:val="0"/>
          <w:numId w:val="18"/>
        </w:numPr>
        <w:spacing w:line="360" w:lineRule="auto"/>
        <w:jc w:val="both"/>
        <w:rPr>
          <w:sz w:val="20"/>
          <w:szCs w:val="20"/>
        </w:rPr>
      </w:pPr>
      <w:r w:rsidRPr="00A27D68">
        <w:rPr>
          <w:sz w:val="20"/>
          <w:szCs w:val="20"/>
        </w:rPr>
        <w:t>Integración del Paquete Económico conforme a lo establecido en la Ley de Disciplina Financiera de las Entidades Federativas y los Municipios.</w:t>
      </w:r>
    </w:p>
    <w:p w14:paraId="5BBF44A4" w14:textId="77777777" w:rsidR="000F5B29" w:rsidRPr="00A27D68" w:rsidRDefault="000F5B29" w:rsidP="000F5B29">
      <w:pPr>
        <w:pStyle w:val="Prrafodelista"/>
        <w:rPr>
          <w:sz w:val="20"/>
          <w:szCs w:val="20"/>
        </w:rPr>
      </w:pPr>
    </w:p>
    <w:p w14:paraId="53B923E4" w14:textId="77777777" w:rsidR="000F5B29" w:rsidRPr="00A27D68" w:rsidRDefault="000F5B29" w:rsidP="000F5B29">
      <w:pPr>
        <w:pStyle w:val="Prrafodelista"/>
        <w:numPr>
          <w:ilvl w:val="0"/>
          <w:numId w:val="18"/>
        </w:numPr>
        <w:spacing w:line="360" w:lineRule="auto"/>
        <w:jc w:val="both"/>
        <w:rPr>
          <w:sz w:val="20"/>
          <w:szCs w:val="20"/>
        </w:rPr>
      </w:pPr>
      <w:r w:rsidRPr="00A27D68">
        <w:rPr>
          <w:sz w:val="20"/>
          <w:szCs w:val="20"/>
        </w:rPr>
        <w:t>Finanzas Estatales sanas.</w:t>
      </w:r>
    </w:p>
    <w:p w14:paraId="00A2B348" w14:textId="77777777" w:rsidR="000F5B29" w:rsidRDefault="000F5B29" w:rsidP="000F5B29">
      <w:pPr>
        <w:spacing w:line="360" w:lineRule="auto"/>
        <w:jc w:val="both"/>
        <w:rPr>
          <w:sz w:val="20"/>
          <w:szCs w:val="20"/>
        </w:rPr>
      </w:pPr>
    </w:p>
    <w:p w14:paraId="7CC46F46" w14:textId="77777777" w:rsidR="000F5B29" w:rsidRPr="00A27D68" w:rsidRDefault="000F5B29" w:rsidP="000F5B29">
      <w:pPr>
        <w:spacing w:line="360" w:lineRule="auto"/>
        <w:jc w:val="both"/>
        <w:rPr>
          <w:sz w:val="20"/>
          <w:szCs w:val="20"/>
        </w:rPr>
      </w:pPr>
      <w:r w:rsidRPr="00A27D68">
        <w:rPr>
          <w:sz w:val="20"/>
          <w:szCs w:val="20"/>
        </w:rPr>
        <w:lastRenderedPageBreak/>
        <w:t>Para transformar las condiciones de desarrollo de Tlaxcala, a través de acciones contundentes que consoliden las bases de un Estado sólido y promuevan el empleo, a fin de que su gente disfrute de una vida digna y segura, moderna y en unidad, con progresión de los derechos, la vigencia de la perspectiva de género y la felicidad de las familias y las personas, se plantean las siguientes Metas:</w:t>
      </w:r>
    </w:p>
    <w:p w14:paraId="16EDD163" w14:textId="77777777" w:rsidR="000F5B29" w:rsidRPr="00A27D68" w:rsidRDefault="000F5B29" w:rsidP="000F5B29">
      <w:pPr>
        <w:spacing w:line="360" w:lineRule="auto"/>
        <w:ind w:left="-11"/>
        <w:jc w:val="both"/>
        <w:rPr>
          <w:sz w:val="20"/>
          <w:szCs w:val="20"/>
        </w:rPr>
      </w:pPr>
    </w:p>
    <w:p w14:paraId="3C8672D8" w14:textId="77777777" w:rsidR="000F5B29" w:rsidRPr="00A27D68" w:rsidRDefault="000F5B29" w:rsidP="000F5B29">
      <w:pPr>
        <w:pStyle w:val="Prrafodelista"/>
        <w:numPr>
          <w:ilvl w:val="0"/>
          <w:numId w:val="15"/>
        </w:numPr>
        <w:spacing w:line="360" w:lineRule="auto"/>
        <w:jc w:val="both"/>
        <w:rPr>
          <w:sz w:val="20"/>
          <w:szCs w:val="20"/>
        </w:rPr>
      </w:pPr>
      <w:r w:rsidRPr="00A27D68">
        <w:rPr>
          <w:sz w:val="20"/>
          <w:szCs w:val="20"/>
        </w:rPr>
        <w:t>Incrementar los ingresos del Estado en términos reales.</w:t>
      </w:r>
    </w:p>
    <w:p w14:paraId="0CF0A4EF" w14:textId="77777777" w:rsidR="000F5B29" w:rsidRPr="00A27D68" w:rsidRDefault="000F5B29" w:rsidP="000F5B29">
      <w:pPr>
        <w:spacing w:line="360" w:lineRule="auto"/>
        <w:ind w:left="-11"/>
        <w:jc w:val="both"/>
        <w:rPr>
          <w:sz w:val="20"/>
          <w:szCs w:val="20"/>
        </w:rPr>
      </w:pPr>
    </w:p>
    <w:p w14:paraId="06F41DD9" w14:textId="77777777" w:rsidR="000F5B29" w:rsidRPr="00A27D68" w:rsidRDefault="000F5B29" w:rsidP="000F5B29">
      <w:pPr>
        <w:pStyle w:val="Prrafodelista"/>
        <w:numPr>
          <w:ilvl w:val="0"/>
          <w:numId w:val="15"/>
        </w:numPr>
        <w:spacing w:line="360" w:lineRule="auto"/>
        <w:jc w:val="both"/>
        <w:rPr>
          <w:sz w:val="20"/>
          <w:szCs w:val="20"/>
        </w:rPr>
      </w:pPr>
      <w:r w:rsidRPr="00A27D68">
        <w:rPr>
          <w:sz w:val="20"/>
          <w:szCs w:val="20"/>
        </w:rPr>
        <w:t>Disminuir el rezago en el pago de obligaciones a cargo de los contribuyentes, así como la elusión y evasión fiscales.</w:t>
      </w:r>
    </w:p>
    <w:p w14:paraId="5E29CA13" w14:textId="77777777" w:rsidR="000F5B29" w:rsidRPr="00A27D68" w:rsidRDefault="000F5B29" w:rsidP="000F5B29">
      <w:pPr>
        <w:spacing w:line="360" w:lineRule="auto"/>
        <w:ind w:left="-11"/>
        <w:jc w:val="both"/>
        <w:rPr>
          <w:sz w:val="20"/>
          <w:szCs w:val="20"/>
        </w:rPr>
      </w:pPr>
    </w:p>
    <w:p w14:paraId="043A163E" w14:textId="77777777" w:rsidR="000F5B29" w:rsidRPr="00A27D68" w:rsidRDefault="000F5B29" w:rsidP="000F5B29">
      <w:pPr>
        <w:pStyle w:val="Prrafodelista"/>
        <w:numPr>
          <w:ilvl w:val="0"/>
          <w:numId w:val="15"/>
        </w:numPr>
        <w:spacing w:line="360" w:lineRule="auto"/>
        <w:jc w:val="both"/>
        <w:rPr>
          <w:sz w:val="20"/>
          <w:szCs w:val="20"/>
        </w:rPr>
      </w:pPr>
      <w:r w:rsidRPr="00A27D68">
        <w:rPr>
          <w:sz w:val="20"/>
          <w:szCs w:val="20"/>
        </w:rPr>
        <w:t>Reducir el porcentaje de dependencia del Estado de las transferencias federales.</w:t>
      </w:r>
    </w:p>
    <w:p w14:paraId="43740C1C" w14:textId="77777777" w:rsidR="000F5B29" w:rsidRPr="00A27D68" w:rsidRDefault="000F5B29" w:rsidP="000F5B29">
      <w:pPr>
        <w:spacing w:line="360" w:lineRule="auto"/>
        <w:ind w:left="-11"/>
        <w:jc w:val="both"/>
        <w:rPr>
          <w:sz w:val="20"/>
          <w:szCs w:val="20"/>
        </w:rPr>
      </w:pPr>
    </w:p>
    <w:p w14:paraId="560161DE" w14:textId="77777777" w:rsidR="000F5B29" w:rsidRPr="00A27D68" w:rsidRDefault="000F5B29" w:rsidP="000F5B29">
      <w:pPr>
        <w:pStyle w:val="Prrafodelista"/>
        <w:numPr>
          <w:ilvl w:val="0"/>
          <w:numId w:val="15"/>
        </w:numPr>
        <w:spacing w:line="360" w:lineRule="auto"/>
        <w:jc w:val="both"/>
        <w:rPr>
          <w:sz w:val="20"/>
          <w:szCs w:val="20"/>
        </w:rPr>
      </w:pPr>
      <w:r w:rsidRPr="00A27D68">
        <w:rPr>
          <w:sz w:val="20"/>
          <w:szCs w:val="20"/>
        </w:rPr>
        <w:t>Incrementar el número de operaciones por trámites realizados por los contribuyentes a través de medios electrónicos.</w:t>
      </w:r>
    </w:p>
    <w:p w14:paraId="0E14575F" w14:textId="77777777" w:rsidR="000F5B29" w:rsidRPr="00A27D68" w:rsidRDefault="000F5B29" w:rsidP="000F5B29">
      <w:pPr>
        <w:spacing w:line="360" w:lineRule="auto"/>
        <w:ind w:left="-11"/>
        <w:jc w:val="both"/>
        <w:rPr>
          <w:sz w:val="20"/>
          <w:szCs w:val="20"/>
        </w:rPr>
      </w:pPr>
    </w:p>
    <w:p w14:paraId="3D688332" w14:textId="77777777" w:rsidR="000F5B29" w:rsidRPr="00A27D68" w:rsidRDefault="000F5B29" w:rsidP="000F5B29">
      <w:pPr>
        <w:pStyle w:val="Prrafodelista"/>
        <w:numPr>
          <w:ilvl w:val="0"/>
          <w:numId w:val="15"/>
        </w:numPr>
        <w:spacing w:line="360" w:lineRule="auto"/>
        <w:jc w:val="both"/>
        <w:rPr>
          <w:sz w:val="20"/>
          <w:szCs w:val="20"/>
        </w:rPr>
      </w:pPr>
      <w:r w:rsidRPr="00A27D68">
        <w:rPr>
          <w:sz w:val="20"/>
          <w:szCs w:val="20"/>
        </w:rPr>
        <w:t>Mantener el nivel de endeudamiento registrado conforme al Sistema de Alertas.</w:t>
      </w:r>
    </w:p>
    <w:p w14:paraId="6D7DEB08" w14:textId="77777777" w:rsidR="000F5B29" w:rsidRPr="0092056F" w:rsidRDefault="000F5B29" w:rsidP="000F5B29">
      <w:pPr>
        <w:spacing w:line="360" w:lineRule="auto"/>
        <w:ind w:left="-11"/>
        <w:jc w:val="both"/>
        <w:rPr>
          <w:sz w:val="20"/>
          <w:szCs w:val="20"/>
        </w:rPr>
      </w:pPr>
    </w:p>
    <w:p w14:paraId="12AE71E4" w14:textId="20EB3E97" w:rsidR="000F5B29" w:rsidRDefault="000F5B29" w:rsidP="000F5B29">
      <w:pPr>
        <w:pStyle w:val="PRIMERAPLANA"/>
        <w:spacing w:line="360" w:lineRule="auto"/>
        <w:rPr>
          <w:rFonts w:ascii="Times New Roman" w:hAnsi="Times New Roman"/>
          <w:lang w:val="es-ES"/>
        </w:rPr>
      </w:pPr>
      <w:r w:rsidRPr="00A27D68">
        <w:rPr>
          <w:rFonts w:ascii="Times New Roman" w:hAnsi="Times New Roman"/>
          <w:lang w:val="es-ES"/>
        </w:rPr>
        <w:t>La Iniciativa de Ley de Ingresos del Estado de Tlaxcala, para el Ejercicio Fiscal 202</w:t>
      </w:r>
      <w:r>
        <w:rPr>
          <w:rFonts w:ascii="Times New Roman" w:hAnsi="Times New Roman"/>
          <w:lang w:val="es-ES"/>
        </w:rPr>
        <w:t>6</w:t>
      </w:r>
      <w:r w:rsidRPr="00A27D68">
        <w:rPr>
          <w:rFonts w:ascii="Times New Roman" w:hAnsi="Times New Roman"/>
          <w:lang w:val="es-ES"/>
        </w:rPr>
        <w:t>, que se presenta ante ese Congreso del Estado, se elaboró tomando en consideración las proyecciones económicas previstas por la SHCP, en el Documento Relativo al Cumplimiento de las Disposiciones contenidas en el artículo 42, fracción I, de la Ley Federal de Presupuesto y Responsabilidad Hacendaria (Pre-Criterios 202</w:t>
      </w:r>
      <w:r>
        <w:rPr>
          <w:rFonts w:ascii="Times New Roman" w:hAnsi="Times New Roman"/>
          <w:lang w:val="es-ES"/>
        </w:rPr>
        <w:t>6</w:t>
      </w:r>
      <w:r w:rsidRPr="00A27D68">
        <w:rPr>
          <w:rFonts w:ascii="Times New Roman" w:hAnsi="Times New Roman"/>
          <w:lang w:val="es-ES"/>
        </w:rPr>
        <w:t>), y en los Criterios Generales de Política Económica para la Iniciativa de Ley de Ingresos y el Proyecto de Presupuesto de Egresos de la Federación correspondientes al Ejercicio Fiscal 202</w:t>
      </w:r>
      <w:r>
        <w:rPr>
          <w:rFonts w:ascii="Times New Roman" w:hAnsi="Times New Roman"/>
          <w:lang w:val="es-ES"/>
        </w:rPr>
        <w:t>6</w:t>
      </w:r>
      <w:r w:rsidRPr="00A27D68">
        <w:rPr>
          <w:rFonts w:ascii="Times New Roman" w:hAnsi="Times New Roman"/>
          <w:lang w:val="es-ES"/>
        </w:rPr>
        <w:t>. Se estima que durante el periodo de 202</w:t>
      </w:r>
      <w:r>
        <w:rPr>
          <w:rFonts w:ascii="Times New Roman" w:hAnsi="Times New Roman"/>
          <w:lang w:val="es-ES"/>
        </w:rPr>
        <w:t>7</w:t>
      </w:r>
      <w:r w:rsidRPr="00A27D68">
        <w:rPr>
          <w:rFonts w:ascii="Times New Roman" w:hAnsi="Times New Roman"/>
          <w:lang w:val="es-ES"/>
        </w:rPr>
        <w:t xml:space="preserve"> a 20</w:t>
      </w:r>
      <w:r>
        <w:rPr>
          <w:rFonts w:ascii="Times New Roman" w:hAnsi="Times New Roman"/>
          <w:lang w:val="es-ES"/>
        </w:rPr>
        <w:t xml:space="preserve">31 </w:t>
      </w:r>
      <w:r w:rsidRPr="002137BE">
        <w:rPr>
          <w:rFonts w:ascii="Times New Roman" w:hAnsi="Times New Roman"/>
          <w:lang w:val="es-ES"/>
        </w:rPr>
        <w:t>la tasa promedio de crecimiento real del PIB se</w:t>
      </w:r>
      <w:r>
        <w:rPr>
          <w:rFonts w:ascii="Times New Roman" w:hAnsi="Times New Roman"/>
          <w:lang w:val="es-ES"/>
        </w:rPr>
        <w:t xml:space="preserve"> </w:t>
      </w:r>
      <w:r w:rsidRPr="002137BE">
        <w:rPr>
          <w:rFonts w:ascii="Times New Roman" w:hAnsi="Times New Roman"/>
          <w:lang w:val="es-ES"/>
        </w:rPr>
        <w:t>ubicará en un rango entre 1.5</w:t>
      </w:r>
      <w:r w:rsidR="005E0F95">
        <w:rPr>
          <w:rFonts w:ascii="Times New Roman" w:hAnsi="Times New Roman"/>
          <w:lang w:val="es-ES"/>
        </w:rPr>
        <w:t>%</w:t>
      </w:r>
      <w:r w:rsidRPr="002137BE">
        <w:rPr>
          <w:rFonts w:ascii="Times New Roman" w:hAnsi="Times New Roman"/>
          <w:lang w:val="es-ES"/>
        </w:rPr>
        <w:t xml:space="preserve"> y 2.5% anual. Estas proyecciones son consistentes con el incremento</w:t>
      </w:r>
      <w:r>
        <w:rPr>
          <w:rFonts w:ascii="Times New Roman" w:hAnsi="Times New Roman"/>
          <w:lang w:val="es-ES"/>
        </w:rPr>
        <w:t xml:space="preserve"> </w:t>
      </w:r>
      <w:r w:rsidRPr="002137BE">
        <w:rPr>
          <w:rFonts w:ascii="Times New Roman" w:hAnsi="Times New Roman"/>
          <w:lang w:val="es-ES"/>
        </w:rPr>
        <w:t>previsto para el PIB potencial, cuyo cálculo se encuentra establecido en el art. 11-C del Reglamento de la</w:t>
      </w:r>
      <w:r>
        <w:rPr>
          <w:rFonts w:ascii="Times New Roman" w:hAnsi="Times New Roman"/>
          <w:lang w:val="es-ES"/>
        </w:rPr>
        <w:t xml:space="preserve"> </w:t>
      </w:r>
      <w:r w:rsidRPr="002137BE">
        <w:rPr>
          <w:rFonts w:ascii="Times New Roman" w:hAnsi="Times New Roman"/>
          <w:lang w:val="es-ES"/>
        </w:rPr>
        <w:t>LFPRH.</w:t>
      </w:r>
    </w:p>
    <w:p w14:paraId="49540587" w14:textId="77777777" w:rsidR="000F5B29" w:rsidRDefault="000F5B29" w:rsidP="000F5B29">
      <w:pPr>
        <w:pStyle w:val="PRIMERAPLANA"/>
        <w:spacing w:line="360" w:lineRule="auto"/>
        <w:rPr>
          <w:rFonts w:ascii="Times New Roman" w:hAnsi="Times New Roman"/>
          <w:lang w:val="es-ES"/>
        </w:rPr>
      </w:pPr>
    </w:p>
    <w:p w14:paraId="70456B17" w14:textId="295F7711" w:rsidR="000F5B29" w:rsidRPr="002137BE" w:rsidRDefault="000F5B29" w:rsidP="000F5B29">
      <w:pPr>
        <w:pStyle w:val="PRIMERAPLANA"/>
        <w:spacing w:line="360" w:lineRule="auto"/>
        <w:rPr>
          <w:rFonts w:ascii="Times New Roman" w:hAnsi="Times New Roman"/>
          <w:lang w:val="es-ES"/>
        </w:rPr>
      </w:pPr>
      <w:r w:rsidRPr="002137BE">
        <w:rPr>
          <w:rFonts w:ascii="Times New Roman" w:hAnsi="Times New Roman"/>
          <w:lang w:val="es-ES"/>
        </w:rPr>
        <w:t>Se pronostica que la inflación se ubicará en el intervalo de variabilidad establecido por el Banco de México</w:t>
      </w:r>
      <w:r>
        <w:rPr>
          <w:rFonts w:ascii="Times New Roman" w:hAnsi="Times New Roman"/>
          <w:lang w:val="es-ES"/>
        </w:rPr>
        <w:t xml:space="preserve"> </w:t>
      </w:r>
      <w:r w:rsidRPr="002137BE">
        <w:rPr>
          <w:rFonts w:ascii="Times New Roman" w:hAnsi="Times New Roman"/>
          <w:lang w:val="es-ES"/>
        </w:rPr>
        <w:t>de 2.0</w:t>
      </w:r>
      <w:r w:rsidR="008779BD">
        <w:rPr>
          <w:rFonts w:ascii="Times New Roman" w:hAnsi="Times New Roman"/>
          <w:lang w:val="es-ES"/>
        </w:rPr>
        <w:t>%</w:t>
      </w:r>
      <w:r w:rsidRPr="002137BE">
        <w:rPr>
          <w:rFonts w:ascii="Times New Roman" w:hAnsi="Times New Roman"/>
          <w:lang w:val="es-ES"/>
        </w:rPr>
        <w:t xml:space="preserve"> a 4.0% anual, mientras que la tasa de Cetes a 28 días se estabilizará en un nivel de 5.5% a partir de</w:t>
      </w:r>
      <w:r>
        <w:rPr>
          <w:rFonts w:ascii="Times New Roman" w:hAnsi="Times New Roman"/>
          <w:lang w:val="es-ES"/>
        </w:rPr>
        <w:t xml:space="preserve"> </w:t>
      </w:r>
      <w:r w:rsidRPr="002137BE">
        <w:rPr>
          <w:rFonts w:ascii="Times New Roman" w:hAnsi="Times New Roman"/>
          <w:lang w:val="es-ES"/>
        </w:rPr>
        <w:t>2027.</w:t>
      </w:r>
      <w:r w:rsidR="00AF2D7D">
        <w:rPr>
          <w:rFonts w:ascii="Times New Roman" w:hAnsi="Times New Roman"/>
          <w:lang w:val="es-ES"/>
        </w:rPr>
        <w:t xml:space="preserve"> </w:t>
      </w:r>
      <w:r>
        <w:rPr>
          <w:rFonts w:ascii="Times New Roman" w:hAnsi="Times New Roman"/>
          <w:lang w:val="es-ES"/>
        </w:rPr>
        <w:t>L</w:t>
      </w:r>
      <w:r w:rsidRPr="002137BE">
        <w:rPr>
          <w:rFonts w:ascii="Times New Roman" w:hAnsi="Times New Roman"/>
          <w:lang w:val="es-ES"/>
        </w:rPr>
        <w:t>a cuenta corriente de la balanza de pagos registrará un déficit promedio moderado de 0.4% del PIB entre</w:t>
      </w:r>
      <w:r>
        <w:rPr>
          <w:rFonts w:ascii="Times New Roman" w:hAnsi="Times New Roman"/>
          <w:lang w:val="es-ES"/>
        </w:rPr>
        <w:t xml:space="preserve"> </w:t>
      </w:r>
      <w:r w:rsidRPr="002137BE">
        <w:rPr>
          <w:rFonts w:ascii="Times New Roman" w:hAnsi="Times New Roman"/>
          <w:lang w:val="es-ES"/>
        </w:rPr>
        <w:t>2027 y 2031. Este resultado estará determinado, principalmente, por el crecimiento de EE.UU., el cual</w:t>
      </w:r>
      <w:r>
        <w:rPr>
          <w:rFonts w:ascii="Times New Roman" w:hAnsi="Times New Roman"/>
          <w:lang w:val="es-ES"/>
        </w:rPr>
        <w:t xml:space="preserve"> </w:t>
      </w:r>
      <w:r w:rsidRPr="002137BE">
        <w:rPr>
          <w:rFonts w:ascii="Times New Roman" w:hAnsi="Times New Roman"/>
          <w:lang w:val="es-ES"/>
        </w:rPr>
        <w:t>permitirá un incremento de las exportaciones de México y un flujo positivo de remesas provenientes de</w:t>
      </w:r>
      <w:r>
        <w:rPr>
          <w:rFonts w:ascii="Times New Roman" w:hAnsi="Times New Roman"/>
          <w:lang w:val="es-ES"/>
        </w:rPr>
        <w:t xml:space="preserve"> </w:t>
      </w:r>
      <w:r w:rsidRPr="002137BE">
        <w:rPr>
          <w:rFonts w:ascii="Times New Roman" w:hAnsi="Times New Roman"/>
          <w:lang w:val="es-ES"/>
        </w:rPr>
        <w:t xml:space="preserve">los trabajadores de origen mexicano. La creciente entrada de IED </w:t>
      </w:r>
      <w:r w:rsidRPr="002137BE">
        <w:rPr>
          <w:rFonts w:ascii="Times New Roman" w:hAnsi="Times New Roman"/>
          <w:lang w:val="es-ES"/>
        </w:rPr>
        <w:lastRenderedPageBreak/>
        <w:t>permanecerá como una fuente</w:t>
      </w:r>
      <w:r>
        <w:rPr>
          <w:rFonts w:ascii="Times New Roman" w:hAnsi="Times New Roman"/>
          <w:lang w:val="es-ES"/>
        </w:rPr>
        <w:t xml:space="preserve"> </w:t>
      </w:r>
      <w:r w:rsidRPr="002137BE">
        <w:rPr>
          <w:rFonts w:ascii="Times New Roman" w:hAnsi="Times New Roman"/>
          <w:lang w:val="es-ES"/>
        </w:rPr>
        <w:t>importante de financiamiento de la cuenta corriente en el mediano plazo. Por lo anterior, el tipo de cambio</w:t>
      </w:r>
      <w:r>
        <w:rPr>
          <w:rFonts w:ascii="Times New Roman" w:hAnsi="Times New Roman"/>
          <w:lang w:val="es-ES"/>
        </w:rPr>
        <w:t xml:space="preserve"> </w:t>
      </w:r>
      <w:r w:rsidRPr="002137BE">
        <w:rPr>
          <w:rFonts w:ascii="Times New Roman" w:hAnsi="Times New Roman"/>
          <w:lang w:val="es-ES"/>
        </w:rPr>
        <w:t>se mantendrá estable alrededor de 18.3 pesos por dólar.</w:t>
      </w:r>
    </w:p>
    <w:p w14:paraId="322A3E87" w14:textId="77777777" w:rsidR="000F5B29" w:rsidRDefault="000F5B29" w:rsidP="000F5B29">
      <w:pPr>
        <w:pStyle w:val="PRIMERAPLANA"/>
        <w:spacing w:line="360" w:lineRule="auto"/>
        <w:rPr>
          <w:rFonts w:ascii="Times New Roman" w:hAnsi="Times New Roman"/>
          <w:lang w:val="es-ES"/>
        </w:rPr>
      </w:pPr>
    </w:p>
    <w:p w14:paraId="19AD8D8C" w14:textId="77777777" w:rsidR="000F5B29" w:rsidRPr="00A27D68" w:rsidRDefault="000F5B29" w:rsidP="000F5B29">
      <w:pPr>
        <w:pStyle w:val="PRIMERAPLANA"/>
        <w:spacing w:line="360" w:lineRule="auto"/>
        <w:rPr>
          <w:rFonts w:ascii="Times New Roman" w:hAnsi="Times New Roman"/>
          <w:lang w:val="es-ES"/>
        </w:rPr>
      </w:pPr>
      <w:r w:rsidRPr="002137BE">
        <w:rPr>
          <w:rFonts w:ascii="Times New Roman" w:hAnsi="Times New Roman"/>
          <w:lang w:val="es-ES"/>
        </w:rPr>
        <w:t>Respecto a los indicadores petroleros, se prevé un precio promedio de 60.2 dpb, en línea con la curva de</w:t>
      </w:r>
      <w:r>
        <w:rPr>
          <w:rFonts w:ascii="Times New Roman" w:hAnsi="Times New Roman"/>
          <w:lang w:val="es-ES"/>
        </w:rPr>
        <w:t xml:space="preserve"> </w:t>
      </w:r>
      <w:r w:rsidRPr="002137BE">
        <w:rPr>
          <w:rFonts w:ascii="Times New Roman" w:hAnsi="Times New Roman"/>
          <w:lang w:val="es-ES"/>
        </w:rPr>
        <w:t>futuros. A la par, se estima que la plataforma de producción de crudo se mantendrá en torno al objetivo</w:t>
      </w:r>
      <w:r>
        <w:rPr>
          <w:rFonts w:ascii="Times New Roman" w:hAnsi="Times New Roman"/>
          <w:lang w:val="es-ES"/>
        </w:rPr>
        <w:t xml:space="preserve"> </w:t>
      </w:r>
      <w:r w:rsidRPr="002137BE">
        <w:rPr>
          <w:rFonts w:ascii="Times New Roman" w:hAnsi="Times New Roman"/>
          <w:lang w:val="es-ES"/>
        </w:rPr>
        <w:t xml:space="preserve">de 1.8 </w:t>
      </w:r>
      <w:proofErr w:type="spellStart"/>
      <w:r w:rsidRPr="002137BE">
        <w:rPr>
          <w:rFonts w:ascii="Times New Roman" w:hAnsi="Times New Roman"/>
          <w:lang w:val="es-ES"/>
        </w:rPr>
        <w:t>Mbd</w:t>
      </w:r>
      <w:proofErr w:type="spellEnd"/>
      <w:r w:rsidRPr="002137BE">
        <w:rPr>
          <w:rFonts w:ascii="Times New Roman" w:hAnsi="Times New Roman"/>
          <w:lang w:val="es-ES"/>
        </w:rPr>
        <w:t>, respaldada por el Plan Estratégico 2025-2035 de Pemex y la creciente producción de</w:t>
      </w:r>
      <w:r>
        <w:rPr>
          <w:rFonts w:ascii="Times New Roman" w:hAnsi="Times New Roman"/>
          <w:lang w:val="es-ES"/>
        </w:rPr>
        <w:t xml:space="preserve"> </w:t>
      </w:r>
      <w:r w:rsidRPr="002137BE">
        <w:rPr>
          <w:rFonts w:ascii="Times New Roman" w:hAnsi="Times New Roman"/>
          <w:lang w:val="es-ES"/>
        </w:rPr>
        <w:t>proyectos mixtos y privados.</w:t>
      </w:r>
    </w:p>
    <w:p w14:paraId="321BF8CB" w14:textId="77777777" w:rsidR="000F5B29" w:rsidRDefault="000F5B29" w:rsidP="000F5B29">
      <w:pPr>
        <w:pStyle w:val="PRIMERAPLANA"/>
        <w:spacing w:line="360" w:lineRule="auto"/>
        <w:rPr>
          <w:rFonts w:ascii="Times New Roman" w:hAnsi="Times New Roman"/>
          <w:lang w:val="es-ES"/>
        </w:rPr>
      </w:pPr>
    </w:p>
    <w:p w14:paraId="762461C7" w14:textId="77777777" w:rsidR="000F5B29" w:rsidRPr="00A27D68" w:rsidRDefault="000F5B29" w:rsidP="000F5B29">
      <w:pPr>
        <w:pStyle w:val="PRIMERAPLANA"/>
        <w:spacing w:line="360" w:lineRule="auto"/>
        <w:rPr>
          <w:rFonts w:ascii="Times New Roman" w:hAnsi="Times New Roman"/>
          <w:lang w:val="es-ES"/>
        </w:rPr>
      </w:pPr>
      <w:r w:rsidRPr="00A27D68">
        <w:rPr>
          <w:rFonts w:ascii="Times New Roman" w:hAnsi="Times New Roman"/>
          <w:lang w:val="es-ES"/>
        </w:rPr>
        <w:t xml:space="preserve">La Iniciativa de Ley </w:t>
      </w:r>
      <w:r>
        <w:rPr>
          <w:rFonts w:ascii="Times New Roman" w:hAnsi="Times New Roman"/>
          <w:lang w:val="es-ES"/>
        </w:rPr>
        <w:t xml:space="preserve">de Ingresos del Estado de Tlaxcala, para el Ejercicio Fiscal 2026, </w:t>
      </w:r>
      <w:r w:rsidRPr="00A27D68">
        <w:rPr>
          <w:rFonts w:ascii="Times New Roman" w:hAnsi="Times New Roman"/>
          <w:lang w:val="es-ES"/>
        </w:rPr>
        <w:t>se presenta en el formato aprobado por el Consejo Nacional de Armonizaci</w:t>
      </w:r>
      <w:r w:rsidRPr="00A27D68">
        <w:rPr>
          <w:rFonts w:ascii="Times New Roman" w:hAnsi="Times New Roman" w:hint="eastAsia"/>
          <w:lang w:val="es-ES"/>
        </w:rPr>
        <w:t>ó</w:t>
      </w:r>
      <w:r w:rsidRPr="00A27D68">
        <w:rPr>
          <w:rFonts w:ascii="Times New Roman" w:hAnsi="Times New Roman"/>
          <w:lang w:val="es-ES"/>
        </w:rPr>
        <w:t>n Contable (CONAC), de conformidad con</w:t>
      </w:r>
      <w:r w:rsidRPr="008D5C06">
        <w:rPr>
          <w:rFonts w:cs="Arial"/>
          <w:bCs/>
          <w:sz w:val="24"/>
          <w:szCs w:val="24"/>
          <w:lang w:val="es-MX"/>
        </w:rPr>
        <w:t xml:space="preserve"> </w:t>
      </w:r>
      <w:r w:rsidRPr="00A27D68">
        <w:rPr>
          <w:rFonts w:ascii="Times New Roman" w:hAnsi="Times New Roman"/>
          <w:lang w:val="es-ES"/>
        </w:rPr>
        <w:t>las Normas emitidas por este organismo, en t</w:t>
      </w:r>
      <w:r w:rsidRPr="00A27D68">
        <w:rPr>
          <w:rFonts w:ascii="Times New Roman" w:hAnsi="Times New Roman" w:hint="eastAsia"/>
          <w:lang w:val="es-ES"/>
        </w:rPr>
        <w:t>é</w:t>
      </w:r>
      <w:r w:rsidRPr="00A27D68">
        <w:rPr>
          <w:rFonts w:ascii="Times New Roman" w:hAnsi="Times New Roman"/>
          <w:lang w:val="es-ES"/>
        </w:rPr>
        <w:t>rminos de lo dispuesto por los art</w:t>
      </w:r>
      <w:r w:rsidRPr="00A27D68">
        <w:rPr>
          <w:rFonts w:ascii="Times New Roman" w:hAnsi="Times New Roman" w:hint="eastAsia"/>
          <w:lang w:val="es-ES"/>
        </w:rPr>
        <w:t>í</w:t>
      </w:r>
      <w:r w:rsidRPr="00A27D68">
        <w:rPr>
          <w:rFonts w:ascii="Times New Roman" w:hAnsi="Times New Roman"/>
          <w:lang w:val="es-ES"/>
        </w:rPr>
        <w:t xml:space="preserve">culos 9, fracciones I y IX; 14 y 61 de la Ley General de Contabilidad Gubernamental, donde se desglosan los rubros e importes que el Estado estima percibir de conformidad con el Clasificador por Rubro de Ingresos. </w:t>
      </w:r>
    </w:p>
    <w:p w14:paraId="6CC80DEB" w14:textId="77777777" w:rsidR="000F5B29" w:rsidRPr="0092056F" w:rsidRDefault="000F5B29" w:rsidP="000F5B29">
      <w:pPr>
        <w:pStyle w:val="PRIMERAPLANA"/>
        <w:spacing w:line="360" w:lineRule="auto"/>
        <w:rPr>
          <w:rFonts w:ascii="Times New Roman" w:hAnsi="Times New Roman"/>
          <w:lang w:val="es-ES"/>
        </w:rPr>
      </w:pPr>
    </w:p>
    <w:p w14:paraId="51CAEFAC" w14:textId="4E6787FD" w:rsidR="000F5B29" w:rsidRPr="00A27D68" w:rsidRDefault="000F5B29" w:rsidP="000F5B29">
      <w:pPr>
        <w:spacing w:line="360" w:lineRule="auto"/>
        <w:jc w:val="both"/>
        <w:rPr>
          <w:sz w:val="20"/>
          <w:szCs w:val="20"/>
        </w:rPr>
      </w:pPr>
      <w:r w:rsidRPr="00A27D68">
        <w:rPr>
          <w:sz w:val="20"/>
          <w:szCs w:val="20"/>
        </w:rPr>
        <w:t>En el siguiente cuadro</w:t>
      </w:r>
      <w:r w:rsidR="008779BD">
        <w:rPr>
          <w:sz w:val="20"/>
          <w:szCs w:val="20"/>
        </w:rPr>
        <w:t>,</w:t>
      </w:r>
      <w:r w:rsidRPr="00A27D68">
        <w:rPr>
          <w:sz w:val="20"/>
          <w:szCs w:val="20"/>
        </w:rPr>
        <w:t xml:space="preserve"> se presentan las perspectivas de finanzas públicas de mediano plazo para el Estado de Tlaxcala, tomando como base las proyecciones económicas previstas por la Secretaría de Hacienda y Crédito Público (SHCP), en el Documento Relativo al Cumplimiento de las Disposiciones contenidas en el artículo 42, fracción I, de la Ley Federal de Presupuesto y Responsabilidad Hacendaria (Pre-Criterios 202</w:t>
      </w:r>
      <w:r>
        <w:rPr>
          <w:sz w:val="20"/>
          <w:szCs w:val="20"/>
        </w:rPr>
        <w:t>6</w:t>
      </w:r>
      <w:r w:rsidRPr="00A27D68">
        <w:rPr>
          <w:sz w:val="20"/>
          <w:szCs w:val="20"/>
        </w:rPr>
        <w:t>) y en los Criterios Generales de Política Económica para la Iniciativa de Ley de Ingresos y el Proyecto de Presupuesto de Egresos de la Federación correspondientes al Ejercicio Fiscal 202</w:t>
      </w:r>
      <w:r>
        <w:rPr>
          <w:sz w:val="20"/>
          <w:szCs w:val="20"/>
        </w:rPr>
        <w:t>6</w:t>
      </w:r>
      <w:r w:rsidRPr="00A27D68">
        <w:rPr>
          <w:sz w:val="20"/>
          <w:szCs w:val="20"/>
        </w:rPr>
        <w:t>.</w:t>
      </w:r>
    </w:p>
    <w:p w14:paraId="71598AB3" w14:textId="77777777" w:rsidR="000F5B29" w:rsidRDefault="000F5B29" w:rsidP="000F5B29">
      <w:pPr>
        <w:pStyle w:val="PRIMERAPLANA"/>
        <w:spacing w:line="360" w:lineRule="auto"/>
        <w:rPr>
          <w:rFonts w:ascii="Times New Roman" w:hAnsi="Times New Roman"/>
          <w:lang w:val="es-ES"/>
        </w:rPr>
      </w:pPr>
    </w:p>
    <w:p w14:paraId="132AE07A" w14:textId="77777777" w:rsidR="000F5B29" w:rsidRDefault="000F5B29" w:rsidP="000F5B29">
      <w:pPr>
        <w:pStyle w:val="PRIMERAPLANA"/>
        <w:spacing w:line="360" w:lineRule="auto"/>
        <w:rPr>
          <w:rFonts w:ascii="Times New Roman" w:hAnsi="Times New Roman"/>
          <w:lang w:val="es-ES"/>
        </w:rPr>
      </w:pPr>
    </w:p>
    <w:p w14:paraId="6EF26E13" w14:textId="77777777" w:rsidR="000F5B29" w:rsidRDefault="000F5B29" w:rsidP="000F5B29">
      <w:pPr>
        <w:pStyle w:val="PRIMERAPLANA"/>
        <w:spacing w:line="360" w:lineRule="auto"/>
        <w:rPr>
          <w:rFonts w:ascii="Times New Roman" w:hAnsi="Times New Roman"/>
          <w:lang w:val="es-ES"/>
        </w:rPr>
      </w:pPr>
    </w:p>
    <w:p w14:paraId="6575D339" w14:textId="77777777" w:rsidR="000F5B29" w:rsidRDefault="000F5B29" w:rsidP="000F5B29">
      <w:pPr>
        <w:pStyle w:val="PRIMERAPLANA"/>
        <w:spacing w:line="360" w:lineRule="auto"/>
        <w:rPr>
          <w:rFonts w:ascii="Times New Roman" w:hAnsi="Times New Roman"/>
          <w:lang w:val="es-ES"/>
        </w:rPr>
      </w:pPr>
    </w:p>
    <w:p w14:paraId="74352984" w14:textId="77777777" w:rsidR="000F5B29" w:rsidRDefault="000F5B29" w:rsidP="000F5B29">
      <w:pPr>
        <w:pStyle w:val="PRIMERAPLANA"/>
        <w:spacing w:line="360" w:lineRule="auto"/>
        <w:rPr>
          <w:rFonts w:ascii="Times New Roman" w:hAnsi="Times New Roman"/>
          <w:lang w:val="es-ES"/>
        </w:rPr>
      </w:pPr>
      <w:r w:rsidRPr="002921D0">
        <w:rPr>
          <w:noProof/>
        </w:rPr>
        <w:lastRenderedPageBreak/>
        <w:drawing>
          <wp:inline distT="0" distB="0" distL="0" distR="0" wp14:anchorId="5D51EA78" wp14:editId="12AD6304">
            <wp:extent cx="5175014" cy="4556097"/>
            <wp:effectExtent l="0" t="0" r="6985" b="0"/>
            <wp:docPr id="10392035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4629" cy="4564562"/>
                    </a:xfrm>
                    <a:prstGeom prst="rect">
                      <a:avLst/>
                    </a:prstGeom>
                    <a:noFill/>
                    <a:ln>
                      <a:noFill/>
                    </a:ln>
                  </pic:spPr>
                </pic:pic>
              </a:graphicData>
            </a:graphic>
          </wp:inline>
        </w:drawing>
      </w:r>
    </w:p>
    <w:p w14:paraId="368697CD" w14:textId="77777777" w:rsidR="000F5B29" w:rsidRPr="0092056F" w:rsidRDefault="000F5B29" w:rsidP="000F5B29">
      <w:pPr>
        <w:pStyle w:val="PRIMERAPLANA"/>
        <w:spacing w:line="360" w:lineRule="auto"/>
        <w:rPr>
          <w:rFonts w:ascii="Times New Roman" w:hAnsi="Times New Roman"/>
          <w:lang w:val="es-ES"/>
        </w:rPr>
      </w:pPr>
    </w:p>
    <w:p w14:paraId="647A6E35" w14:textId="77777777" w:rsidR="000F5B29" w:rsidRPr="00A27D68" w:rsidRDefault="000F5B29" w:rsidP="000F5B29">
      <w:pPr>
        <w:spacing w:line="360" w:lineRule="auto"/>
        <w:jc w:val="both"/>
        <w:rPr>
          <w:sz w:val="20"/>
          <w:szCs w:val="20"/>
        </w:rPr>
      </w:pPr>
      <w:r w:rsidRPr="00A27D68">
        <w:rPr>
          <w:sz w:val="20"/>
          <w:szCs w:val="20"/>
        </w:rPr>
        <w:t>Es por lo anterior que, los objetivos del Gobierno del Estado en materia de planeaci</w:t>
      </w:r>
      <w:r w:rsidRPr="00A27D68">
        <w:rPr>
          <w:rFonts w:hint="eastAsia"/>
          <w:sz w:val="20"/>
          <w:szCs w:val="20"/>
        </w:rPr>
        <w:t>ó</w:t>
      </w:r>
      <w:r w:rsidRPr="00A27D68">
        <w:rPr>
          <w:sz w:val="20"/>
          <w:szCs w:val="20"/>
        </w:rPr>
        <w:t>n, programaci</w:t>
      </w:r>
      <w:r w:rsidRPr="00A27D68">
        <w:rPr>
          <w:rFonts w:hint="eastAsia"/>
          <w:sz w:val="20"/>
          <w:szCs w:val="20"/>
        </w:rPr>
        <w:t>ó</w:t>
      </w:r>
      <w:r w:rsidRPr="00A27D68">
        <w:rPr>
          <w:sz w:val="20"/>
          <w:szCs w:val="20"/>
        </w:rPr>
        <w:t>n y presupuestaci</w:t>
      </w:r>
      <w:r w:rsidRPr="00A27D68">
        <w:rPr>
          <w:rFonts w:hint="eastAsia"/>
          <w:sz w:val="20"/>
          <w:szCs w:val="20"/>
        </w:rPr>
        <w:t>ó</w:t>
      </w:r>
      <w:r w:rsidRPr="00A27D68">
        <w:rPr>
          <w:sz w:val="20"/>
          <w:szCs w:val="20"/>
        </w:rPr>
        <w:t>n, consideran metas en ingresos prudentes y realistas teniendo el reto de aumentar la recaudación fiscal, para generar los recursos necesarios que financien el gasto público y lograr un balance presupuestario sostenible.</w:t>
      </w:r>
    </w:p>
    <w:p w14:paraId="47E2E62F" w14:textId="77777777" w:rsidR="000F5B29" w:rsidRPr="0092056F" w:rsidRDefault="000F5B29" w:rsidP="000F5B29">
      <w:pPr>
        <w:pStyle w:val="PRIMERAPLANA"/>
        <w:spacing w:line="360" w:lineRule="auto"/>
        <w:rPr>
          <w:rFonts w:ascii="Times New Roman" w:hAnsi="Times New Roman"/>
          <w:lang w:val="es-ES"/>
        </w:rPr>
      </w:pPr>
    </w:p>
    <w:p w14:paraId="66A5675F" w14:textId="77777777" w:rsidR="000F5B29" w:rsidRDefault="000F5B29" w:rsidP="000F5B29">
      <w:pPr>
        <w:spacing w:line="360" w:lineRule="auto"/>
        <w:jc w:val="both"/>
        <w:rPr>
          <w:sz w:val="20"/>
          <w:szCs w:val="20"/>
        </w:rPr>
      </w:pPr>
      <w:r w:rsidRPr="00536C11">
        <w:rPr>
          <w:sz w:val="20"/>
          <w:szCs w:val="20"/>
        </w:rPr>
        <w:t xml:space="preserve">La evolución de las finanzas públicas del Estado obedece a la dinámica recaudatoria de los ingresos estatales totales y de las transferencias federales, las que a su vez son determinadas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w:t>
      </w:r>
      <w:r w:rsidRPr="00536C11">
        <w:rPr>
          <w:sz w:val="20"/>
          <w:szCs w:val="20"/>
        </w:rPr>
        <w:lastRenderedPageBreak/>
        <w:t>tributación, por lo que las finanzas estatales son altamente sensibles al comportamiento de la economía nacional y de los choques externos, tal y como se observa en la gráfica siguiente:</w:t>
      </w:r>
    </w:p>
    <w:p w14:paraId="727BA098" w14:textId="77777777" w:rsidR="000F5B29" w:rsidRPr="00536C11" w:rsidRDefault="000F5B29" w:rsidP="000F5B29">
      <w:pPr>
        <w:spacing w:line="360" w:lineRule="auto"/>
        <w:jc w:val="both"/>
        <w:rPr>
          <w:sz w:val="20"/>
          <w:szCs w:val="20"/>
        </w:rPr>
      </w:pPr>
    </w:p>
    <w:p w14:paraId="0BCCD571" w14:textId="77777777" w:rsidR="000F5B29" w:rsidRPr="008D5C06" w:rsidRDefault="000F5B29" w:rsidP="000F5B29">
      <w:pPr>
        <w:spacing w:line="360" w:lineRule="auto"/>
        <w:jc w:val="both"/>
        <w:rPr>
          <w:rFonts w:ascii="Arial" w:hAnsi="Arial" w:cs="Arial"/>
        </w:rPr>
      </w:pPr>
      <w:r>
        <w:rPr>
          <w:rFonts w:ascii="Arial" w:hAnsi="Arial" w:cs="Arial"/>
          <w:noProof/>
        </w:rPr>
        <w:drawing>
          <wp:inline distT="0" distB="0" distL="0" distR="0" wp14:anchorId="61AD84B4" wp14:editId="58C8E846">
            <wp:extent cx="5090795" cy="2574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2042" cy="2575581"/>
                    </a:xfrm>
                    <a:prstGeom prst="rect">
                      <a:avLst/>
                    </a:prstGeom>
                    <a:noFill/>
                  </pic:spPr>
                </pic:pic>
              </a:graphicData>
            </a:graphic>
          </wp:inline>
        </w:drawing>
      </w:r>
    </w:p>
    <w:p w14:paraId="4C250B05" w14:textId="3D2FC589" w:rsidR="000F5B29" w:rsidRPr="005E4A3B" w:rsidRDefault="000F5B29" w:rsidP="000F5B29">
      <w:pPr>
        <w:spacing w:line="360" w:lineRule="auto"/>
        <w:jc w:val="both"/>
        <w:rPr>
          <w:b/>
          <w:sz w:val="12"/>
          <w:szCs w:val="12"/>
        </w:rPr>
      </w:pPr>
      <w:r w:rsidRPr="005E4A3B">
        <w:rPr>
          <w:b/>
          <w:sz w:val="12"/>
          <w:szCs w:val="12"/>
        </w:rPr>
        <w:t>Fuente: www.DOF.gob.mx Ley de Ingresos de la Federación Ejercicios Fiscales 2021-2026*, Criterios Generales de Política Económica 202</w:t>
      </w:r>
      <w:r w:rsidR="008779BD">
        <w:rPr>
          <w:b/>
          <w:sz w:val="12"/>
          <w:szCs w:val="12"/>
        </w:rPr>
        <w:t>6</w:t>
      </w:r>
      <w:r w:rsidRPr="005E4A3B">
        <w:rPr>
          <w:b/>
          <w:sz w:val="12"/>
          <w:szCs w:val="12"/>
        </w:rPr>
        <w:t>.</w:t>
      </w:r>
    </w:p>
    <w:p w14:paraId="442496C8" w14:textId="77777777" w:rsidR="000F5B29" w:rsidRPr="0092056F" w:rsidRDefault="000F5B29" w:rsidP="000F5B29">
      <w:pPr>
        <w:pStyle w:val="PRIMERAPLANA"/>
        <w:spacing w:line="360" w:lineRule="auto"/>
        <w:rPr>
          <w:rFonts w:ascii="Times New Roman" w:hAnsi="Times New Roman"/>
          <w:lang w:val="es-ES"/>
        </w:rPr>
      </w:pPr>
    </w:p>
    <w:p w14:paraId="4AB959F0" w14:textId="77777777" w:rsidR="000F5B29" w:rsidRDefault="000F5B29" w:rsidP="000F5B29">
      <w:pPr>
        <w:spacing w:line="360" w:lineRule="auto"/>
        <w:jc w:val="both"/>
        <w:rPr>
          <w:sz w:val="20"/>
          <w:szCs w:val="20"/>
        </w:rPr>
      </w:pPr>
      <w:r w:rsidRPr="00A27D68">
        <w:rPr>
          <w:sz w:val="20"/>
          <w:szCs w:val="20"/>
        </w:rPr>
        <w:t>El Ejecutivo del Estado ha implementado una política fiscal para la contención del gasto, limitando el crecimiento del presupuesto, el establecimiento de topes a ciertos rubros del gasto, el congelamiento de plazas vacantes no prioritarias y la aplicación del Acuerdo que establece los Lineamientos y Políticas Generales del Ejercicio del Presupuesto, las Medidas de Mejora y Modernización, así como de Austeridad del Gasto Público de la Gestión Administrativa por parte de las Dependencias y Entidades del Ejecutivo, a fin de optimizar el uso de recursos materiales y financieros en el sector público.</w:t>
      </w:r>
    </w:p>
    <w:p w14:paraId="43BC1983" w14:textId="77777777" w:rsidR="000F5B29" w:rsidRPr="00A27D68" w:rsidRDefault="000F5B29" w:rsidP="000F5B29">
      <w:pPr>
        <w:spacing w:line="360" w:lineRule="auto"/>
        <w:jc w:val="both"/>
        <w:rPr>
          <w:sz w:val="20"/>
          <w:szCs w:val="20"/>
        </w:rPr>
      </w:pPr>
    </w:p>
    <w:p w14:paraId="222BA1D0" w14:textId="77777777" w:rsidR="000F5B29" w:rsidRPr="00A27D68" w:rsidRDefault="000F5B29" w:rsidP="000F5B29">
      <w:pPr>
        <w:spacing w:line="360" w:lineRule="auto"/>
        <w:jc w:val="both"/>
        <w:rPr>
          <w:sz w:val="20"/>
          <w:szCs w:val="20"/>
        </w:rPr>
      </w:pPr>
      <w:r w:rsidRPr="00A27D68">
        <w:rPr>
          <w:sz w:val="20"/>
          <w:szCs w:val="20"/>
        </w:rPr>
        <w:t>A continuación, se presentan los resultados obtenidos en la recaudación de contribuciones locales, así como de recursos federales etiquetados y de libre disposición en los últimos cinco años y el pronóstico de cierre 202</w:t>
      </w:r>
      <w:r>
        <w:rPr>
          <w:sz w:val="20"/>
          <w:szCs w:val="20"/>
        </w:rPr>
        <w:t>5</w:t>
      </w:r>
      <w:r w:rsidRPr="00A27D68">
        <w:rPr>
          <w:sz w:val="20"/>
          <w:szCs w:val="20"/>
        </w:rPr>
        <w:t>.</w:t>
      </w:r>
    </w:p>
    <w:p w14:paraId="7EEB7FA0" w14:textId="77777777" w:rsidR="000F5B29" w:rsidRPr="0092056F" w:rsidRDefault="000F5B29" w:rsidP="000F5B29">
      <w:pPr>
        <w:pStyle w:val="PRIMERAPLANA"/>
        <w:spacing w:line="360" w:lineRule="auto"/>
        <w:rPr>
          <w:rFonts w:ascii="Times New Roman" w:hAnsi="Times New Roman"/>
          <w:lang w:val="es-ES"/>
        </w:rPr>
      </w:pPr>
    </w:p>
    <w:p w14:paraId="2B8C1FE0" w14:textId="77777777" w:rsidR="000F5B29" w:rsidRDefault="000F5B29" w:rsidP="000F5B29">
      <w:pPr>
        <w:pStyle w:val="PRIMERAPLANA"/>
        <w:spacing w:line="360" w:lineRule="auto"/>
        <w:rPr>
          <w:rFonts w:ascii="Times New Roman" w:hAnsi="Times New Roman"/>
          <w:lang w:val="es-ES"/>
        </w:rPr>
      </w:pPr>
      <w:r w:rsidRPr="002921D0">
        <w:rPr>
          <w:noProof/>
        </w:rPr>
        <w:lastRenderedPageBreak/>
        <w:drawing>
          <wp:inline distT="0" distB="0" distL="0" distR="0" wp14:anchorId="2E839B13" wp14:editId="7F351483">
            <wp:extent cx="5113485" cy="4420925"/>
            <wp:effectExtent l="0" t="0" r="0" b="0"/>
            <wp:docPr id="16236194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9338" cy="4434631"/>
                    </a:xfrm>
                    <a:prstGeom prst="rect">
                      <a:avLst/>
                    </a:prstGeom>
                    <a:noFill/>
                    <a:ln>
                      <a:noFill/>
                    </a:ln>
                  </pic:spPr>
                </pic:pic>
              </a:graphicData>
            </a:graphic>
          </wp:inline>
        </w:drawing>
      </w:r>
    </w:p>
    <w:p w14:paraId="39AFACDE" w14:textId="77777777" w:rsidR="000F5B29" w:rsidRPr="0092056F" w:rsidRDefault="000F5B29" w:rsidP="000F5B29">
      <w:pPr>
        <w:pStyle w:val="PRIMERAPLANA"/>
        <w:spacing w:line="360" w:lineRule="auto"/>
        <w:rPr>
          <w:rFonts w:ascii="Times New Roman" w:hAnsi="Times New Roman"/>
          <w:lang w:val="es-ES"/>
        </w:rPr>
      </w:pPr>
    </w:p>
    <w:p w14:paraId="238787FB" w14:textId="77777777" w:rsidR="000F5B29" w:rsidRPr="00A27D68" w:rsidRDefault="000F5B29" w:rsidP="000F5B29">
      <w:pPr>
        <w:spacing w:line="360" w:lineRule="auto"/>
        <w:jc w:val="both"/>
        <w:rPr>
          <w:sz w:val="20"/>
          <w:szCs w:val="20"/>
        </w:rPr>
      </w:pPr>
      <w:r w:rsidRPr="00A27D68">
        <w:rPr>
          <w:sz w:val="20"/>
          <w:szCs w:val="20"/>
        </w:rPr>
        <w:t>De acuerdo al último estudio actuarial de las pensiones del Estado de Tlaxcala</w:t>
      </w:r>
      <w:r w:rsidRPr="005E4A3B">
        <w:rPr>
          <w:sz w:val="20"/>
          <w:szCs w:val="20"/>
          <w:vertAlign w:val="superscript"/>
        </w:rPr>
        <w:footnoteReference w:id="1"/>
      </w:r>
      <w:r w:rsidRPr="00A27D68">
        <w:rPr>
          <w:sz w:val="20"/>
          <w:szCs w:val="20"/>
        </w:rPr>
        <w:t>, correspondiente al ejercicio fiscal 2024 y con una vigencia al ejercicio 2028 se tiene una reserva actuarial de 422.23 MDP, con una población afiliada activa de 9,149 trabajadores y 2,352 pensionados, como a continuación se presenta:</w:t>
      </w:r>
    </w:p>
    <w:p w14:paraId="21787F07" w14:textId="77777777" w:rsidR="000F5B29" w:rsidRDefault="000F5B29" w:rsidP="000F5B29">
      <w:pPr>
        <w:spacing w:line="360" w:lineRule="auto"/>
        <w:jc w:val="center"/>
        <w:rPr>
          <w:rFonts w:ascii="Arial" w:hAnsi="Arial" w:cs="Arial"/>
          <w:b/>
        </w:rPr>
      </w:pPr>
    </w:p>
    <w:p w14:paraId="26ADF707" w14:textId="77777777" w:rsidR="000F5B29" w:rsidRDefault="000F5B29" w:rsidP="000F5B29">
      <w:pPr>
        <w:spacing w:line="360" w:lineRule="auto"/>
        <w:jc w:val="center"/>
        <w:rPr>
          <w:rFonts w:ascii="Arial" w:hAnsi="Arial" w:cs="Arial"/>
          <w:b/>
        </w:rPr>
      </w:pPr>
    </w:p>
    <w:p w14:paraId="7AEA85F4" w14:textId="77777777" w:rsidR="000F5B29" w:rsidRDefault="000F5B29" w:rsidP="000F5B29">
      <w:pPr>
        <w:spacing w:line="360" w:lineRule="auto"/>
        <w:jc w:val="center"/>
        <w:rPr>
          <w:rFonts w:ascii="Arial" w:hAnsi="Arial" w:cs="Arial"/>
          <w:b/>
        </w:rPr>
      </w:pPr>
    </w:p>
    <w:p w14:paraId="1221ED9C" w14:textId="77777777" w:rsidR="000F5B29" w:rsidRDefault="000F5B29" w:rsidP="000F5B29">
      <w:pPr>
        <w:spacing w:line="360" w:lineRule="auto"/>
        <w:jc w:val="center"/>
        <w:rPr>
          <w:rFonts w:ascii="Arial" w:hAnsi="Arial" w:cs="Arial"/>
          <w:b/>
        </w:rPr>
      </w:pPr>
    </w:p>
    <w:p w14:paraId="3AA538D6" w14:textId="77777777" w:rsidR="000F5B29" w:rsidRDefault="000F5B29" w:rsidP="000F5B29">
      <w:pPr>
        <w:spacing w:line="360" w:lineRule="auto"/>
        <w:jc w:val="center"/>
        <w:rPr>
          <w:rFonts w:ascii="Arial" w:hAnsi="Arial" w:cs="Arial"/>
          <w:b/>
        </w:rPr>
      </w:pPr>
    </w:p>
    <w:p w14:paraId="481E923B" w14:textId="77777777" w:rsidR="000F5B29" w:rsidRPr="008D5C06" w:rsidRDefault="000F5B29" w:rsidP="00F34DCB">
      <w:pPr>
        <w:tabs>
          <w:tab w:val="left" w:pos="4253"/>
        </w:tabs>
        <w:spacing w:line="360" w:lineRule="auto"/>
        <w:jc w:val="center"/>
        <w:rPr>
          <w:rFonts w:ascii="Arial" w:hAnsi="Arial" w:cs="Arial"/>
          <w:b/>
        </w:rPr>
      </w:pPr>
      <w:r w:rsidRPr="008D5C06">
        <w:rPr>
          <w:rFonts w:ascii="Arial" w:hAnsi="Arial" w:cs="Arial"/>
          <w:b/>
        </w:rPr>
        <w:lastRenderedPageBreak/>
        <w:t>Estudio Actuarial de Pensiones</w:t>
      </w:r>
    </w:p>
    <w:p w14:paraId="57DCB859" w14:textId="77777777" w:rsidR="000F5B29" w:rsidRPr="008D5C06" w:rsidRDefault="000F5B29" w:rsidP="000F5B29">
      <w:pPr>
        <w:spacing w:line="360" w:lineRule="auto"/>
        <w:jc w:val="center"/>
        <w:rPr>
          <w:rFonts w:ascii="Arial" w:hAnsi="Arial" w:cs="Arial"/>
          <w:b/>
        </w:rPr>
      </w:pPr>
      <w:r>
        <w:rPr>
          <w:noProof/>
        </w:rPr>
        <w:drawing>
          <wp:inline distT="0" distB="0" distL="0" distR="0" wp14:anchorId="15D6612D" wp14:editId="5C5AB497">
            <wp:extent cx="5065713" cy="3564127"/>
            <wp:effectExtent l="0" t="0" r="1905"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04185" name=""/>
                    <pic:cNvPicPr/>
                  </pic:nvPicPr>
                  <pic:blipFill rotWithShape="1">
                    <a:blip r:embed="rId32"/>
                    <a:srcRect l="26393" t="32857" r="32684" b="15952"/>
                    <a:stretch/>
                  </pic:blipFill>
                  <pic:spPr bwMode="auto">
                    <a:xfrm>
                      <a:off x="0" y="0"/>
                      <a:ext cx="5137080" cy="3614339"/>
                    </a:xfrm>
                    <a:prstGeom prst="rect">
                      <a:avLst/>
                    </a:prstGeom>
                    <a:ln>
                      <a:noFill/>
                    </a:ln>
                    <a:extLst>
                      <a:ext uri="{53640926-AAD7-44D8-BBD7-CCE9431645EC}">
                        <a14:shadowObscured xmlns:a14="http://schemas.microsoft.com/office/drawing/2010/main"/>
                      </a:ext>
                    </a:extLst>
                  </pic:spPr>
                </pic:pic>
              </a:graphicData>
            </a:graphic>
          </wp:inline>
        </w:drawing>
      </w:r>
    </w:p>
    <w:p w14:paraId="49992325" w14:textId="77777777" w:rsidR="000F5B29" w:rsidRDefault="000F5B29" w:rsidP="000F5B29">
      <w:pPr>
        <w:spacing w:line="360" w:lineRule="auto"/>
        <w:jc w:val="both"/>
        <w:rPr>
          <w:rFonts w:ascii="Arial" w:hAnsi="Arial" w:cs="Arial"/>
        </w:rPr>
      </w:pPr>
    </w:p>
    <w:p w14:paraId="12E6231A" w14:textId="77777777" w:rsidR="000F5B29" w:rsidRPr="008D5C06" w:rsidRDefault="000F5B29" w:rsidP="000F5B29">
      <w:pPr>
        <w:spacing w:line="360" w:lineRule="auto"/>
        <w:jc w:val="both"/>
        <w:rPr>
          <w:rFonts w:ascii="Arial" w:hAnsi="Arial" w:cs="Arial"/>
        </w:rPr>
      </w:pPr>
      <w:r>
        <w:rPr>
          <w:noProof/>
        </w:rPr>
        <w:drawing>
          <wp:inline distT="0" distB="0" distL="0" distR="0" wp14:anchorId="1ECEFC5E" wp14:editId="05B47120">
            <wp:extent cx="5168637" cy="2782332"/>
            <wp:effectExtent l="0" t="0" r="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64259" name=""/>
                    <pic:cNvPicPr/>
                  </pic:nvPicPr>
                  <pic:blipFill rotWithShape="1">
                    <a:blip r:embed="rId33"/>
                    <a:srcRect l="27583" t="31385" r="25616" b="23824"/>
                    <a:stretch/>
                  </pic:blipFill>
                  <pic:spPr bwMode="auto">
                    <a:xfrm>
                      <a:off x="0" y="0"/>
                      <a:ext cx="5186250" cy="2791813"/>
                    </a:xfrm>
                    <a:prstGeom prst="rect">
                      <a:avLst/>
                    </a:prstGeom>
                    <a:ln>
                      <a:noFill/>
                    </a:ln>
                    <a:extLst>
                      <a:ext uri="{53640926-AAD7-44D8-BBD7-CCE9431645EC}">
                        <a14:shadowObscured xmlns:a14="http://schemas.microsoft.com/office/drawing/2010/main"/>
                      </a:ext>
                    </a:extLst>
                  </pic:spPr>
                </pic:pic>
              </a:graphicData>
            </a:graphic>
          </wp:inline>
        </w:drawing>
      </w:r>
    </w:p>
    <w:p w14:paraId="21DD5C10" w14:textId="77777777" w:rsidR="000F5B29" w:rsidRPr="008D5C06" w:rsidRDefault="000F5B29" w:rsidP="000F5B29">
      <w:pPr>
        <w:spacing w:line="360" w:lineRule="auto"/>
        <w:jc w:val="both"/>
        <w:rPr>
          <w:rFonts w:ascii="Arial" w:hAnsi="Arial" w:cs="Arial"/>
        </w:rPr>
      </w:pPr>
      <w:r>
        <w:rPr>
          <w:noProof/>
        </w:rPr>
        <w:lastRenderedPageBreak/>
        <w:drawing>
          <wp:inline distT="0" distB="0" distL="0" distR="0" wp14:anchorId="76649D55" wp14:editId="0CF4B560">
            <wp:extent cx="5163478" cy="2156604"/>
            <wp:effectExtent l="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85723" name=""/>
                    <pic:cNvPicPr/>
                  </pic:nvPicPr>
                  <pic:blipFill rotWithShape="1">
                    <a:blip r:embed="rId34"/>
                    <a:srcRect l="14326" t="31386" r="19367" b="26865"/>
                    <a:stretch/>
                  </pic:blipFill>
                  <pic:spPr bwMode="auto">
                    <a:xfrm>
                      <a:off x="0" y="0"/>
                      <a:ext cx="5193978" cy="2169343"/>
                    </a:xfrm>
                    <a:prstGeom prst="rect">
                      <a:avLst/>
                    </a:prstGeom>
                    <a:ln>
                      <a:noFill/>
                    </a:ln>
                    <a:extLst>
                      <a:ext uri="{53640926-AAD7-44D8-BBD7-CCE9431645EC}">
                        <a14:shadowObscured xmlns:a14="http://schemas.microsoft.com/office/drawing/2010/main"/>
                      </a:ext>
                    </a:extLst>
                  </pic:spPr>
                </pic:pic>
              </a:graphicData>
            </a:graphic>
          </wp:inline>
        </w:drawing>
      </w:r>
    </w:p>
    <w:p w14:paraId="44218D75" w14:textId="77777777" w:rsidR="000F5B29" w:rsidRPr="008D5C06" w:rsidRDefault="000F5B29" w:rsidP="000F5B29">
      <w:pPr>
        <w:spacing w:line="360" w:lineRule="auto"/>
        <w:jc w:val="both"/>
        <w:rPr>
          <w:rFonts w:ascii="Arial" w:hAnsi="Arial" w:cs="Arial"/>
        </w:rPr>
      </w:pPr>
      <w:r>
        <w:rPr>
          <w:noProof/>
        </w:rPr>
        <w:drawing>
          <wp:inline distT="0" distB="0" distL="0" distR="0" wp14:anchorId="22DEE224" wp14:editId="5B9656BE">
            <wp:extent cx="5185786" cy="1751163"/>
            <wp:effectExtent l="0" t="0" r="0" b="1905"/>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90796" name=""/>
                    <pic:cNvPicPr/>
                  </pic:nvPicPr>
                  <pic:blipFill rotWithShape="1">
                    <a:blip r:embed="rId35"/>
                    <a:srcRect l="14330" t="45895" r="36345" b="24491"/>
                    <a:stretch/>
                  </pic:blipFill>
                  <pic:spPr bwMode="auto">
                    <a:xfrm>
                      <a:off x="0" y="0"/>
                      <a:ext cx="5224803" cy="1764339"/>
                    </a:xfrm>
                    <a:prstGeom prst="rect">
                      <a:avLst/>
                    </a:prstGeom>
                    <a:ln>
                      <a:noFill/>
                    </a:ln>
                    <a:extLst>
                      <a:ext uri="{53640926-AAD7-44D8-BBD7-CCE9431645EC}">
                        <a14:shadowObscured xmlns:a14="http://schemas.microsoft.com/office/drawing/2010/main"/>
                      </a:ext>
                    </a:extLst>
                  </pic:spPr>
                </pic:pic>
              </a:graphicData>
            </a:graphic>
          </wp:inline>
        </w:drawing>
      </w:r>
    </w:p>
    <w:p w14:paraId="563C8B75" w14:textId="77777777" w:rsidR="000F5B29" w:rsidRPr="0092056F" w:rsidRDefault="000F5B29" w:rsidP="000F5B29">
      <w:pPr>
        <w:pStyle w:val="PRIMERAPLANA"/>
        <w:spacing w:line="360" w:lineRule="auto"/>
        <w:rPr>
          <w:rFonts w:ascii="Times New Roman" w:hAnsi="Times New Roman"/>
          <w:lang w:val="es-ES"/>
        </w:rPr>
      </w:pPr>
    </w:p>
    <w:p w14:paraId="6BBEEC0E" w14:textId="393F7472" w:rsidR="000F5B29" w:rsidRPr="00A27D68" w:rsidRDefault="000F5B29" w:rsidP="000F5B29">
      <w:pPr>
        <w:spacing w:line="360" w:lineRule="auto"/>
        <w:jc w:val="both"/>
        <w:rPr>
          <w:sz w:val="20"/>
          <w:szCs w:val="20"/>
        </w:rPr>
      </w:pPr>
      <w:r w:rsidRPr="00A27D68">
        <w:rPr>
          <w:sz w:val="20"/>
          <w:szCs w:val="20"/>
        </w:rPr>
        <w:t>Con la finalidad de coadyuvar en el saneamiento de las Pensiones Civiles del Estado de Tlaxcala, el Ejecutivo del Estado ha otorgado del ejercicio 2017 a la fecha</w:t>
      </w:r>
      <w:r w:rsidR="005E4A3B">
        <w:rPr>
          <w:sz w:val="20"/>
          <w:szCs w:val="20"/>
        </w:rPr>
        <w:t>,</w:t>
      </w:r>
      <w:r w:rsidRPr="00A27D68">
        <w:rPr>
          <w:sz w:val="20"/>
          <w:szCs w:val="20"/>
        </w:rPr>
        <w:t xml:space="preserve"> aportaciones extraordinarias a Pensiones Civiles del Estado por un importe estimado de </w:t>
      </w:r>
      <w:r>
        <w:rPr>
          <w:sz w:val="20"/>
          <w:szCs w:val="20"/>
        </w:rPr>
        <w:t>500.6</w:t>
      </w:r>
      <w:r w:rsidRPr="00A27D68">
        <w:rPr>
          <w:sz w:val="20"/>
          <w:szCs w:val="20"/>
        </w:rPr>
        <w:t xml:space="preserve"> </w:t>
      </w:r>
      <w:proofErr w:type="spellStart"/>
      <w:r w:rsidR="005E4A3B">
        <w:rPr>
          <w:sz w:val="20"/>
          <w:szCs w:val="20"/>
        </w:rPr>
        <w:t>Mdp</w:t>
      </w:r>
      <w:proofErr w:type="spellEnd"/>
      <w:r w:rsidRPr="00A27D68">
        <w:rPr>
          <w:sz w:val="20"/>
          <w:szCs w:val="20"/>
        </w:rPr>
        <w:t xml:space="preserve"> al cierre de 202</w:t>
      </w:r>
      <w:r>
        <w:rPr>
          <w:sz w:val="20"/>
          <w:szCs w:val="20"/>
        </w:rPr>
        <w:t>5.</w:t>
      </w:r>
    </w:p>
    <w:p w14:paraId="1672CC26" w14:textId="77777777" w:rsidR="000F5B29" w:rsidRPr="0092056F" w:rsidRDefault="000F5B29" w:rsidP="000F5B29">
      <w:pPr>
        <w:pStyle w:val="PRIMERAPLANA"/>
        <w:spacing w:line="360" w:lineRule="auto"/>
        <w:rPr>
          <w:rFonts w:ascii="Times New Roman" w:hAnsi="Times New Roman"/>
          <w:lang w:val="es-ES"/>
        </w:rPr>
      </w:pPr>
    </w:p>
    <w:tbl>
      <w:tblPr>
        <w:tblW w:w="3640" w:type="dxa"/>
        <w:jc w:val="center"/>
        <w:tblCellMar>
          <w:left w:w="70" w:type="dxa"/>
          <w:right w:w="70" w:type="dxa"/>
        </w:tblCellMar>
        <w:tblLook w:val="04A0" w:firstRow="1" w:lastRow="0" w:firstColumn="1" w:lastColumn="0" w:noHBand="0" w:noVBand="1"/>
      </w:tblPr>
      <w:tblGrid>
        <w:gridCol w:w="1560"/>
        <w:gridCol w:w="2080"/>
      </w:tblGrid>
      <w:tr w:rsidR="000F5B29" w:rsidRPr="0092056F" w14:paraId="1CF36733" w14:textId="77777777" w:rsidTr="00AC3862">
        <w:trPr>
          <w:trHeight w:val="701"/>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4D0E9968"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AÑO</w:t>
            </w:r>
          </w:p>
        </w:tc>
        <w:tc>
          <w:tcPr>
            <w:tcW w:w="208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44200F2F" w14:textId="49960225"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APOYO ESTATAL EXTRAORDINARIO (</w:t>
            </w:r>
            <w:proofErr w:type="spellStart"/>
            <w:r w:rsidRPr="0092056F">
              <w:rPr>
                <w:b/>
                <w:bCs/>
                <w:color w:val="000000"/>
                <w:sz w:val="20"/>
                <w:szCs w:val="20"/>
                <w:lang w:eastAsia="es-MX"/>
              </w:rPr>
              <w:t>M</w:t>
            </w:r>
            <w:r w:rsidR="005E4A3B">
              <w:rPr>
                <w:b/>
                <w:bCs/>
                <w:color w:val="000000"/>
                <w:sz w:val="20"/>
                <w:szCs w:val="20"/>
                <w:lang w:eastAsia="es-MX"/>
              </w:rPr>
              <w:t>dp</w:t>
            </w:r>
            <w:proofErr w:type="spellEnd"/>
            <w:r w:rsidRPr="0092056F">
              <w:rPr>
                <w:b/>
                <w:bCs/>
                <w:color w:val="000000"/>
                <w:sz w:val="20"/>
                <w:szCs w:val="20"/>
                <w:lang w:eastAsia="es-MX"/>
              </w:rPr>
              <w:t>)</w:t>
            </w:r>
          </w:p>
        </w:tc>
      </w:tr>
      <w:tr w:rsidR="000F5B29" w:rsidRPr="0092056F" w14:paraId="124AAC8A" w14:textId="77777777" w:rsidTr="00AC3862">
        <w:trPr>
          <w:trHeight w:val="209"/>
          <w:jc w:val="center"/>
        </w:trPr>
        <w:tc>
          <w:tcPr>
            <w:tcW w:w="1560" w:type="dxa"/>
            <w:tcBorders>
              <w:top w:val="nil"/>
              <w:left w:val="single" w:sz="4" w:space="0" w:color="auto"/>
              <w:bottom w:val="single" w:sz="4" w:space="0" w:color="auto"/>
              <w:right w:val="single" w:sz="4" w:space="0" w:color="auto"/>
            </w:tcBorders>
            <w:noWrap/>
            <w:vAlign w:val="center"/>
          </w:tcPr>
          <w:p w14:paraId="40CAE34C"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2017</w:t>
            </w:r>
          </w:p>
        </w:tc>
        <w:tc>
          <w:tcPr>
            <w:tcW w:w="2080" w:type="dxa"/>
            <w:tcBorders>
              <w:top w:val="nil"/>
              <w:left w:val="nil"/>
              <w:bottom w:val="single" w:sz="4" w:space="0" w:color="auto"/>
              <w:right w:val="single" w:sz="4" w:space="0" w:color="auto"/>
            </w:tcBorders>
            <w:noWrap/>
            <w:vAlign w:val="center"/>
          </w:tcPr>
          <w:p w14:paraId="427EB74C" w14:textId="77777777" w:rsidR="000F5B29" w:rsidRPr="0092056F" w:rsidRDefault="000F5B29" w:rsidP="00AC3862">
            <w:pPr>
              <w:spacing w:line="360" w:lineRule="auto"/>
              <w:jc w:val="right"/>
              <w:rPr>
                <w:bCs/>
                <w:color w:val="000000"/>
                <w:sz w:val="20"/>
                <w:szCs w:val="20"/>
                <w:highlight w:val="yellow"/>
                <w:lang w:eastAsia="es-MX"/>
              </w:rPr>
            </w:pPr>
            <w:r w:rsidRPr="0092056F">
              <w:rPr>
                <w:bCs/>
                <w:color w:val="000000"/>
                <w:sz w:val="20"/>
                <w:szCs w:val="20"/>
                <w:lang w:eastAsia="es-MX"/>
              </w:rPr>
              <w:t>26.6</w:t>
            </w:r>
          </w:p>
        </w:tc>
      </w:tr>
      <w:tr w:rsidR="000F5B29" w:rsidRPr="0092056F" w14:paraId="701FDD9B" w14:textId="77777777" w:rsidTr="00AC3862">
        <w:trPr>
          <w:trHeight w:val="257"/>
          <w:jc w:val="center"/>
        </w:trPr>
        <w:tc>
          <w:tcPr>
            <w:tcW w:w="1560" w:type="dxa"/>
            <w:tcBorders>
              <w:top w:val="nil"/>
              <w:left w:val="single" w:sz="4" w:space="0" w:color="auto"/>
              <w:bottom w:val="single" w:sz="4" w:space="0" w:color="auto"/>
              <w:right w:val="single" w:sz="4" w:space="0" w:color="auto"/>
            </w:tcBorders>
            <w:noWrap/>
            <w:vAlign w:val="center"/>
          </w:tcPr>
          <w:p w14:paraId="55C9DA03"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2018</w:t>
            </w:r>
          </w:p>
        </w:tc>
        <w:tc>
          <w:tcPr>
            <w:tcW w:w="2080" w:type="dxa"/>
            <w:tcBorders>
              <w:top w:val="nil"/>
              <w:left w:val="nil"/>
              <w:bottom w:val="single" w:sz="4" w:space="0" w:color="auto"/>
              <w:right w:val="single" w:sz="4" w:space="0" w:color="auto"/>
            </w:tcBorders>
            <w:noWrap/>
            <w:vAlign w:val="center"/>
          </w:tcPr>
          <w:p w14:paraId="3BBD818D" w14:textId="77777777" w:rsidR="000F5B29" w:rsidRPr="0092056F" w:rsidRDefault="000F5B29" w:rsidP="00AC3862">
            <w:pPr>
              <w:spacing w:line="360" w:lineRule="auto"/>
              <w:jc w:val="right"/>
              <w:rPr>
                <w:bCs/>
                <w:color w:val="000000"/>
                <w:sz w:val="20"/>
                <w:szCs w:val="20"/>
                <w:lang w:eastAsia="es-MX"/>
              </w:rPr>
            </w:pPr>
            <w:r w:rsidRPr="0092056F">
              <w:rPr>
                <w:bCs/>
                <w:color w:val="000000"/>
                <w:sz w:val="20"/>
                <w:szCs w:val="20"/>
                <w:lang w:eastAsia="es-MX"/>
              </w:rPr>
              <w:t>31.0</w:t>
            </w:r>
          </w:p>
        </w:tc>
      </w:tr>
      <w:tr w:rsidR="000F5B29" w:rsidRPr="0092056F" w14:paraId="30D822EB" w14:textId="77777777" w:rsidTr="00AC3862">
        <w:trPr>
          <w:trHeight w:val="278"/>
          <w:jc w:val="center"/>
        </w:trPr>
        <w:tc>
          <w:tcPr>
            <w:tcW w:w="1560" w:type="dxa"/>
            <w:tcBorders>
              <w:top w:val="nil"/>
              <w:left w:val="single" w:sz="4" w:space="0" w:color="auto"/>
              <w:bottom w:val="single" w:sz="4" w:space="0" w:color="auto"/>
              <w:right w:val="single" w:sz="4" w:space="0" w:color="auto"/>
            </w:tcBorders>
            <w:noWrap/>
            <w:vAlign w:val="center"/>
          </w:tcPr>
          <w:p w14:paraId="118565EB"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2019</w:t>
            </w:r>
          </w:p>
        </w:tc>
        <w:tc>
          <w:tcPr>
            <w:tcW w:w="2080" w:type="dxa"/>
            <w:tcBorders>
              <w:top w:val="nil"/>
              <w:left w:val="nil"/>
              <w:bottom w:val="single" w:sz="4" w:space="0" w:color="auto"/>
              <w:right w:val="single" w:sz="4" w:space="0" w:color="auto"/>
            </w:tcBorders>
            <w:noWrap/>
            <w:vAlign w:val="center"/>
          </w:tcPr>
          <w:p w14:paraId="45A39D58" w14:textId="77777777" w:rsidR="000F5B29" w:rsidRPr="0092056F" w:rsidRDefault="000F5B29" w:rsidP="00AC3862">
            <w:pPr>
              <w:spacing w:line="360" w:lineRule="auto"/>
              <w:jc w:val="right"/>
              <w:rPr>
                <w:bCs/>
                <w:color w:val="000000"/>
                <w:sz w:val="20"/>
                <w:szCs w:val="20"/>
                <w:lang w:eastAsia="es-MX"/>
              </w:rPr>
            </w:pPr>
            <w:r w:rsidRPr="0092056F">
              <w:rPr>
                <w:bCs/>
                <w:color w:val="000000"/>
                <w:sz w:val="20"/>
                <w:szCs w:val="20"/>
                <w:lang w:eastAsia="es-MX"/>
              </w:rPr>
              <w:t>55.0</w:t>
            </w:r>
          </w:p>
        </w:tc>
      </w:tr>
      <w:tr w:rsidR="000F5B29" w:rsidRPr="0092056F" w14:paraId="12CBAD3E" w14:textId="77777777" w:rsidTr="00AC3862">
        <w:trPr>
          <w:trHeight w:val="283"/>
          <w:jc w:val="center"/>
        </w:trPr>
        <w:tc>
          <w:tcPr>
            <w:tcW w:w="1560" w:type="dxa"/>
            <w:tcBorders>
              <w:top w:val="single" w:sz="4" w:space="0" w:color="auto"/>
              <w:left w:val="single" w:sz="4" w:space="0" w:color="auto"/>
              <w:bottom w:val="single" w:sz="4" w:space="0" w:color="auto"/>
              <w:right w:val="single" w:sz="4" w:space="0" w:color="auto"/>
            </w:tcBorders>
            <w:noWrap/>
            <w:vAlign w:val="center"/>
          </w:tcPr>
          <w:p w14:paraId="6EC06510"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2020</w:t>
            </w:r>
          </w:p>
        </w:tc>
        <w:tc>
          <w:tcPr>
            <w:tcW w:w="2080" w:type="dxa"/>
            <w:tcBorders>
              <w:top w:val="single" w:sz="4" w:space="0" w:color="auto"/>
              <w:left w:val="nil"/>
              <w:bottom w:val="single" w:sz="4" w:space="0" w:color="auto"/>
              <w:right w:val="single" w:sz="4" w:space="0" w:color="auto"/>
            </w:tcBorders>
            <w:noWrap/>
            <w:vAlign w:val="center"/>
          </w:tcPr>
          <w:p w14:paraId="65F212E4" w14:textId="77777777" w:rsidR="000F5B29" w:rsidRPr="0092056F" w:rsidRDefault="000F5B29" w:rsidP="00AC3862">
            <w:pPr>
              <w:spacing w:line="360" w:lineRule="auto"/>
              <w:jc w:val="right"/>
              <w:rPr>
                <w:bCs/>
                <w:color w:val="000000"/>
                <w:sz w:val="20"/>
                <w:szCs w:val="20"/>
                <w:lang w:eastAsia="es-MX"/>
              </w:rPr>
            </w:pPr>
            <w:r w:rsidRPr="0092056F">
              <w:rPr>
                <w:bCs/>
                <w:color w:val="000000"/>
                <w:sz w:val="20"/>
                <w:szCs w:val="20"/>
                <w:lang w:eastAsia="es-MX"/>
              </w:rPr>
              <w:t>80.5</w:t>
            </w:r>
          </w:p>
        </w:tc>
      </w:tr>
      <w:tr w:rsidR="000F5B29" w:rsidRPr="0092056F" w14:paraId="182D6FAC" w14:textId="77777777" w:rsidTr="00AC3862">
        <w:trPr>
          <w:trHeight w:val="283"/>
          <w:jc w:val="center"/>
        </w:trPr>
        <w:tc>
          <w:tcPr>
            <w:tcW w:w="1560" w:type="dxa"/>
            <w:tcBorders>
              <w:top w:val="single" w:sz="4" w:space="0" w:color="auto"/>
              <w:left w:val="single" w:sz="4" w:space="0" w:color="auto"/>
              <w:bottom w:val="single" w:sz="4" w:space="0" w:color="auto"/>
              <w:right w:val="single" w:sz="4" w:space="0" w:color="auto"/>
            </w:tcBorders>
            <w:noWrap/>
            <w:vAlign w:val="center"/>
          </w:tcPr>
          <w:p w14:paraId="2AC1D308"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2021</w:t>
            </w:r>
          </w:p>
        </w:tc>
        <w:tc>
          <w:tcPr>
            <w:tcW w:w="2080" w:type="dxa"/>
            <w:tcBorders>
              <w:top w:val="single" w:sz="4" w:space="0" w:color="auto"/>
              <w:left w:val="nil"/>
              <w:bottom w:val="single" w:sz="4" w:space="0" w:color="auto"/>
              <w:right w:val="single" w:sz="4" w:space="0" w:color="auto"/>
            </w:tcBorders>
            <w:noWrap/>
            <w:vAlign w:val="center"/>
          </w:tcPr>
          <w:p w14:paraId="68C99386" w14:textId="77777777" w:rsidR="000F5B29" w:rsidRPr="0092056F" w:rsidRDefault="000F5B29" w:rsidP="00AC3862">
            <w:pPr>
              <w:spacing w:line="360" w:lineRule="auto"/>
              <w:jc w:val="right"/>
              <w:rPr>
                <w:bCs/>
                <w:color w:val="000000"/>
                <w:sz w:val="20"/>
                <w:szCs w:val="20"/>
                <w:lang w:eastAsia="es-MX"/>
              </w:rPr>
            </w:pPr>
            <w:r w:rsidRPr="0092056F">
              <w:rPr>
                <w:bCs/>
                <w:color w:val="000000"/>
                <w:sz w:val="20"/>
                <w:szCs w:val="20"/>
                <w:lang w:eastAsia="es-MX"/>
              </w:rPr>
              <w:t>49.6</w:t>
            </w:r>
          </w:p>
        </w:tc>
      </w:tr>
      <w:tr w:rsidR="000F5B29" w:rsidRPr="0092056F" w14:paraId="718825F6" w14:textId="77777777" w:rsidTr="00AC3862">
        <w:trPr>
          <w:trHeight w:val="283"/>
          <w:jc w:val="center"/>
        </w:trPr>
        <w:tc>
          <w:tcPr>
            <w:tcW w:w="1560" w:type="dxa"/>
            <w:tcBorders>
              <w:top w:val="nil"/>
              <w:left w:val="single" w:sz="4" w:space="0" w:color="auto"/>
              <w:bottom w:val="single" w:sz="4" w:space="0" w:color="auto"/>
              <w:right w:val="single" w:sz="4" w:space="0" w:color="auto"/>
            </w:tcBorders>
            <w:noWrap/>
            <w:vAlign w:val="center"/>
          </w:tcPr>
          <w:p w14:paraId="2221D3DB"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2022</w:t>
            </w:r>
          </w:p>
        </w:tc>
        <w:tc>
          <w:tcPr>
            <w:tcW w:w="2080" w:type="dxa"/>
            <w:tcBorders>
              <w:top w:val="nil"/>
              <w:left w:val="nil"/>
              <w:bottom w:val="single" w:sz="4" w:space="0" w:color="auto"/>
              <w:right w:val="single" w:sz="4" w:space="0" w:color="auto"/>
            </w:tcBorders>
            <w:noWrap/>
            <w:vAlign w:val="center"/>
          </w:tcPr>
          <w:p w14:paraId="06C93F25" w14:textId="77777777" w:rsidR="000F5B29" w:rsidRPr="0092056F" w:rsidRDefault="000F5B29" w:rsidP="00AC3862">
            <w:pPr>
              <w:spacing w:line="360" w:lineRule="auto"/>
              <w:jc w:val="right"/>
              <w:rPr>
                <w:color w:val="000000"/>
                <w:sz w:val="20"/>
                <w:szCs w:val="20"/>
                <w:lang w:eastAsia="es-MX"/>
              </w:rPr>
            </w:pPr>
            <w:r w:rsidRPr="0092056F">
              <w:rPr>
                <w:color w:val="000000"/>
                <w:sz w:val="20"/>
                <w:szCs w:val="20"/>
                <w:lang w:eastAsia="es-MX"/>
              </w:rPr>
              <w:t>77.6</w:t>
            </w:r>
          </w:p>
        </w:tc>
      </w:tr>
      <w:tr w:rsidR="000F5B29" w:rsidRPr="0092056F" w14:paraId="131F6824" w14:textId="77777777" w:rsidTr="00AC3862">
        <w:trPr>
          <w:trHeight w:val="283"/>
          <w:jc w:val="center"/>
        </w:trPr>
        <w:tc>
          <w:tcPr>
            <w:tcW w:w="1560" w:type="dxa"/>
            <w:tcBorders>
              <w:top w:val="nil"/>
              <w:left w:val="single" w:sz="4" w:space="0" w:color="auto"/>
              <w:bottom w:val="single" w:sz="4" w:space="0" w:color="auto"/>
              <w:right w:val="single" w:sz="4" w:space="0" w:color="auto"/>
            </w:tcBorders>
            <w:noWrap/>
            <w:vAlign w:val="center"/>
          </w:tcPr>
          <w:p w14:paraId="0F253F10"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2023</w:t>
            </w:r>
          </w:p>
        </w:tc>
        <w:tc>
          <w:tcPr>
            <w:tcW w:w="2080" w:type="dxa"/>
            <w:tcBorders>
              <w:top w:val="nil"/>
              <w:left w:val="nil"/>
              <w:bottom w:val="single" w:sz="4" w:space="0" w:color="auto"/>
              <w:right w:val="single" w:sz="4" w:space="0" w:color="auto"/>
            </w:tcBorders>
            <w:noWrap/>
            <w:vAlign w:val="center"/>
          </w:tcPr>
          <w:p w14:paraId="22F1037C" w14:textId="77777777" w:rsidR="000F5B29" w:rsidRPr="0092056F" w:rsidRDefault="000F5B29" w:rsidP="00AC3862">
            <w:pPr>
              <w:spacing w:line="360" w:lineRule="auto"/>
              <w:jc w:val="right"/>
              <w:rPr>
                <w:color w:val="000000"/>
                <w:sz w:val="20"/>
                <w:szCs w:val="20"/>
                <w:lang w:eastAsia="es-MX"/>
              </w:rPr>
            </w:pPr>
            <w:r w:rsidRPr="0092056F">
              <w:rPr>
                <w:color w:val="000000"/>
                <w:sz w:val="20"/>
                <w:szCs w:val="20"/>
                <w:lang w:eastAsia="es-MX"/>
              </w:rPr>
              <w:t>60.0</w:t>
            </w:r>
          </w:p>
        </w:tc>
      </w:tr>
      <w:tr w:rsidR="000F5B29" w:rsidRPr="0092056F" w14:paraId="3724D089" w14:textId="77777777" w:rsidTr="00AC3862">
        <w:trPr>
          <w:trHeight w:val="283"/>
          <w:jc w:val="center"/>
        </w:trPr>
        <w:tc>
          <w:tcPr>
            <w:tcW w:w="1560" w:type="dxa"/>
            <w:tcBorders>
              <w:top w:val="nil"/>
              <w:left w:val="single" w:sz="4" w:space="0" w:color="auto"/>
              <w:bottom w:val="single" w:sz="4" w:space="0" w:color="auto"/>
              <w:right w:val="single" w:sz="4" w:space="0" w:color="auto"/>
            </w:tcBorders>
            <w:noWrap/>
            <w:vAlign w:val="center"/>
          </w:tcPr>
          <w:p w14:paraId="36EAFA7B"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lastRenderedPageBreak/>
              <w:t>Ejercicio 2024</w:t>
            </w:r>
          </w:p>
        </w:tc>
        <w:tc>
          <w:tcPr>
            <w:tcW w:w="2080" w:type="dxa"/>
            <w:tcBorders>
              <w:top w:val="nil"/>
              <w:left w:val="nil"/>
              <w:bottom w:val="single" w:sz="4" w:space="0" w:color="auto"/>
              <w:right w:val="single" w:sz="4" w:space="0" w:color="auto"/>
            </w:tcBorders>
            <w:noWrap/>
            <w:vAlign w:val="center"/>
          </w:tcPr>
          <w:p w14:paraId="6F980C82" w14:textId="77777777" w:rsidR="000F5B29" w:rsidRPr="0092056F" w:rsidRDefault="000F5B29" w:rsidP="00AC3862">
            <w:pPr>
              <w:spacing w:line="360" w:lineRule="auto"/>
              <w:jc w:val="right"/>
              <w:rPr>
                <w:b/>
                <w:bCs/>
                <w:color w:val="000000"/>
                <w:sz w:val="20"/>
                <w:szCs w:val="20"/>
                <w:lang w:eastAsia="es-MX"/>
              </w:rPr>
            </w:pPr>
            <w:r>
              <w:rPr>
                <w:b/>
                <w:bCs/>
                <w:color w:val="000000"/>
                <w:sz w:val="20"/>
                <w:szCs w:val="20"/>
                <w:lang w:eastAsia="es-MX"/>
              </w:rPr>
              <w:t>79</w:t>
            </w:r>
            <w:r w:rsidRPr="0092056F">
              <w:rPr>
                <w:b/>
                <w:bCs/>
                <w:color w:val="000000"/>
                <w:sz w:val="20"/>
                <w:szCs w:val="20"/>
                <w:lang w:eastAsia="es-MX"/>
              </w:rPr>
              <w:t>.</w:t>
            </w:r>
            <w:r>
              <w:rPr>
                <w:b/>
                <w:bCs/>
                <w:color w:val="000000"/>
                <w:sz w:val="20"/>
                <w:szCs w:val="20"/>
                <w:lang w:eastAsia="es-MX"/>
              </w:rPr>
              <w:t>3</w:t>
            </w:r>
          </w:p>
        </w:tc>
      </w:tr>
      <w:tr w:rsidR="000F5B29" w:rsidRPr="0092056F" w14:paraId="28B6F7FD" w14:textId="77777777" w:rsidTr="00AC3862">
        <w:trPr>
          <w:trHeight w:val="283"/>
          <w:jc w:val="center"/>
        </w:trPr>
        <w:tc>
          <w:tcPr>
            <w:tcW w:w="1560" w:type="dxa"/>
            <w:tcBorders>
              <w:top w:val="nil"/>
              <w:left w:val="single" w:sz="4" w:space="0" w:color="auto"/>
              <w:bottom w:val="single" w:sz="4" w:space="0" w:color="auto"/>
              <w:right w:val="single" w:sz="4" w:space="0" w:color="auto"/>
            </w:tcBorders>
            <w:noWrap/>
            <w:vAlign w:val="center"/>
          </w:tcPr>
          <w:p w14:paraId="1A60F49C" w14:textId="77777777" w:rsidR="000F5B29" w:rsidRPr="0092056F" w:rsidRDefault="000F5B29" w:rsidP="00AC3862">
            <w:pPr>
              <w:spacing w:line="360" w:lineRule="auto"/>
              <w:jc w:val="center"/>
              <w:rPr>
                <w:b/>
                <w:bCs/>
                <w:color w:val="000000"/>
                <w:sz w:val="20"/>
                <w:szCs w:val="20"/>
                <w:lang w:eastAsia="es-MX"/>
              </w:rPr>
            </w:pPr>
            <w:r>
              <w:rPr>
                <w:b/>
                <w:bCs/>
                <w:color w:val="000000"/>
                <w:sz w:val="20"/>
                <w:szCs w:val="20"/>
                <w:lang w:eastAsia="es-MX"/>
              </w:rPr>
              <w:t>*Ejercicio 2025</w:t>
            </w:r>
          </w:p>
        </w:tc>
        <w:tc>
          <w:tcPr>
            <w:tcW w:w="2080" w:type="dxa"/>
            <w:tcBorders>
              <w:top w:val="nil"/>
              <w:left w:val="nil"/>
              <w:bottom w:val="single" w:sz="4" w:space="0" w:color="auto"/>
              <w:right w:val="single" w:sz="4" w:space="0" w:color="auto"/>
            </w:tcBorders>
            <w:noWrap/>
            <w:vAlign w:val="center"/>
          </w:tcPr>
          <w:p w14:paraId="1494BA2C" w14:textId="77777777" w:rsidR="000F5B29" w:rsidRPr="0092056F" w:rsidRDefault="000F5B29" w:rsidP="00AC3862">
            <w:pPr>
              <w:spacing w:line="360" w:lineRule="auto"/>
              <w:jc w:val="right"/>
              <w:rPr>
                <w:b/>
                <w:bCs/>
                <w:color w:val="000000"/>
                <w:sz w:val="20"/>
                <w:szCs w:val="20"/>
                <w:lang w:eastAsia="es-MX"/>
              </w:rPr>
            </w:pPr>
            <w:r>
              <w:rPr>
                <w:b/>
                <w:bCs/>
                <w:color w:val="000000"/>
                <w:sz w:val="20"/>
                <w:szCs w:val="20"/>
                <w:lang w:eastAsia="es-MX"/>
              </w:rPr>
              <w:t>41.0</w:t>
            </w:r>
          </w:p>
        </w:tc>
      </w:tr>
      <w:tr w:rsidR="000F5B29" w:rsidRPr="0092056F" w14:paraId="1E8CA6B0" w14:textId="77777777" w:rsidTr="00AC3862">
        <w:trPr>
          <w:trHeight w:val="283"/>
          <w:jc w:val="center"/>
        </w:trPr>
        <w:tc>
          <w:tcPr>
            <w:tcW w:w="1560" w:type="dxa"/>
            <w:tcBorders>
              <w:top w:val="nil"/>
              <w:left w:val="single" w:sz="4" w:space="0" w:color="auto"/>
              <w:bottom w:val="single" w:sz="4" w:space="0" w:color="auto"/>
              <w:right w:val="single" w:sz="4" w:space="0" w:color="auto"/>
            </w:tcBorders>
            <w:noWrap/>
            <w:vAlign w:val="center"/>
            <w:hideMark/>
          </w:tcPr>
          <w:p w14:paraId="0E545BC3"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SUMA</w:t>
            </w:r>
          </w:p>
        </w:tc>
        <w:tc>
          <w:tcPr>
            <w:tcW w:w="2080" w:type="dxa"/>
            <w:tcBorders>
              <w:top w:val="nil"/>
              <w:left w:val="nil"/>
              <w:bottom w:val="single" w:sz="4" w:space="0" w:color="auto"/>
              <w:right w:val="single" w:sz="4" w:space="0" w:color="auto"/>
            </w:tcBorders>
            <w:noWrap/>
            <w:vAlign w:val="center"/>
            <w:hideMark/>
          </w:tcPr>
          <w:p w14:paraId="5550F9D1" w14:textId="77777777" w:rsidR="000F5B29" w:rsidRPr="0092056F" w:rsidRDefault="000F5B29" w:rsidP="00AC3862">
            <w:pPr>
              <w:spacing w:line="360" w:lineRule="auto"/>
              <w:jc w:val="right"/>
              <w:rPr>
                <w:b/>
                <w:bCs/>
                <w:color w:val="000000"/>
                <w:sz w:val="20"/>
                <w:szCs w:val="20"/>
                <w:lang w:eastAsia="es-MX"/>
              </w:rPr>
            </w:pPr>
            <w:r>
              <w:rPr>
                <w:b/>
                <w:bCs/>
                <w:color w:val="000000"/>
                <w:sz w:val="20"/>
                <w:szCs w:val="20"/>
                <w:lang w:eastAsia="es-MX"/>
              </w:rPr>
              <w:t>500.6</w:t>
            </w:r>
          </w:p>
        </w:tc>
      </w:tr>
    </w:tbl>
    <w:p w14:paraId="14E366A9" w14:textId="77777777" w:rsidR="000F5B29" w:rsidRPr="00906252" w:rsidRDefault="000F5B29" w:rsidP="000F5B29">
      <w:pPr>
        <w:spacing w:line="360" w:lineRule="auto"/>
        <w:ind w:left="2268"/>
        <w:rPr>
          <w:b/>
          <w:sz w:val="14"/>
          <w:szCs w:val="22"/>
        </w:rPr>
      </w:pPr>
      <w:r w:rsidRPr="00906252">
        <w:rPr>
          <w:b/>
          <w:sz w:val="14"/>
          <w:szCs w:val="22"/>
        </w:rPr>
        <w:t>* Cifra Estimada al Cierre de 202</w:t>
      </w:r>
      <w:r>
        <w:rPr>
          <w:b/>
          <w:sz w:val="14"/>
          <w:szCs w:val="22"/>
        </w:rPr>
        <w:t>5</w:t>
      </w:r>
    </w:p>
    <w:p w14:paraId="72E62820" w14:textId="77777777" w:rsidR="000F5B29" w:rsidRPr="008D5C06" w:rsidRDefault="000F5B29" w:rsidP="000F5B29">
      <w:pPr>
        <w:spacing w:line="360" w:lineRule="auto"/>
        <w:jc w:val="both"/>
        <w:rPr>
          <w:rFonts w:ascii="Arial" w:hAnsi="Arial" w:cs="Arial"/>
          <w:sz w:val="14"/>
        </w:rPr>
      </w:pPr>
    </w:p>
    <w:p w14:paraId="029E3F73" w14:textId="77777777" w:rsidR="000F5B29" w:rsidRPr="00A27D68" w:rsidRDefault="000F5B29" w:rsidP="000F5B29">
      <w:pPr>
        <w:spacing w:line="360" w:lineRule="auto"/>
        <w:jc w:val="both"/>
        <w:rPr>
          <w:sz w:val="20"/>
          <w:szCs w:val="20"/>
        </w:rPr>
      </w:pPr>
      <w:r w:rsidRPr="00A27D68">
        <w:rPr>
          <w:sz w:val="20"/>
          <w:szCs w:val="20"/>
        </w:rPr>
        <w:t>Los ingresos propios de Pensiones Civiles del Estado de Tlaxcala, se han visto incrementados, a partir, de la reforma, como a continuación se observa:</w:t>
      </w:r>
    </w:p>
    <w:p w14:paraId="0BF4E0F1" w14:textId="77777777" w:rsidR="000F5B29" w:rsidRPr="008D5C06" w:rsidRDefault="000F5B29" w:rsidP="000F5B29">
      <w:pPr>
        <w:spacing w:line="360" w:lineRule="auto"/>
        <w:jc w:val="both"/>
        <w:rPr>
          <w:rFonts w:ascii="Arial" w:hAnsi="Arial" w:cs="Arial"/>
          <w:sz w:val="12"/>
        </w:rPr>
      </w:pPr>
    </w:p>
    <w:tbl>
      <w:tblPr>
        <w:tblW w:w="3440" w:type="dxa"/>
        <w:jc w:val="center"/>
        <w:tblCellMar>
          <w:left w:w="70" w:type="dxa"/>
          <w:right w:w="70" w:type="dxa"/>
        </w:tblCellMar>
        <w:tblLook w:val="04A0" w:firstRow="1" w:lastRow="0" w:firstColumn="1" w:lastColumn="0" w:noHBand="0" w:noVBand="1"/>
      </w:tblPr>
      <w:tblGrid>
        <w:gridCol w:w="1540"/>
        <w:gridCol w:w="1900"/>
      </w:tblGrid>
      <w:tr w:rsidR="000F5B29" w:rsidRPr="0092056F" w14:paraId="37AAA2E6" w14:textId="77777777" w:rsidTr="00AC3862">
        <w:trPr>
          <w:trHeight w:val="777"/>
          <w:jc w:val="center"/>
        </w:trPr>
        <w:tc>
          <w:tcPr>
            <w:tcW w:w="15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4C663FF0"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AÑO</w:t>
            </w:r>
          </w:p>
        </w:tc>
        <w:tc>
          <w:tcPr>
            <w:tcW w:w="190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9AFC87A" w14:textId="5BBD1184"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APORTACIONES Y RETENCIONES (</w:t>
            </w:r>
            <w:proofErr w:type="spellStart"/>
            <w:r w:rsidRPr="0092056F">
              <w:rPr>
                <w:b/>
                <w:bCs/>
                <w:color w:val="000000"/>
                <w:sz w:val="20"/>
                <w:szCs w:val="20"/>
                <w:lang w:eastAsia="es-MX"/>
              </w:rPr>
              <w:t>M</w:t>
            </w:r>
            <w:r w:rsidR="005E4A3B">
              <w:rPr>
                <w:b/>
                <w:bCs/>
                <w:color w:val="000000"/>
                <w:sz w:val="20"/>
                <w:szCs w:val="20"/>
                <w:lang w:eastAsia="es-MX"/>
              </w:rPr>
              <w:t>dp</w:t>
            </w:r>
            <w:proofErr w:type="spellEnd"/>
            <w:r w:rsidRPr="0092056F">
              <w:rPr>
                <w:b/>
                <w:bCs/>
                <w:color w:val="000000"/>
                <w:sz w:val="20"/>
                <w:szCs w:val="20"/>
                <w:lang w:eastAsia="es-MX"/>
              </w:rPr>
              <w:t>)</w:t>
            </w:r>
          </w:p>
        </w:tc>
      </w:tr>
      <w:tr w:rsidR="000F5B29" w:rsidRPr="0092056F" w14:paraId="260A0C27" w14:textId="77777777" w:rsidTr="00AC3862">
        <w:trPr>
          <w:trHeight w:val="300"/>
          <w:jc w:val="center"/>
        </w:trPr>
        <w:tc>
          <w:tcPr>
            <w:tcW w:w="1540" w:type="dxa"/>
            <w:tcBorders>
              <w:top w:val="nil"/>
              <w:left w:val="single" w:sz="4" w:space="0" w:color="auto"/>
              <w:bottom w:val="single" w:sz="4" w:space="0" w:color="auto"/>
              <w:right w:val="single" w:sz="4" w:space="0" w:color="auto"/>
            </w:tcBorders>
            <w:noWrap/>
            <w:vAlign w:val="center"/>
          </w:tcPr>
          <w:p w14:paraId="28381C56"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2017</w:t>
            </w:r>
          </w:p>
        </w:tc>
        <w:tc>
          <w:tcPr>
            <w:tcW w:w="1900" w:type="dxa"/>
            <w:tcBorders>
              <w:top w:val="nil"/>
              <w:left w:val="nil"/>
              <w:bottom w:val="single" w:sz="4" w:space="0" w:color="auto"/>
              <w:right w:val="single" w:sz="4" w:space="0" w:color="auto"/>
            </w:tcBorders>
            <w:noWrap/>
            <w:vAlign w:val="bottom"/>
          </w:tcPr>
          <w:p w14:paraId="0BA3CD5C" w14:textId="77777777" w:rsidR="000F5B29" w:rsidRPr="0092056F" w:rsidRDefault="000F5B29" w:rsidP="00AC3862">
            <w:pPr>
              <w:spacing w:line="360" w:lineRule="auto"/>
              <w:jc w:val="right"/>
              <w:rPr>
                <w:bCs/>
                <w:color w:val="000000"/>
                <w:sz w:val="20"/>
                <w:szCs w:val="20"/>
                <w:lang w:eastAsia="es-MX"/>
              </w:rPr>
            </w:pPr>
            <w:r w:rsidRPr="0092056F">
              <w:rPr>
                <w:bCs/>
                <w:color w:val="000000"/>
                <w:sz w:val="20"/>
                <w:szCs w:val="20"/>
                <w:lang w:eastAsia="es-MX"/>
              </w:rPr>
              <w:t>275.2</w:t>
            </w:r>
          </w:p>
        </w:tc>
      </w:tr>
      <w:tr w:rsidR="000F5B29" w:rsidRPr="0092056F" w14:paraId="2495C551" w14:textId="77777777" w:rsidTr="00AC3862">
        <w:trPr>
          <w:trHeight w:val="300"/>
          <w:jc w:val="center"/>
        </w:trPr>
        <w:tc>
          <w:tcPr>
            <w:tcW w:w="1540" w:type="dxa"/>
            <w:tcBorders>
              <w:top w:val="nil"/>
              <w:left w:val="single" w:sz="4" w:space="0" w:color="auto"/>
              <w:bottom w:val="single" w:sz="4" w:space="0" w:color="auto"/>
              <w:right w:val="single" w:sz="4" w:space="0" w:color="auto"/>
            </w:tcBorders>
            <w:noWrap/>
            <w:vAlign w:val="center"/>
          </w:tcPr>
          <w:p w14:paraId="6A8103D1"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2018</w:t>
            </w:r>
          </w:p>
        </w:tc>
        <w:tc>
          <w:tcPr>
            <w:tcW w:w="1900" w:type="dxa"/>
            <w:tcBorders>
              <w:top w:val="nil"/>
              <w:left w:val="nil"/>
              <w:bottom w:val="single" w:sz="4" w:space="0" w:color="auto"/>
              <w:right w:val="single" w:sz="4" w:space="0" w:color="auto"/>
            </w:tcBorders>
            <w:noWrap/>
            <w:vAlign w:val="bottom"/>
          </w:tcPr>
          <w:p w14:paraId="727C45FC" w14:textId="77777777" w:rsidR="000F5B29" w:rsidRPr="0092056F" w:rsidRDefault="000F5B29" w:rsidP="00AC3862">
            <w:pPr>
              <w:spacing w:line="360" w:lineRule="auto"/>
              <w:jc w:val="right"/>
              <w:rPr>
                <w:bCs/>
                <w:color w:val="000000"/>
                <w:sz w:val="20"/>
                <w:szCs w:val="20"/>
                <w:lang w:eastAsia="es-MX"/>
              </w:rPr>
            </w:pPr>
            <w:r w:rsidRPr="0092056F">
              <w:rPr>
                <w:bCs/>
                <w:color w:val="000000"/>
                <w:sz w:val="20"/>
                <w:szCs w:val="20"/>
                <w:lang w:eastAsia="es-MX"/>
              </w:rPr>
              <w:t>267.1</w:t>
            </w:r>
          </w:p>
        </w:tc>
      </w:tr>
      <w:tr w:rsidR="000F5B29" w:rsidRPr="0092056F" w14:paraId="3C6E4379" w14:textId="77777777" w:rsidTr="00AC3862">
        <w:trPr>
          <w:trHeight w:val="300"/>
          <w:jc w:val="center"/>
        </w:trPr>
        <w:tc>
          <w:tcPr>
            <w:tcW w:w="1540" w:type="dxa"/>
            <w:tcBorders>
              <w:top w:val="nil"/>
              <w:left w:val="single" w:sz="4" w:space="0" w:color="auto"/>
              <w:bottom w:val="single" w:sz="4" w:space="0" w:color="auto"/>
              <w:right w:val="single" w:sz="4" w:space="0" w:color="auto"/>
            </w:tcBorders>
            <w:noWrap/>
            <w:vAlign w:val="center"/>
          </w:tcPr>
          <w:p w14:paraId="20BF7624"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2019</w:t>
            </w:r>
          </w:p>
        </w:tc>
        <w:tc>
          <w:tcPr>
            <w:tcW w:w="1900" w:type="dxa"/>
            <w:tcBorders>
              <w:top w:val="nil"/>
              <w:left w:val="nil"/>
              <w:bottom w:val="single" w:sz="4" w:space="0" w:color="auto"/>
              <w:right w:val="single" w:sz="4" w:space="0" w:color="auto"/>
            </w:tcBorders>
            <w:noWrap/>
            <w:vAlign w:val="bottom"/>
          </w:tcPr>
          <w:p w14:paraId="6C240204" w14:textId="77777777" w:rsidR="000F5B29" w:rsidRPr="0092056F" w:rsidRDefault="000F5B29" w:rsidP="00AC3862">
            <w:pPr>
              <w:spacing w:line="360" w:lineRule="auto"/>
              <w:jc w:val="right"/>
              <w:rPr>
                <w:bCs/>
                <w:color w:val="000000"/>
                <w:sz w:val="20"/>
                <w:szCs w:val="20"/>
                <w:lang w:eastAsia="es-MX"/>
              </w:rPr>
            </w:pPr>
            <w:r w:rsidRPr="0092056F">
              <w:rPr>
                <w:bCs/>
                <w:color w:val="000000"/>
                <w:sz w:val="20"/>
                <w:szCs w:val="20"/>
                <w:lang w:eastAsia="es-MX"/>
              </w:rPr>
              <w:t>290.9</w:t>
            </w:r>
          </w:p>
        </w:tc>
      </w:tr>
      <w:tr w:rsidR="000F5B29" w:rsidRPr="0092056F" w14:paraId="2F0ADC20" w14:textId="77777777" w:rsidTr="00AC3862">
        <w:trPr>
          <w:trHeight w:val="209"/>
          <w:jc w:val="center"/>
        </w:trPr>
        <w:tc>
          <w:tcPr>
            <w:tcW w:w="1540" w:type="dxa"/>
            <w:tcBorders>
              <w:top w:val="nil"/>
              <w:left w:val="single" w:sz="4" w:space="0" w:color="auto"/>
              <w:bottom w:val="single" w:sz="4" w:space="0" w:color="auto"/>
              <w:right w:val="single" w:sz="4" w:space="0" w:color="auto"/>
            </w:tcBorders>
            <w:noWrap/>
            <w:vAlign w:val="center"/>
          </w:tcPr>
          <w:p w14:paraId="6D1F41B6"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2020</w:t>
            </w:r>
          </w:p>
        </w:tc>
        <w:tc>
          <w:tcPr>
            <w:tcW w:w="1900" w:type="dxa"/>
            <w:tcBorders>
              <w:top w:val="nil"/>
              <w:left w:val="nil"/>
              <w:bottom w:val="single" w:sz="4" w:space="0" w:color="auto"/>
              <w:right w:val="single" w:sz="4" w:space="0" w:color="auto"/>
            </w:tcBorders>
            <w:noWrap/>
            <w:vAlign w:val="bottom"/>
          </w:tcPr>
          <w:p w14:paraId="6328CB44" w14:textId="77777777" w:rsidR="000F5B29" w:rsidRPr="0092056F" w:rsidRDefault="000F5B29" w:rsidP="00AC3862">
            <w:pPr>
              <w:spacing w:line="360" w:lineRule="auto"/>
              <w:jc w:val="right"/>
              <w:rPr>
                <w:bCs/>
                <w:color w:val="000000"/>
                <w:sz w:val="20"/>
                <w:szCs w:val="20"/>
                <w:lang w:eastAsia="es-MX"/>
              </w:rPr>
            </w:pPr>
            <w:r w:rsidRPr="0092056F">
              <w:rPr>
                <w:bCs/>
                <w:color w:val="000000"/>
                <w:sz w:val="20"/>
                <w:szCs w:val="20"/>
                <w:lang w:eastAsia="es-MX"/>
              </w:rPr>
              <w:t>364.2</w:t>
            </w:r>
          </w:p>
        </w:tc>
      </w:tr>
      <w:tr w:rsidR="000F5B29" w:rsidRPr="0092056F" w14:paraId="0256759B" w14:textId="77777777" w:rsidTr="00AC3862">
        <w:trPr>
          <w:trHeight w:val="209"/>
          <w:jc w:val="center"/>
        </w:trPr>
        <w:tc>
          <w:tcPr>
            <w:tcW w:w="1540" w:type="dxa"/>
            <w:tcBorders>
              <w:top w:val="nil"/>
              <w:left w:val="single" w:sz="4" w:space="0" w:color="auto"/>
              <w:bottom w:val="single" w:sz="4" w:space="0" w:color="auto"/>
              <w:right w:val="single" w:sz="4" w:space="0" w:color="auto"/>
            </w:tcBorders>
            <w:noWrap/>
            <w:vAlign w:val="center"/>
          </w:tcPr>
          <w:p w14:paraId="4EAB8B18"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2021</w:t>
            </w:r>
          </w:p>
        </w:tc>
        <w:tc>
          <w:tcPr>
            <w:tcW w:w="1900" w:type="dxa"/>
            <w:tcBorders>
              <w:top w:val="nil"/>
              <w:left w:val="nil"/>
              <w:bottom w:val="single" w:sz="4" w:space="0" w:color="auto"/>
              <w:right w:val="single" w:sz="4" w:space="0" w:color="auto"/>
            </w:tcBorders>
            <w:noWrap/>
            <w:vAlign w:val="bottom"/>
          </w:tcPr>
          <w:p w14:paraId="2603FEE6" w14:textId="77777777" w:rsidR="000F5B29" w:rsidRPr="0092056F" w:rsidRDefault="000F5B29" w:rsidP="00AC3862">
            <w:pPr>
              <w:spacing w:line="360" w:lineRule="auto"/>
              <w:jc w:val="right"/>
              <w:rPr>
                <w:bCs/>
                <w:color w:val="000000"/>
                <w:sz w:val="20"/>
                <w:szCs w:val="20"/>
                <w:lang w:eastAsia="es-MX"/>
              </w:rPr>
            </w:pPr>
            <w:r w:rsidRPr="0092056F">
              <w:rPr>
                <w:bCs/>
                <w:color w:val="000000"/>
                <w:sz w:val="20"/>
                <w:szCs w:val="20"/>
                <w:lang w:eastAsia="es-MX"/>
              </w:rPr>
              <w:t>351.6</w:t>
            </w:r>
          </w:p>
        </w:tc>
      </w:tr>
      <w:tr w:rsidR="000F5B29" w:rsidRPr="0092056F" w14:paraId="3CF2E421" w14:textId="77777777" w:rsidTr="00AC3862">
        <w:trPr>
          <w:trHeight w:val="209"/>
          <w:jc w:val="center"/>
        </w:trPr>
        <w:tc>
          <w:tcPr>
            <w:tcW w:w="1540" w:type="dxa"/>
            <w:tcBorders>
              <w:top w:val="single" w:sz="4" w:space="0" w:color="auto"/>
              <w:left w:val="single" w:sz="4" w:space="0" w:color="auto"/>
              <w:bottom w:val="single" w:sz="4" w:space="0" w:color="auto"/>
              <w:right w:val="single" w:sz="4" w:space="0" w:color="auto"/>
            </w:tcBorders>
            <w:noWrap/>
            <w:vAlign w:val="center"/>
          </w:tcPr>
          <w:p w14:paraId="49EA69B0"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2022</w:t>
            </w:r>
          </w:p>
        </w:tc>
        <w:tc>
          <w:tcPr>
            <w:tcW w:w="1900" w:type="dxa"/>
            <w:tcBorders>
              <w:top w:val="single" w:sz="4" w:space="0" w:color="auto"/>
              <w:left w:val="nil"/>
              <w:bottom w:val="single" w:sz="4" w:space="0" w:color="auto"/>
              <w:right w:val="single" w:sz="4" w:space="0" w:color="auto"/>
            </w:tcBorders>
            <w:noWrap/>
            <w:vAlign w:val="bottom"/>
          </w:tcPr>
          <w:p w14:paraId="40E56F7D" w14:textId="77777777" w:rsidR="000F5B29" w:rsidRPr="0092056F" w:rsidRDefault="000F5B29" w:rsidP="00AC3862">
            <w:pPr>
              <w:spacing w:line="360" w:lineRule="auto"/>
              <w:jc w:val="right"/>
              <w:rPr>
                <w:color w:val="000000"/>
                <w:sz w:val="20"/>
                <w:szCs w:val="20"/>
                <w:lang w:eastAsia="es-MX"/>
              </w:rPr>
            </w:pPr>
            <w:r w:rsidRPr="0092056F">
              <w:rPr>
                <w:color w:val="000000"/>
                <w:sz w:val="20"/>
                <w:szCs w:val="20"/>
                <w:lang w:eastAsia="es-MX"/>
              </w:rPr>
              <w:t>377.9</w:t>
            </w:r>
          </w:p>
        </w:tc>
      </w:tr>
      <w:tr w:rsidR="000F5B29" w:rsidRPr="0092056F" w14:paraId="03B889B4" w14:textId="77777777" w:rsidTr="00AC3862">
        <w:trPr>
          <w:trHeight w:val="209"/>
          <w:jc w:val="center"/>
        </w:trPr>
        <w:tc>
          <w:tcPr>
            <w:tcW w:w="1540" w:type="dxa"/>
            <w:tcBorders>
              <w:top w:val="single" w:sz="4" w:space="0" w:color="auto"/>
              <w:left w:val="single" w:sz="4" w:space="0" w:color="auto"/>
              <w:bottom w:val="single" w:sz="4" w:space="0" w:color="auto"/>
              <w:right w:val="single" w:sz="4" w:space="0" w:color="auto"/>
            </w:tcBorders>
            <w:noWrap/>
            <w:vAlign w:val="center"/>
          </w:tcPr>
          <w:p w14:paraId="4D269809"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2023</w:t>
            </w:r>
          </w:p>
        </w:tc>
        <w:tc>
          <w:tcPr>
            <w:tcW w:w="1900" w:type="dxa"/>
            <w:tcBorders>
              <w:top w:val="single" w:sz="4" w:space="0" w:color="auto"/>
              <w:left w:val="nil"/>
              <w:bottom w:val="single" w:sz="4" w:space="0" w:color="auto"/>
              <w:right w:val="single" w:sz="4" w:space="0" w:color="auto"/>
            </w:tcBorders>
            <w:noWrap/>
            <w:vAlign w:val="bottom"/>
          </w:tcPr>
          <w:p w14:paraId="5CA36723" w14:textId="77777777" w:rsidR="000F5B29" w:rsidRPr="0092056F" w:rsidRDefault="000F5B29" w:rsidP="00AC3862">
            <w:pPr>
              <w:spacing w:line="360" w:lineRule="auto"/>
              <w:jc w:val="right"/>
              <w:rPr>
                <w:color w:val="000000"/>
                <w:sz w:val="20"/>
                <w:szCs w:val="20"/>
                <w:lang w:eastAsia="es-MX"/>
              </w:rPr>
            </w:pPr>
            <w:r w:rsidRPr="0092056F">
              <w:rPr>
                <w:color w:val="000000"/>
                <w:sz w:val="20"/>
                <w:szCs w:val="20"/>
                <w:lang w:eastAsia="es-MX"/>
              </w:rPr>
              <w:t>413.2</w:t>
            </w:r>
          </w:p>
        </w:tc>
      </w:tr>
      <w:tr w:rsidR="000F5B29" w:rsidRPr="0092056F" w14:paraId="340A6E00" w14:textId="77777777" w:rsidTr="00AC3862">
        <w:trPr>
          <w:trHeight w:val="209"/>
          <w:jc w:val="center"/>
        </w:trPr>
        <w:tc>
          <w:tcPr>
            <w:tcW w:w="1540" w:type="dxa"/>
            <w:tcBorders>
              <w:top w:val="nil"/>
              <w:left w:val="single" w:sz="4" w:space="0" w:color="auto"/>
              <w:bottom w:val="single" w:sz="4" w:space="0" w:color="auto"/>
              <w:right w:val="single" w:sz="4" w:space="0" w:color="auto"/>
            </w:tcBorders>
            <w:noWrap/>
            <w:vAlign w:val="center"/>
          </w:tcPr>
          <w:p w14:paraId="598765A7"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Ejercicio 2024</w:t>
            </w:r>
          </w:p>
        </w:tc>
        <w:tc>
          <w:tcPr>
            <w:tcW w:w="1900" w:type="dxa"/>
            <w:tcBorders>
              <w:top w:val="nil"/>
              <w:left w:val="nil"/>
              <w:bottom w:val="single" w:sz="4" w:space="0" w:color="auto"/>
              <w:right w:val="single" w:sz="4" w:space="0" w:color="auto"/>
            </w:tcBorders>
            <w:noWrap/>
            <w:vAlign w:val="bottom"/>
          </w:tcPr>
          <w:p w14:paraId="3A539867" w14:textId="77777777" w:rsidR="000F5B29" w:rsidRPr="00265E5C" w:rsidRDefault="000F5B29" w:rsidP="00AC3862">
            <w:pPr>
              <w:spacing w:line="360" w:lineRule="auto"/>
              <w:jc w:val="right"/>
              <w:rPr>
                <w:color w:val="000000"/>
                <w:sz w:val="20"/>
                <w:szCs w:val="20"/>
                <w:lang w:eastAsia="es-MX"/>
              </w:rPr>
            </w:pPr>
            <w:r w:rsidRPr="00265E5C">
              <w:rPr>
                <w:color w:val="000000"/>
                <w:sz w:val="20"/>
                <w:szCs w:val="20"/>
                <w:lang w:eastAsia="es-MX"/>
              </w:rPr>
              <w:t>438.9</w:t>
            </w:r>
          </w:p>
        </w:tc>
      </w:tr>
      <w:tr w:rsidR="000F5B29" w:rsidRPr="0092056F" w14:paraId="6126CDC7" w14:textId="77777777" w:rsidTr="00AC3862">
        <w:trPr>
          <w:trHeight w:val="209"/>
          <w:jc w:val="center"/>
        </w:trPr>
        <w:tc>
          <w:tcPr>
            <w:tcW w:w="1540" w:type="dxa"/>
            <w:tcBorders>
              <w:top w:val="nil"/>
              <w:left w:val="single" w:sz="4" w:space="0" w:color="auto"/>
              <w:bottom w:val="single" w:sz="4" w:space="0" w:color="auto"/>
              <w:right w:val="single" w:sz="4" w:space="0" w:color="auto"/>
            </w:tcBorders>
            <w:noWrap/>
            <w:vAlign w:val="center"/>
          </w:tcPr>
          <w:p w14:paraId="0F2AD3E3" w14:textId="77777777" w:rsidR="000F5B29" w:rsidRPr="0092056F" w:rsidRDefault="000F5B29" w:rsidP="00AC3862">
            <w:pPr>
              <w:spacing w:line="360" w:lineRule="auto"/>
              <w:jc w:val="center"/>
              <w:rPr>
                <w:b/>
                <w:bCs/>
                <w:color w:val="000000"/>
                <w:sz w:val="20"/>
                <w:szCs w:val="20"/>
                <w:lang w:eastAsia="es-MX"/>
              </w:rPr>
            </w:pPr>
            <w:r>
              <w:rPr>
                <w:b/>
                <w:bCs/>
                <w:color w:val="000000"/>
                <w:sz w:val="20"/>
                <w:szCs w:val="20"/>
                <w:lang w:eastAsia="es-MX"/>
              </w:rPr>
              <w:t>*Ejercicio 2025</w:t>
            </w:r>
          </w:p>
        </w:tc>
        <w:tc>
          <w:tcPr>
            <w:tcW w:w="1900" w:type="dxa"/>
            <w:tcBorders>
              <w:top w:val="nil"/>
              <w:left w:val="nil"/>
              <w:bottom w:val="single" w:sz="4" w:space="0" w:color="auto"/>
              <w:right w:val="single" w:sz="4" w:space="0" w:color="auto"/>
            </w:tcBorders>
            <w:noWrap/>
            <w:vAlign w:val="bottom"/>
          </w:tcPr>
          <w:p w14:paraId="790F75CA" w14:textId="77777777" w:rsidR="000F5B29" w:rsidRPr="0092056F" w:rsidRDefault="000F5B29" w:rsidP="00AC3862">
            <w:pPr>
              <w:spacing w:line="360" w:lineRule="auto"/>
              <w:jc w:val="right"/>
              <w:rPr>
                <w:b/>
                <w:bCs/>
                <w:color w:val="000000"/>
                <w:sz w:val="20"/>
                <w:szCs w:val="20"/>
                <w:lang w:eastAsia="es-MX"/>
              </w:rPr>
            </w:pPr>
            <w:r>
              <w:rPr>
                <w:b/>
                <w:bCs/>
                <w:color w:val="000000"/>
                <w:sz w:val="20"/>
                <w:szCs w:val="20"/>
                <w:lang w:eastAsia="es-MX"/>
              </w:rPr>
              <w:t>388.6</w:t>
            </w:r>
          </w:p>
        </w:tc>
      </w:tr>
      <w:tr w:rsidR="000F5B29" w:rsidRPr="0092056F" w14:paraId="679AC9E2" w14:textId="77777777" w:rsidTr="00AC3862">
        <w:trPr>
          <w:trHeight w:val="209"/>
          <w:jc w:val="center"/>
        </w:trPr>
        <w:tc>
          <w:tcPr>
            <w:tcW w:w="1540" w:type="dxa"/>
            <w:tcBorders>
              <w:top w:val="nil"/>
              <w:left w:val="single" w:sz="4" w:space="0" w:color="auto"/>
              <w:bottom w:val="single" w:sz="4" w:space="0" w:color="auto"/>
              <w:right w:val="single" w:sz="4" w:space="0" w:color="auto"/>
            </w:tcBorders>
            <w:noWrap/>
            <w:vAlign w:val="center"/>
            <w:hideMark/>
          </w:tcPr>
          <w:p w14:paraId="28B12DD3" w14:textId="77777777" w:rsidR="000F5B29" w:rsidRPr="0092056F" w:rsidRDefault="000F5B29" w:rsidP="00AC3862">
            <w:pPr>
              <w:spacing w:line="360" w:lineRule="auto"/>
              <w:jc w:val="center"/>
              <w:rPr>
                <w:b/>
                <w:bCs/>
                <w:color w:val="000000"/>
                <w:sz w:val="20"/>
                <w:szCs w:val="20"/>
                <w:lang w:eastAsia="es-MX"/>
              </w:rPr>
            </w:pPr>
            <w:r w:rsidRPr="0092056F">
              <w:rPr>
                <w:b/>
                <w:bCs/>
                <w:color w:val="000000"/>
                <w:sz w:val="20"/>
                <w:szCs w:val="20"/>
                <w:lang w:eastAsia="es-MX"/>
              </w:rPr>
              <w:t>SUMA</w:t>
            </w:r>
          </w:p>
        </w:tc>
        <w:tc>
          <w:tcPr>
            <w:tcW w:w="1900" w:type="dxa"/>
            <w:tcBorders>
              <w:top w:val="nil"/>
              <w:left w:val="nil"/>
              <w:bottom w:val="single" w:sz="4" w:space="0" w:color="auto"/>
              <w:right w:val="single" w:sz="4" w:space="0" w:color="auto"/>
            </w:tcBorders>
            <w:noWrap/>
            <w:vAlign w:val="bottom"/>
            <w:hideMark/>
          </w:tcPr>
          <w:p w14:paraId="3037CC06" w14:textId="77777777" w:rsidR="000F5B29" w:rsidRPr="0092056F" w:rsidRDefault="000F5B29" w:rsidP="00AC3862">
            <w:pPr>
              <w:spacing w:line="360" w:lineRule="auto"/>
              <w:jc w:val="right"/>
              <w:rPr>
                <w:b/>
                <w:bCs/>
                <w:color w:val="000000"/>
                <w:sz w:val="20"/>
                <w:szCs w:val="20"/>
                <w:lang w:eastAsia="es-MX"/>
              </w:rPr>
            </w:pPr>
            <w:r>
              <w:rPr>
                <w:b/>
                <w:bCs/>
                <w:color w:val="000000"/>
                <w:sz w:val="20"/>
                <w:szCs w:val="20"/>
                <w:lang w:eastAsia="es-MX"/>
              </w:rPr>
              <w:t>3,167.6</w:t>
            </w:r>
          </w:p>
        </w:tc>
      </w:tr>
    </w:tbl>
    <w:p w14:paraId="383FDCC9" w14:textId="77777777" w:rsidR="000F5B29" w:rsidRPr="00906252" w:rsidRDefault="000F5B29" w:rsidP="000F5B29">
      <w:pPr>
        <w:spacing w:line="360" w:lineRule="auto"/>
        <w:ind w:left="2410"/>
        <w:rPr>
          <w:sz w:val="22"/>
          <w:szCs w:val="22"/>
        </w:rPr>
      </w:pPr>
      <w:r w:rsidRPr="00906252">
        <w:rPr>
          <w:b/>
          <w:sz w:val="14"/>
          <w:szCs w:val="22"/>
        </w:rPr>
        <w:t>* Cifras al Cierre del mes de septiembre de 202</w:t>
      </w:r>
      <w:r>
        <w:rPr>
          <w:b/>
          <w:sz w:val="14"/>
          <w:szCs w:val="22"/>
        </w:rPr>
        <w:t>5</w:t>
      </w:r>
      <w:r w:rsidRPr="00906252">
        <w:rPr>
          <w:b/>
          <w:sz w:val="14"/>
          <w:szCs w:val="22"/>
        </w:rPr>
        <w:t>.</w:t>
      </w:r>
    </w:p>
    <w:p w14:paraId="0505E443" w14:textId="77777777" w:rsidR="000F5B29" w:rsidRPr="0092056F" w:rsidRDefault="000F5B29" w:rsidP="000F5B29">
      <w:pPr>
        <w:spacing w:line="360" w:lineRule="auto"/>
        <w:jc w:val="both"/>
        <w:rPr>
          <w:sz w:val="20"/>
          <w:szCs w:val="20"/>
        </w:rPr>
      </w:pPr>
    </w:p>
    <w:p w14:paraId="4E129EA1" w14:textId="14CB1884" w:rsidR="000F5B29" w:rsidRPr="00A27D68" w:rsidRDefault="000F5B29" w:rsidP="000F5B29">
      <w:pPr>
        <w:spacing w:line="360" w:lineRule="auto"/>
        <w:jc w:val="both"/>
        <w:rPr>
          <w:sz w:val="20"/>
          <w:szCs w:val="20"/>
        </w:rPr>
      </w:pPr>
      <w:r w:rsidRPr="00A27D68">
        <w:rPr>
          <w:sz w:val="20"/>
          <w:szCs w:val="20"/>
        </w:rPr>
        <w:t xml:space="preserve">El Gobierno del Estado, tiene como prioridad sanear el Sistema Estatal de Pensiones garantizando la solvencia de la Institución e impulsando el otorgamiento y recuperación de créditos. En los últimos años se han realizado las aportaciones al Fondo de Créditos por 150 </w:t>
      </w:r>
      <w:proofErr w:type="spellStart"/>
      <w:r w:rsidR="005E4A3B">
        <w:rPr>
          <w:sz w:val="20"/>
          <w:szCs w:val="20"/>
        </w:rPr>
        <w:t>Mdp</w:t>
      </w:r>
      <w:proofErr w:type="spellEnd"/>
      <w:r w:rsidRPr="00A27D68">
        <w:rPr>
          <w:sz w:val="20"/>
          <w:szCs w:val="20"/>
        </w:rPr>
        <w:t>.</w:t>
      </w:r>
    </w:p>
    <w:p w14:paraId="3B5C5A7C" w14:textId="77777777" w:rsidR="000F5B29" w:rsidRDefault="000F5B29" w:rsidP="000F5B29">
      <w:pPr>
        <w:spacing w:line="360" w:lineRule="auto"/>
        <w:jc w:val="both"/>
        <w:rPr>
          <w:sz w:val="20"/>
          <w:szCs w:val="20"/>
        </w:rPr>
      </w:pPr>
    </w:p>
    <w:p w14:paraId="61081246" w14:textId="77777777" w:rsidR="000F5B29" w:rsidRDefault="000F5B29" w:rsidP="000F5B29">
      <w:pPr>
        <w:spacing w:line="360" w:lineRule="auto"/>
        <w:jc w:val="center"/>
        <w:rPr>
          <w:sz w:val="20"/>
          <w:szCs w:val="20"/>
        </w:rPr>
      </w:pPr>
      <w:r w:rsidRPr="00D45D4F">
        <w:rPr>
          <w:noProof/>
        </w:rPr>
        <w:lastRenderedPageBreak/>
        <w:drawing>
          <wp:inline distT="0" distB="0" distL="0" distR="0" wp14:anchorId="318AA4CB" wp14:editId="1CDA7BD4">
            <wp:extent cx="5096510" cy="3219450"/>
            <wp:effectExtent l="0" t="0" r="0" b="0"/>
            <wp:docPr id="4608745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887"/>
                    <a:stretch>
                      <a:fillRect/>
                    </a:stretch>
                  </pic:blipFill>
                  <pic:spPr bwMode="auto">
                    <a:xfrm>
                      <a:off x="0" y="0"/>
                      <a:ext cx="5154284" cy="3255946"/>
                    </a:xfrm>
                    <a:prstGeom prst="rect">
                      <a:avLst/>
                    </a:prstGeom>
                    <a:noFill/>
                    <a:ln>
                      <a:noFill/>
                    </a:ln>
                    <a:extLst>
                      <a:ext uri="{53640926-AAD7-44D8-BBD7-CCE9431645EC}">
                        <a14:shadowObscured xmlns:a14="http://schemas.microsoft.com/office/drawing/2010/main"/>
                      </a:ext>
                    </a:extLst>
                  </pic:spPr>
                </pic:pic>
              </a:graphicData>
            </a:graphic>
          </wp:inline>
        </w:drawing>
      </w:r>
    </w:p>
    <w:p w14:paraId="7B382CB3" w14:textId="6CB9DD07" w:rsidR="007E1CE0" w:rsidRDefault="007E1CE0" w:rsidP="007E1CE0">
      <w:pPr>
        <w:spacing w:line="360" w:lineRule="auto"/>
        <w:ind w:left="709"/>
        <w:rPr>
          <w:sz w:val="20"/>
          <w:szCs w:val="20"/>
        </w:rPr>
      </w:pPr>
      <w:r w:rsidRPr="00906252">
        <w:rPr>
          <w:b/>
          <w:sz w:val="14"/>
          <w:szCs w:val="22"/>
        </w:rPr>
        <w:t>* Cifra Estimada al Cierre de 202</w:t>
      </w:r>
      <w:r>
        <w:rPr>
          <w:b/>
          <w:sz w:val="14"/>
          <w:szCs w:val="22"/>
        </w:rPr>
        <w:t>5</w:t>
      </w:r>
      <w:r w:rsidR="008779BD">
        <w:rPr>
          <w:b/>
          <w:sz w:val="14"/>
          <w:szCs w:val="22"/>
        </w:rPr>
        <w:t>.</w:t>
      </w:r>
    </w:p>
    <w:p w14:paraId="50B278F1" w14:textId="77777777" w:rsidR="007E1CE0" w:rsidRDefault="007E1CE0" w:rsidP="000F5B29">
      <w:pPr>
        <w:spacing w:line="360" w:lineRule="auto"/>
        <w:ind w:left="-11"/>
        <w:jc w:val="both"/>
        <w:rPr>
          <w:sz w:val="20"/>
          <w:szCs w:val="20"/>
        </w:rPr>
      </w:pPr>
    </w:p>
    <w:p w14:paraId="0DB1EF5C" w14:textId="1A504197" w:rsidR="000F5B29" w:rsidRPr="00A27D68" w:rsidRDefault="000F5B29" w:rsidP="000F5B29">
      <w:pPr>
        <w:spacing w:line="360" w:lineRule="auto"/>
        <w:ind w:left="-11"/>
        <w:jc w:val="both"/>
        <w:rPr>
          <w:sz w:val="20"/>
          <w:szCs w:val="20"/>
        </w:rPr>
      </w:pPr>
      <w:r w:rsidRPr="00A27D68">
        <w:rPr>
          <w:sz w:val="20"/>
          <w:szCs w:val="20"/>
        </w:rPr>
        <w:t>La Iniciativa de Ley de Ingresos del Estado de Tlaxcala, para el Ejercicio Fiscal 202</w:t>
      </w:r>
      <w:r>
        <w:rPr>
          <w:sz w:val="20"/>
          <w:szCs w:val="20"/>
        </w:rPr>
        <w:t>6</w:t>
      </w:r>
      <w:r w:rsidRPr="00A27D68">
        <w:rPr>
          <w:sz w:val="20"/>
          <w:szCs w:val="20"/>
        </w:rPr>
        <w:t>, considera un pronóstico de ingresos prudente, al tomar como referencia el comportamiento de las finanzas estatales y los posibles riesgos que pudieran modificar las metas planteadas, así como las medidas para contener dichos riesgos; es por ello que esta administración, en las consideraciones que sustentan la Iniciativa, da cumplimiento a las disposiciones en materia de contabilidad gubernamental, coordinación fiscal, disciplina financiera, fortalecimiento a la fiscalización, responsabilidad hacendaria, transparencia y rendición de cuentas, tomando en consideración las Disposiciones contenidas en el artículo 42, fracción I, de la Ley Federal de Presupuesto y Responsabilidad Hacendaria (Pre-Criterios 202</w:t>
      </w:r>
      <w:r>
        <w:rPr>
          <w:sz w:val="20"/>
          <w:szCs w:val="20"/>
        </w:rPr>
        <w:t>6</w:t>
      </w:r>
      <w:r w:rsidRPr="00A27D68">
        <w:rPr>
          <w:sz w:val="20"/>
          <w:szCs w:val="20"/>
        </w:rPr>
        <w:t>) y en los Criterios Generales de Política Económica para la Iniciativa de Ley de Ingresos y el Proyecto de Presupuesto de Egresos de la Federación correspondientes al Ejercicio Fiscal 202</w:t>
      </w:r>
      <w:r>
        <w:rPr>
          <w:sz w:val="20"/>
          <w:szCs w:val="20"/>
        </w:rPr>
        <w:t>6</w:t>
      </w:r>
      <w:r w:rsidRPr="00A27D68">
        <w:rPr>
          <w:sz w:val="20"/>
          <w:szCs w:val="20"/>
        </w:rPr>
        <w:t xml:space="preserve"> y del Código Financiero para el Estado de Tlaxcala y sus Municipios.</w:t>
      </w:r>
    </w:p>
    <w:p w14:paraId="7E384D6C" w14:textId="77777777" w:rsidR="000F5B29" w:rsidRPr="00A27D68" w:rsidRDefault="000F5B29" w:rsidP="000F5B29">
      <w:pPr>
        <w:spacing w:line="360" w:lineRule="auto"/>
        <w:ind w:left="-11"/>
        <w:jc w:val="both"/>
        <w:rPr>
          <w:sz w:val="20"/>
          <w:szCs w:val="20"/>
        </w:rPr>
      </w:pPr>
    </w:p>
    <w:p w14:paraId="370FCB90" w14:textId="50FF207E" w:rsidR="000F5B29" w:rsidRPr="00CE2445" w:rsidRDefault="000F5B29" w:rsidP="000F5B29">
      <w:pPr>
        <w:spacing w:line="360" w:lineRule="auto"/>
        <w:jc w:val="both"/>
        <w:rPr>
          <w:sz w:val="20"/>
          <w:szCs w:val="20"/>
        </w:rPr>
      </w:pPr>
      <w:bookmarkStart w:id="0" w:name="_Hlk179821418"/>
      <w:bookmarkStart w:id="1" w:name="_Hlk182993965"/>
      <w:r w:rsidRPr="001D1905">
        <w:rPr>
          <w:sz w:val="20"/>
          <w:szCs w:val="20"/>
        </w:rPr>
        <w:t>Por lo antes expuesto y dando cumplimiento a lo establecido en la Constitución Política del Estado Libre y Soberano de Tlaxcala, la Iniciativa de Ley de Ingresos del Estado de Tlaxcala, para el Ejercicio Fiscal 202</w:t>
      </w:r>
      <w:r>
        <w:rPr>
          <w:sz w:val="20"/>
          <w:szCs w:val="20"/>
        </w:rPr>
        <w:t>6</w:t>
      </w:r>
      <w:r w:rsidRPr="001D1905">
        <w:t xml:space="preserve">; </w:t>
      </w:r>
      <w:r w:rsidRPr="001D1905">
        <w:rPr>
          <w:sz w:val="20"/>
          <w:szCs w:val="20"/>
        </w:rPr>
        <w:t xml:space="preserve">prevé un monto total de ingresos por </w:t>
      </w:r>
      <w:r w:rsidRPr="005536A1">
        <w:rPr>
          <w:b/>
          <w:bCs/>
          <w:sz w:val="20"/>
          <w:szCs w:val="20"/>
        </w:rPr>
        <w:t>$</w:t>
      </w:r>
      <w:r>
        <w:rPr>
          <w:b/>
          <w:bCs/>
          <w:sz w:val="20"/>
          <w:szCs w:val="20"/>
        </w:rPr>
        <w:t>30,086,079,028</w:t>
      </w:r>
      <w:r w:rsidRPr="005536A1">
        <w:rPr>
          <w:b/>
          <w:bCs/>
          <w:sz w:val="20"/>
          <w:szCs w:val="20"/>
        </w:rPr>
        <w:t>.00 (</w:t>
      </w:r>
      <w:r>
        <w:rPr>
          <w:b/>
          <w:bCs/>
          <w:sz w:val="20"/>
          <w:szCs w:val="20"/>
        </w:rPr>
        <w:t>Treinta mil ochenta y seis millones setenta y nueve mil veintiocho</w:t>
      </w:r>
      <w:r w:rsidRPr="005536A1">
        <w:rPr>
          <w:b/>
          <w:bCs/>
          <w:sz w:val="20"/>
          <w:szCs w:val="20"/>
        </w:rPr>
        <w:t xml:space="preserve"> </w:t>
      </w:r>
      <w:r>
        <w:rPr>
          <w:b/>
          <w:bCs/>
          <w:sz w:val="20"/>
          <w:szCs w:val="20"/>
        </w:rPr>
        <w:t xml:space="preserve">Pesos </w:t>
      </w:r>
      <w:r w:rsidRPr="005536A1">
        <w:rPr>
          <w:b/>
          <w:bCs/>
          <w:sz w:val="20"/>
          <w:szCs w:val="20"/>
        </w:rPr>
        <w:t>00/100 M.N.)</w:t>
      </w:r>
      <w:bookmarkEnd w:id="0"/>
      <w:r w:rsidRPr="005536A1">
        <w:rPr>
          <w:b/>
          <w:bCs/>
          <w:sz w:val="20"/>
          <w:szCs w:val="20"/>
        </w:rPr>
        <w:t>.</w:t>
      </w:r>
      <w:bookmarkEnd w:id="1"/>
    </w:p>
    <w:p w14:paraId="0ED8840D" w14:textId="77777777" w:rsidR="00C847DD" w:rsidRDefault="00C847DD" w:rsidP="00CE2445">
      <w:pPr>
        <w:spacing w:line="360" w:lineRule="auto"/>
        <w:jc w:val="both"/>
        <w:rPr>
          <w:sz w:val="20"/>
          <w:szCs w:val="20"/>
        </w:rPr>
      </w:pPr>
    </w:p>
    <w:p w14:paraId="62482C17" w14:textId="77777777" w:rsidR="00F34DCB" w:rsidRDefault="00F34DCB" w:rsidP="00CE2445">
      <w:pPr>
        <w:spacing w:line="360" w:lineRule="auto"/>
        <w:jc w:val="both"/>
        <w:rPr>
          <w:sz w:val="20"/>
          <w:szCs w:val="20"/>
        </w:rPr>
      </w:pPr>
    </w:p>
    <w:p w14:paraId="3F22E866" w14:textId="753262F6" w:rsidR="00E030C7" w:rsidRPr="000F5B29" w:rsidRDefault="00E030C7" w:rsidP="004C246C">
      <w:pPr>
        <w:pStyle w:val="Prrafodelista"/>
        <w:numPr>
          <w:ilvl w:val="0"/>
          <w:numId w:val="3"/>
        </w:numPr>
        <w:spacing w:line="360" w:lineRule="auto"/>
        <w:ind w:left="426" w:hanging="437"/>
        <w:contextualSpacing/>
        <w:rPr>
          <w:b/>
          <w:sz w:val="20"/>
          <w:szCs w:val="20"/>
        </w:rPr>
      </w:pPr>
      <w:r w:rsidRPr="000F5B29">
        <w:rPr>
          <w:b/>
          <w:sz w:val="20"/>
          <w:szCs w:val="20"/>
        </w:rPr>
        <w:t>EN MATERIA DE EGRESOS</w:t>
      </w:r>
    </w:p>
    <w:p w14:paraId="393A55B1" w14:textId="77777777" w:rsidR="00E030C7" w:rsidRPr="00F34DCB" w:rsidRDefault="00E030C7" w:rsidP="004C246C">
      <w:pPr>
        <w:spacing w:line="360" w:lineRule="auto"/>
        <w:jc w:val="both"/>
        <w:rPr>
          <w:rFonts w:eastAsia="Calibri"/>
          <w:sz w:val="20"/>
          <w:szCs w:val="20"/>
        </w:rPr>
      </w:pPr>
    </w:p>
    <w:p w14:paraId="0DF62977" w14:textId="77777777" w:rsidR="00E030C7" w:rsidRPr="000F5B29" w:rsidRDefault="00E030C7" w:rsidP="004C246C">
      <w:pPr>
        <w:spacing w:line="360" w:lineRule="auto"/>
        <w:jc w:val="both"/>
        <w:rPr>
          <w:rFonts w:eastAsia="Calibri"/>
          <w:sz w:val="20"/>
          <w:szCs w:val="20"/>
          <w:lang w:val="es-MX"/>
        </w:rPr>
      </w:pPr>
      <w:r w:rsidRPr="000F5B29">
        <w:rPr>
          <w:rFonts w:eastAsia="Calibri"/>
          <w:sz w:val="20"/>
          <w:szCs w:val="20"/>
          <w:lang w:val="es-MX"/>
        </w:rPr>
        <w:t>El Paquete Económico del Estado de Tlaxcala para el Ejercicio Fiscal 2026 se ha diseñado con una orientación clara hacia los principios de austeridad republicana, disciplina financiera, eficiencia en el gasto y combate a la corrupción, los cuales constituyen pilares de la administración pública estatal. Estos valores fortalecen los compromisos de gobierno y respaldan la ejecución de políticas públicas integrales que promueven el desarrollo económico, el bienestar social, la educación, la cultura, la salud y la seguridad, en beneficio de todas las familias tlaxcaltecas.</w:t>
      </w:r>
    </w:p>
    <w:p w14:paraId="37A17C9E" w14:textId="77777777" w:rsidR="00E030C7" w:rsidRPr="000F5B29" w:rsidRDefault="00E030C7" w:rsidP="004C246C">
      <w:pPr>
        <w:spacing w:line="360" w:lineRule="auto"/>
        <w:jc w:val="both"/>
        <w:rPr>
          <w:rFonts w:eastAsia="Calibri"/>
          <w:sz w:val="20"/>
          <w:szCs w:val="20"/>
          <w:lang w:val="es-MX"/>
        </w:rPr>
      </w:pPr>
    </w:p>
    <w:p w14:paraId="493690B1" w14:textId="77777777" w:rsidR="00E030C7" w:rsidRPr="000F5B29" w:rsidRDefault="00E030C7" w:rsidP="004C246C">
      <w:pPr>
        <w:spacing w:line="360" w:lineRule="auto"/>
        <w:jc w:val="both"/>
        <w:rPr>
          <w:rFonts w:eastAsia="Calibri"/>
          <w:sz w:val="20"/>
          <w:szCs w:val="20"/>
          <w:lang w:val="es-MX"/>
        </w:rPr>
      </w:pPr>
      <w:r w:rsidRPr="000F5B29">
        <w:rPr>
          <w:rFonts w:eastAsia="Calibri"/>
          <w:sz w:val="20"/>
          <w:szCs w:val="20"/>
          <w:lang w:val="es-MX"/>
        </w:rPr>
        <w:t>En este contexto, el presupuesto estatal 2026 se formula bajo un marco de balance presupuestario y sostenibilidad fiscal, en coherencia con los Criterios Generales de Política Económica Federales 2026. La estrategia financiera busca optimizar la recaudación local, mejorar la eficiencia del gasto y fortalecer la gestión de los recursos federales mediante una coordinación estrecha con la Federación y los municipios, garantizando el uso transparente y eficiente de los fondos públicos.</w:t>
      </w:r>
    </w:p>
    <w:p w14:paraId="4D59A13B" w14:textId="77777777" w:rsidR="00E030C7" w:rsidRPr="000F5B29" w:rsidRDefault="00E030C7" w:rsidP="004C246C">
      <w:pPr>
        <w:spacing w:line="360" w:lineRule="auto"/>
        <w:jc w:val="both"/>
        <w:rPr>
          <w:rFonts w:eastAsia="Calibri"/>
          <w:sz w:val="20"/>
          <w:szCs w:val="20"/>
          <w:lang w:val="es-MX"/>
        </w:rPr>
      </w:pPr>
    </w:p>
    <w:p w14:paraId="028B207D" w14:textId="4E784AF5" w:rsidR="00E030C7" w:rsidRPr="000F5B29" w:rsidRDefault="00E030C7" w:rsidP="004C246C">
      <w:pPr>
        <w:spacing w:line="360" w:lineRule="auto"/>
        <w:jc w:val="both"/>
        <w:rPr>
          <w:rFonts w:eastAsia="Calibri"/>
          <w:sz w:val="20"/>
          <w:szCs w:val="20"/>
          <w:lang w:val="es-MX"/>
        </w:rPr>
      </w:pPr>
      <w:r w:rsidRPr="000F5B29">
        <w:rPr>
          <w:rFonts w:eastAsia="Calibri"/>
          <w:sz w:val="20"/>
          <w:szCs w:val="20"/>
          <w:lang w:val="es-MX"/>
        </w:rPr>
        <w:t>La política de egresos para 2026</w:t>
      </w:r>
      <w:r w:rsidR="005E4A3B">
        <w:rPr>
          <w:rFonts w:eastAsia="Calibri"/>
          <w:sz w:val="20"/>
          <w:szCs w:val="20"/>
          <w:lang w:val="es-MX"/>
        </w:rPr>
        <w:t>,</w:t>
      </w:r>
      <w:r w:rsidRPr="000F5B29">
        <w:rPr>
          <w:rFonts w:eastAsia="Calibri"/>
          <w:sz w:val="20"/>
          <w:szCs w:val="20"/>
          <w:lang w:val="es-MX"/>
        </w:rPr>
        <w:t xml:space="preserve"> tiene como prioridad mejorar la calidad de vida de la población tlaxcalteca y asegurar el acceso equitativo a los servicios públicos. Para ello, se impulsa un enfoque integral que atiende las causas estructurales de la desigualdad, fomenta la seguridad ciudadana y fortalece la cohesión social a través de la participación comunitaria. Este esfuerzo conjunto busca consolidar un entorno de paz, justicia y desarrollo inclusivo, en el que el crecimiento económico y la sostenibilidad social avancen de manera paralela y equilibrada.</w:t>
      </w:r>
    </w:p>
    <w:p w14:paraId="2E6A1CE6" w14:textId="77777777" w:rsidR="00E030C7" w:rsidRPr="000F5B29" w:rsidRDefault="00E030C7" w:rsidP="004C246C">
      <w:pPr>
        <w:spacing w:line="360" w:lineRule="auto"/>
        <w:jc w:val="both"/>
        <w:rPr>
          <w:rFonts w:eastAsia="Calibri"/>
          <w:sz w:val="20"/>
          <w:szCs w:val="20"/>
        </w:rPr>
      </w:pPr>
    </w:p>
    <w:p w14:paraId="37E373F5" w14:textId="77777777" w:rsidR="00E030C7" w:rsidRPr="000F5B29" w:rsidRDefault="00E030C7" w:rsidP="004C246C">
      <w:pPr>
        <w:spacing w:line="360" w:lineRule="auto"/>
        <w:jc w:val="both"/>
        <w:rPr>
          <w:rFonts w:eastAsia="Calibri"/>
          <w:sz w:val="20"/>
          <w:szCs w:val="20"/>
        </w:rPr>
      </w:pPr>
      <w:r w:rsidRPr="000F5B29">
        <w:rPr>
          <w:rFonts w:eastAsia="Calibri"/>
          <w:sz w:val="20"/>
          <w:szCs w:val="20"/>
        </w:rPr>
        <w:t>En concordancia con las estrategias del Gobierno Federal y los principios de la Cuarta Transformación, el Estado de Tlaxcala impulsa una política económica y social orientada a reducir las desigualdades estructurales y garantizar el acceso equitativo a las oportunidades de desarrollo. La política de egresos 2026 se sustenta en un enfoque inclusivo, humanista y sostenible, que promueve la transformación desde la unidad y la participación ciudadana. Este enfoque busca combatir la pobreza salarial, fomentar la creación de empleos formales y fortalecer la modernización de los sectores productivos, elevando la productividad, competitividad e innovación como ejes del crecimiento económico y el bienestar.</w:t>
      </w:r>
    </w:p>
    <w:p w14:paraId="2BE444AA" w14:textId="77777777" w:rsidR="00E030C7" w:rsidRPr="000F5B29" w:rsidRDefault="00E030C7" w:rsidP="004C246C">
      <w:pPr>
        <w:spacing w:line="360" w:lineRule="auto"/>
        <w:jc w:val="both"/>
        <w:rPr>
          <w:rFonts w:eastAsia="Calibri"/>
          <w:sz w:val="20"/>
          <w:szCs w:val="20"/>
        </w:rPr>
      </w:pPr>
    </w:p>
    <w:p w14:paraId="6F2AEC3F" w14:textId="77777777" w:rsidR="00E030C7" w:rsidRPr="000F5B29" w:rsidRDefault="00E030C7" w:rsidP="004C246C">
      <w:pPr>
        <w:spacing w:line="360" w:lineRule="auto"/>
        <w:jc w:val="both"/>
        <w:rPr>
          <w:rFonts w:eastAsia="Calibri"/>
          <w:sz w:val="20"/>
          <w:szCs w:val="20"/>
        </w:rPr>
      </w:pPr>
      <w:r w:rsidRPr="000F5B29">
        <w:rPr>
          <w:rFonts w:eastAsia="Calibri"/>
          <w:sz w:val="20"/>
          <w:szCs w:val="20"/>
        </w:rPr>
        <w:t xml:space="preserve">La administración estatal reafirma su compromiso con la construcción de un gobierno al servicio del pueblo, capaz de dirigir una transformación profunda mediante la inversión en áreas prioritarias y estratégicas que generen beneficios tangibles para la población. Este esfuerzo se orienta a transformar </w:t>
      </w:r>
      <w:r w:rsidRPr="000F5B29">
        <w:rPr>
          <w:rFonts w:eastAsia="Calibri"/>
          <w:sz w:val="20"/>
          <w:szCs w:val="20"/>
        </w:rPr>
        <w:lastRenderedPageBreak/>
        <w:t>las estructuras económicas, sociales, culturales e institucionales que perpetúan la desigualdad, en mecanismos de inclusión, justicia y equidad, garantizando la participación plena de mujeres y hombres en el desarrollo de la entidad.</w:t>
      </w:r>
    </w:p>
    <w:p w14:paraId="5CB61975" w14:textId="77777777" w:rsidR="00E030C7" w:rsidRPr="000F5B29" w:rsidRDefault="00E030C7" w:rsidP="004C246C">
      <w:pPr>
        <w:spacing w:line="360" w:lineRule="auto"/>
        <w:jc w:val="both"/>
        <w:rPr>
          <w:rFonts w:eastAsia="Calibri"/>
          <w:sz w:val="20"/>
          <w:szCs w:val="20"/>
        </w:rPr>
      </w:pPr>
    </w:p>
    <w:p w14:paraId="50FB7EFC" w14:textId="5927E317" w:rsidR="00E030C7" w:rsidRPr="000F5B29" w:rsidRDefault="00E030C7" w:rsidP="004C246C">
      <w:pPr>
        <w:spacing w:line="360" w:lineRule="auto"/>
        <w:jc w:val="both"/>
        <w:rPr>
          <w:rFonts w:eastAsia="Calibri"/>
          <w:sz w:val="20"/>
          <w:szCs w:val="20"/>
          <w:lang w:val="es-MX"/>
        </w:rPr>
      </w:pPr>
      <w:r w:rsidRPr="000F5B29">
        <w:rPr>
          <w:rFonts w:eastAsia="Calibri"/>
          <w:sz w:val="20"/>
          <w:szCs w:val="20"/>
        </w:rPr>
        <w:t>A través de programas sociales con enfoque de resultados, dirigidos a los grupos históricamente vulnerables</w:t>
      </w:r>
      <w:r w:rsidR="004404EB">
        <w:rPr>
          <w:rFonts w:eastAsia="Calibri"/>
          <w:sz w:val="20"/>
          <w:szCs w:val="20"/>
        </w:rPr>
        <w:t>;</w:t>
      </w:r>
      <w:r w:rsidRPr="000F5B29">
        <w:rPr>
          <w:rFonts w:eastAsia="Calibri"/>
          <w:sz w:val="20"/>
          <w:szCs w:val="20"/>
        </w:rPr>
        <w:t xml:space="preserve"> mujeres, personas con discapacidad, adultos mayores, jóvenes y pueblos originarios, se busca consolidar una política de bienestar e inclusión social efectiva y medible. De manera complementaria, se fortalece la seguridad pública mediante la profesionalización, equipamiento y capacitación de los cuerpos policiales, asegurando condiciones de paz, justicia y convivencia ciudadana que sustenten un entorno propicio para el desarrollo integral del Estado.</w:t>
      </w:r>
    </w:p>
    <w:p w14:paraId="2FA273A0" w14:textId="77777777" w:rsidR="004404EB" w:rsidRDefault="004404EB" w:rsidP="004C246C">
      <w:pPr>
        <w:spacing w:line="360" w:lineRule="auto"/>
        <w:jc w:val="both"/>
        <w:rPr>
          <w:rFonts w:eastAsia="Calibri"/>
          <w:sz w:val="20"/>
          <w:szCs w:val="20"/>
        </w:rPr>
      </w:pPr>
    </w:p>
    <w:p w14:paraId="5B436F73" w14:textId="6A3FE0DD" w:rsidR="00E030C7" w:rsidRPr="000F5B29" w:rsidRDefault="00E030C7" w:rsidP="004C246C">
      <w:pPr>
        <w:spacing w:line="360" w:lineRule="auto"/>
        <w:jc w:val="both"/>
        <w:rPr>
          <w:rFonts w:eastAsia="Calibri"/>
          <w:sz w:val="20"/>
          <w:szCs w:val="20"/>
        </w:rPr>
      </w:pPr>
      <w:r w:rsidRPr="000F5B29">
        <w:rPr>
          <w:rFonts w:eastAsia="Calibri"/>
          <w:sz w:val="20"/>
          <w:szCs w:val="20"/>
        </w:rPr>
        <w:t>En el entorno económico y financiero de 2026, el Gobierno Federal mantiene una política fiscal responsable y socialmente incluyente, orientada a mitigar los efectos de la desaceleración global, los riesgos geopolíticos y las presiones inflacionarias. La estrategia nacional se estructura en tres pilares fundamentales:</w:t>
      </w:r>
    </w:p>
    <w:p w14:paraId="451769D1" w14:textId="77777777" w:rsidR="00E030C7" w:rsidRPr="000F5B29" w:rsidRDefault="00E030C7" w:rsidP="004C246C">
      <w:pPr>
        <w:spacing w:line="360" w:lineRule="auto"/>
        <w:jc w:val="both"/>
        <w:rPr>
          <w:rFonts w:eastAsia="Calibri"/>
          <w:sz w:val="20"/>
          <w:szCs w:val="20"/>
        </w:rPr>
      </w:pPr>
    </w:p>
    <w:p w14:paraId="2E434501" w14:textId="77777777" w:rsidR="00E030C7" w:rsidRPr="004404EB" w:rsidRDefault="00E030C7" w:rsidP="004404EB">
      <w:pPr>
        <w:pStyle w:val="Prrafodelista"/>
        <w:numPr>
          <w:ilvl w:val="0"/>
          <w:numId w:val="24"/>
        </w:numPr>
        <w:spacing w:line="360" w:lineRule="auto"/>
        <w:jc w:val="both"/>
        <w:rPr>
          <w:rFonts w:eastAsia="Calibri"/>
          <w:sz w:val="20"/>
          <w:szCs w:val="20"/>
        </w:rPr>
      </w:pPr>
      <w:r w:rsidRPr="004404EB">
        <w:rPr>
          <w:rFonts w:eastAsia="Calibri"/>
          <w:sz w:val="20"/>
          <w:szCs w:val="20"/>
        </w:rPr>
        <w:t>Fortalecimiento de los apoyos sociales y programas de bienestar, para garantizar la protección del ingreso real de los hogares y la reducción de la pobreza.</w:t>
      </w:r>
    </w:p>
    <w:p w14:paraId="65BAF52D" w14:textId="77777777" w:rsidR="00E030C7" w:rsidRPr="000F5B29" w:rsidRDefault="00E030C7" w:rsidP="004C246C">
      <w:pPr>
        <w:spacing w:line="360" w:lineRule="auto"/>
        <w:jc w:val="both"/>
        <w:rPr>
          <w:rFonts w:eastAsia="Calibri"/>
          <w:sz w:val="20"/>
          <w:szCs w:val="20"/>
        </w:rPr>
      </w:pPr>
    </w:p>
    <w:p w14:paraId="505CB9EE" w14:textId="77777777" w:rsidR="00E030C7" w:rsidRPr="004404EB" w:rsidRDefault="00E030C7" w:rsidP="004404EB">
      <w:pPr>
        <w:pStyle w:val="Prrafodelista"/>
        <w:numPr>
          <w:ilvl w:val="0"/>
          <w:numId w:val="24"/>
        </w:numPr>
        <w:spacing w:line="360" w:lineRule="auto"/>
        <w:jc w:val="both"/>
        <w:rPr>
          <w:rFonts w:eastAsia="Calibri"/>
          <w:sz w:val="20"/>
          <w:szCs w:val="20"/>
        </w:rPr>
      </w:pPr>
      <w:r w:rsidRPr="004404EB">
        <w:rPr>
          <w:rFonts w:eastAsia="Calibri"/>
          <w:sz w:val="20"/>
          <w:szCs w:val="20"/>
        </w:rPr>
        <w:t>Estabilidad y sostenibilidad de las finanzas públicas, mediante un manejo responsable de la deuda y un gasto público con enfoque en resultados.</w:t>
      </w:r>
    </w:p>
    <w:p w14:paraId="1055BF99" w14:textId="77777777" w:rsidR="00E030C7" w:rsidRPr="000F5B29" w:rsidRDefault="00E030C7" w:rsidP="004C246C">
      <w:pPr>
        <w:spacing w:line="360" w:lineRule="auto"/>
        <w:jc w:val="both"/>
        <w:rPr>
          <w:rFonts w:eastAsia="Calibri"/>
          <w:sz w:val="20"/>
          <w:szCs w:val="20"/>
        </w:rPr>
      </w:pPr>
    </w:p>
    <w:p w14:paraId="44A405C8" w14:textId="77777777" w:rsidR="00E030C7" w:rsidRPr="004404EB" w:rsidRDefault="00E030C7" w:rsidP="004404EB">
      <w:pPr>
        <w:pStyle w:val="Prrafodelista"/>
        <w:numPr>
          <w:ilvl w:val="0"/>
          <w:numId w:val="24"/>
        </w:numPr>
        <w:spacing w:line="360" w:lineRule="auto"/>
        <w:jc w:val="both"/>
        <w:rPr>
          <w:rFonts w:eastAsia="Calibri"/>
          <w:sz w:val="20"/>
          <w:szCs w:val="20"/>
        </w:rPr>
      </w:pPr>
      <w:r w:rsidRPr="004404EB">
        <w:rPr>
          <w:rFonts w:eastAsia="Calibri"/>
          <w:sz w:val="20"/>
          <w:szCs w:val="20"/>
        </w:rPr>
        <w:t>Impulso a proyectos regionales y estratégicos de inversión, que detonen el crecimiento económico equilibrado, la infraestructura y la conectividad nacional.</w:t>
      </w:r>
    </w:p>
    <w:p w14:paraId="637EA225" w14:textId="77777777" w:rsidR="00E030C7" w:rsidRPr="000F5B29" w:rsidRDefault="00E030C7" w:rsidP="004C246C">
      <w:pPr>
        <w:spacing w:line="360" w:lineRule="auto"/>
        <w:jc w:val="both"/>
        <w:rPr>
          <w:rFonts w:eastAsia="Calibri"/>
          <w:sz w:val="20"/>
          <w:szCs w:val="20"/>
        </w:rPr>
      </w:pPr>
    </w:p>
    <w:p w14:paraId="0C1F5324" w14:textId="77777777" w:rsidR="00E030C7" w:rsidRPr="000F5B29" w:rsidRDefault="00E030C7" w:rsidP="004C246C">
      <w:pPr>
        <w:spacing w:line="360" w:lineRule="auto"/>
        <w:jc w:val="both"/>
        <w:rPr>
          <w:rFonts w:eastAsia="Calibri"/>
          <w:sz w:val="20"/>
          <w:szCs w:val="20"/>
        </w:rPr>
      </w:pPr>
      <w:r w:rsidRPr="000F5B29">
        <w:rPr>
          <w:rFonts w:eastAsia="Calibri"/>
          <w:sz w:val="20"/>
          <w:szCs w:val="20"/>
        </w:rPr>
        <w:t>En este marco, el Paquete Económico 2026 consolida su objetivo central de generar bienestar con estabilidad fiscal, promoviendo un crecimiento incluyente y sostenible. Esta estrategia se apoya en una disciplina hacendaria prudente, que prioriza la inversión en salud, educación, infraestructura y transición energética, sectores considerados esenciales para el desarrollo social y productivo del país.</w:t>
      </w:r>
    </w:p>
    <w:p w14:paraId="28C53C8F" w14:textId="77777777" w:rsidR="00E030C7" w:rsidRPr="000F5B29" w:rsidRDefault="00E030C7" w:rsidP="004C246C">
      <w:pPr>
        <w:spacing w:line="360" w:lineRule="auto"/>
        <w:jc w:val="both"/>
        <w:rPr>
          <w:rFonts w:eastAsia="Calibri"/>
          <w:sz w:val="20"/>
          <w:szCs w:val="20"/>
        </w:rPr>
      </w:pPr>
    </w:p>
    <w:p w14:paraId="31B1016F" w14:textId="13F10AF6" w:rsidR="00E030C7" w:rsidRPr="000F5B29" w:rsidRDefault="00E030C7" w:rsidP="004C246C">
      <w:pPr>
        <w:spacing w:line="360" w:lineRule="auto"/>
        <w:jc w:val="both"/>
        <w:rPr>
          <w:rFonts w:eastAsia="Calibri"/>
          <w:sz w:val="20"/>
          <w:szCs w:val="20"/>
        </w:rPr>
      </w:pPr>
      <w:r w:rsidRPr="000F5B29">
        <w:rPr>
          <w:rFonts w:eastAsia="Calibri"/>
          <w:sz w:val="20"/>
          <w:szCs w:val="20"/>
        </w:rPr>
        <w:t>Los Criterios Generales de Política Económica Federales 2026 (CGPE-2026)</w:t>
      </w:r>
      <w:r w:rsidR="008779BD">
        <w:rPr>
          <w:rFonts w:eastAsia="Calibri"/>
          <w:sz w:val="20"/>
          <w:szCs w:val="20"/>
        </w:rPr>
        <w:t>,</w:t>
      </w:r>
      <w:r w:rsidRPr="000F5B29">
        <w:rPr>
          <w:rFonts w:eastAsia="Calibri"/>
          <w:sz w:val="20"/>
          <w:szCs w:val="20"/>
        </w:rPr>
        <w:t xml:space="preserve"> incorporan una evaluación integral del desempeño de las políticas públicas implementadas en años recientes, reconociendo avances en la reducción de la pobreza y la mejora de los servicios públicos, así como la necesidad de continuar fortaleciendo la productividad y la calidad del empleo. En este contexto, la </w:t>
      </w:r>
      <w:r w:rsidRPr="000F5B29">
        <w:rPr>
          <w:rFonts w:eastAsia="Calibri"/>
          <w:sz w:val="20"/>
          <w:szCs w:val="20"/>
        </w:rPr>
        <w:lastRenderedPageBreak/>
        <w:t>política económica federal 2026</w:t>
      </w:r>
      <w:r w:rsidR="004404EB">
        <w:rPr>
          <w:rFonts w:eastAsia="Calibri"/>
          <w:sz w:val="20"/>
          <w:szCs w:val="20"/>
        </w:rPr>
        <w:t>,</w:t>
      </w:r>
      <w:r w:rsidRPr="000F5B29">
        <w:rPr>
          <w:rFonts w:eastAsia="Calibri"/>
          <w:sz w:val="20"/>
          <w:szCs w:val="20"/>
        </w:rPr>
        <w:t xml:space="preserve"> sienta las bases para una nueva etapa de transformación, donde la estabilidad macroeconómica y la justicia social se consolidan como los ejes del desarrollo nacional y de la coordinación fiscal con las entidades federativas.</w:t>
      </w:r>
    </w:p>
    <w:p w14:paraId="6E90BDBD" w14:textId="77777777" w:rsidR="00E030C7" w:rsidRPr="000F5B29" w:rsidRDefault="00E030C7" w:rsidP="004C246C">
      <w:pPr>
        <w:spacing w:line="360" w:lineRule="auto"/>
        <w:jc w:val="both"/>
        <w:rPr>
          <w:rFonts w:eastAsia="Calibri"/>
          <w:sz w:val="20"/>
          <w:szCs w:val="20"/>
          <w:lang w:val="es-MX"/>
        </w:rPr>
      </w:pPr>
    </w:p>
    <w:p w14:paraId="41CBE143" w14:textId="69AA4037" w:rsidR="00E030C7" w:rsidRPr="000F5B29" w:rsidRDefault="00E030C7" w:rsidP="004C246C">
      <w:pPr>
        <w:spacing w:line="360" w:lineRule="auto"/>
        <w:jc w:val="both"/>
        <w:rPr>
          <w:sz w:val="20"/>
          <w:szCs w:val="20"/>
        </w:rPr>
      </w:pPr>
      <w:r w:rsidRPr="000F5B29">
        <w:rPr>
          <w:sz w:val="20"/>
          <w:szCs w:val="20"/>
        </w:rPr>
        <w:t>La integración del Proyecto de Decreto de Presupuesto de Egresos del Estado de Tlaxcala</w:t>
      </w:r>
      <w:r w:rsidR="008779BD">
        <w:rPr>
          <w:sz w:val="20"/>
          <w:szCs w:val="20"/>
        </w:rPr>
        <w:t>,</w:t>
      </w:r>
      <w:r w:rsidRPr="000F5B29">
        <w:rPr>
          <w:sz w:val="20"/>
          <w:szCs w:val="20"/>
        </w:rPr>
        <w:t xml:space="preserve"> para el Ejercicio Fiscal 2026</w:t>
      </w:r>
      <w:r w:rsidR="004404EB">
        <w:rPr>
          <w:sz w:val="20"/>
          <w:szCs w:val="20"/>
        </w:rPr>
        <w:t>,</w:t>
      </w:r>
      <w:r w:rsidRPr="000F5B29">
        <w:rPr>
          <w:sz w:val="20"/>
          <w:szCs w:val="20"/>
        </w:rPr>
        <w:t xml:space="preserve"> responde al principio de equilibrio presupuestario y sostenibilidad fiscal, asegurando la correspondencia entre los ingresos estimados y los egresos autorizados. Este presupuesto se formula en congruencia con los CGPE-2026, los cuales prevén un crecimiento real del Producto Interno Bruto (PIB) nacional en un rango de 1.8</w:t>
      </w:r>
      <w:r w:rsidR="004404EB">
        <w:rPr>
          <w:sz w:val="20"/>
          <w:szCs w:val="20"/>
        </w:rPr>
        <w:t>%</w:t>
      </w:r>
      <w:r w:rsidRPr="000F5B29">
        <w:rPr>
          <w:sz w:val="20"/>
          <w:szCs w:val="20"/>
        </w:rPr>
        <w:t xml:space="preserve"> a 2.8%, y establecen un marco macroeconómico prudente, enfocado en la estabilidad, la eficiencia recaudatoria y la responsabilidad hacendaria.</w:t>
      </w:r>
    </w:p>
    <w:p w14:paraId="458DACDE" w14:textId="77777777" w:rsidR="00E030C7" w:rsidRPr="000F5B29" w:rsidRDefault="00E030C7" w:rsidP="004C246C">
      <w:pPr>
        <w:spacing w:line="360" w:lineRule="auto"/>
        <w:jc w:val="both"/>
        <w:rPr>
          <w:sz w:val="20"/>
          <w:szCs w:val="20"/>
        </w:rPr>
      </w:pPr>
    </w:p>
    <w:p w14:paraId="672D9F35" w14:textId="0113B9C6" w:rsidR="00E030C7" w:rsidRPr="000F5B29" w:rsidRDefault="00E030C7" w:rsidP="004C246C">
      <w:pPr>
        <w:spacing w:line="360" w:lineRule="auto"/>
        <w:jc w:val="both"/>
        <w:rPr>
          <w:sz w:val="20"/>
          <w:szCs w:val="20"/>
        </w:rPr>
      </w:pPr>
      <w:r w:rsidRPr="000F5B29">
        <w:rPr>
          <w:sz w:val="20"/>
          <w:szCs w:val="20"/>
        </w:rPr>
        <w:t xml:space="preserve">En cumplimiento de la Ley General de Contabilidad Gubernamental, la Ley Federal de Presupuesto y Responsabilidad Hacendaria, la Ley de Coordinación Fiscal, la Ley Federal de Transparencia y Acceso a la Información Pública, y la Ley de Disciplina Financiera de las Entidades Federativas y los Municipios, el Proyecto </w:t>
      </w:r>
      <w:r w:rsidR="000C31C1">
        <w:rPr>
          <w:sz w:val="20"/>
          <w:szCs w:val="20"/>
        </w:rPr>
        <w:t xml:space="preserve">de Decreto </w:t>
      </w:r>
      <w:r w:rsidRPr="000F5B29">
        <w:rPr>
          <w:sz w:val="20"/>
          <w:szCs w:val="20"/>
        </w:rPr>
        <w:t>de Presupuesto de Egresos</w:t>
      </w:r>
      <w:r w:rsidR="000C31C1">
        <w:rPr>
          <w:sz w:val="20"/>
          <w:szCs w:val="20"/>
        </w:rPr>
        <w:t xml:space="preserve"> del Estado de Tlaxcala, para el Ejercicio Fiscal </w:t>
      </w:r>
      <w:r w:rsidRPr="000F5B29">
        <w:rPr>
          <w:sz w:val="20"/>
          <w:szCs w:val="20"/>
        </w:rPr>
        <w:t>2026</w:t>
      </w:r>
      <w:r w:rsidR="000C31C1">
        <w:rPr>
          <w:sz w:val="20"/>
          <w:szCs w:val="20"/>
        </w:rPr>
        <w:t>,</w:t>
      </w:r>
      <w:r w:rsidRPr="000F5B29">
        <w:rPr>
          <w:sz w:val="20"/>
          <w:szCs w:val="20"/>
        </w:rPr>
        <w:t xml:space="preserve"> se diseña bajo los principios de planeación, transparencia y rendición de cuentas, aplicando el Presupuesto basado en Resultados (</w:t>
      </w:r>
      <w:proofErr w:type="spellStart"/>
      <w:r w:rsidRPr="000F5B29">
        <w:rPr>
          <w:sz w:val="20"/>
          <w:szCs w:val="20"/>
        </w:rPr>
        <w:t>PbR</w:t>
      </w:r>
      <w:proofErr w:type="spellEnd"/>
      <w:r w:rsidRPr="000F5B29">
        <w:rPr>
          <w:sz w:val="20"/>
          <w:szCs w:val="20"/>
        </w:rPr>
        <w:t>) y el Sistema de Evaluación del Desempeño (SED).</w:t>
      </w:r>
    </w:p>
    <w:p w14:paraId="5C4196EF" w14:textId="77777777" w:rsidR="00E030C7" w:rsidRPr="000F5B29" w:rsidRDefault="00E030C7" w:rsidP="004C246C">
      <w:pPr>
        <w:spacing w:line="360" w:lineRule="auto"/>
        <w:jc w:val="both"/>
        <w:rPr>
          <w:sz w:val="20"/>
          <w:szCs w:val="20"/>
        </w:rPr>
      </w:pPr>
    </w:p>
    <w:p w14:paraId="5B483121" w14:textId="77777777" w:rsidR="00E030C7" w:rsidRPr="000F5B29" w:rsidRDefault="00E030C7" w:rsidP="004C246C">
      <w:pPr>
        <w:spacing w:line="360" w:lineRule="auto"/>
        <w:jc w:val="both"/>
        <w:rPr>
          <w:sz w:val="20"/>
          <w:szCs w:val="20"/>
        </w:rPr>
      </w:pPr>
      <w:r w:rsidRPr="000F5B29">
        <w:rPr>
          <w:sz w:val="20"/>
          <w:szCs w:val="20"/>
        </w:rPr>
        <w:t>Este enfoque permite garantizar que los recursos públicos se orienten al cumplimiento de objetivos estratégicos, mediante programas y proyectos que incidan directamente en el bienestar social, la calidad de los servicios públicos y el desarrollo económico sostenible. Asimismo, se fortalece la evaluación del desempeño institucional y la eficiencia del gasto, asegurando que cada peso invertido contribuya al progreso integral de Tlaxcala y a la mejora de la gestión pública estatal.</w:t>
      </w:r>
    </w:p>
    <w:p w14:paraId="7B91A4D0" w14:textId="77777777" w:rsidR="00E030C7" w:rsidRPr="000F5B29" w:rsidRDefault="00E030C7" w:rsidP="004C246C">
      <w:pPr>
        <w:spacing w:line="360" w:lineRule="auto"/>
        <w:jc w:val="both"/>
        <w:rPr>
          <w:sz w:val="20"/>
          <w:szCs w:val="20"/>
          <w:lang w:val="es-MX"/>
        </w:rPr>
      </w:pPr>
    </w:p>
    <w:p w14:paraId="1D6CB9FF" w14:textId="7F18D422" w:rsidR="00E030C7" w:rsidRPr="000F5B29" w:rsidRDefault="00E030C7" w:rsidP="004C246C">
      <w:pPr>
        <w:spacing w:line="360" w:lineRule="auto"/>
        <w:jc w:val="both"/>
        <w:rPr>
          <w:sz w:val="20"/>
          <w:szCs w:val="20"/>
        </w:rPr>
      </w:pPr>
      <w:r w:rsidRPr="000F5B29">
        <w:rPr>
          <w:sz w:val="20"/>
          <w:szCs w:val="20"/>
        </w:rPr>
        <w:t>El Proyecto de Decreto de Presupuesto de Egresos del Estado de Tlaxcala</w:t>
      </w:r>
      <w:r w:rsidR="007E1CE0">
        <w:rPr>
          <w:sz w:val="20"/>
          <w:szCs w:val="20"/>
        </w:rPr>
        <w:t>,</w:t>
      </w:r>
      <w:r w:rsidRPr="000F5B29">
        <w:rPr>
          <w:sz w:val="20"/>
          <w:szCs w:val="20"/>
        </w:rPr>
        <w:t xml:space="preserve"> para el Ejercicio Fiscal 2026, presentado ante el Congreso del Estado, se estructura conforme a las clasificaciones administrativa, funcional, programática, económica y por objeto del gasto, así como por fuentes de financiamiento, de acuerdo con los lineamientos del Consejo Nacional de Armonización Contable (CONAC). Esta armonización contable garantiza la comparabilidad, transparencia y homogeneidad de la información presupuestal, facilitando el análisis y la rendición de cuentas.</w:t>
      </w:r>
    </w:p>
    <w:p w14:paraId="6F283DFB" w14:textId="77777777" w:rsidR="00E030C7" w:rsidRPr="000F5B29" w:rsidRDefault="00E030C7" w:rsidP="004C246C">
      <w:pPr>
        <w:spacing w:line="360" w:lineRule="auto"/>
        <w:jc w:val="both"/>
        <w:rPr>
          <w:sz w:val="20"/>
          <w:szCs w:val="20"/>
        </w:rPr>
      </w:pPr>
    </w:p>
    <w:p w14:paraId="75DEB7EC" w14:textId="1B086BF4" w:rsidR="00E030C7" w:rsidRPr="000F5B29" w:rsidRDefault="00E030C7" w:rsidP="004C246C">
      <w:pPr>
        <w:spacing w:line="360" w:lineRule="auto"/>
        <w:jc w:val="both"/>
        <w:rPr>
          <w:sz w:val="20"/>
          <w:szCs w:val="20"/>
        </w:rPr>
      </w:pPr>
      <w:r w:rsidRPr="002B0FD3">
        <w:rPr>
          <w:sz w:val="20"/>
          <w:szCs w:val="20"/>
        </w:rPr>
        <w:t>En cumplimiento de la Ley General de Contabilidad Gubernamental, la Ley Federal de Presupuesto y</w:t>
      </w:r>
      <w:r w:rsidRPr="000F5B29">
        <w:rPr>
          <w:sz w:val="20"/>
          <w:szCs w:val="20"/>
        </w:rPr>
        <w:t xml:space="preserve"> Responsabilidad Hacendaria, la Ley de Disciplina Financiera de las Entidades Federativas y los Municipios, y las disposiciones del SED, el presupuesto estatal 2026 se formula bajo el enfoque de </w:t>
      </w:r>
      <w:proofErr w:type="spellStart"/>
      <w:r w:rsidRPr="000F5B29">
        <w:rPr>
          <w:sz w:val="20"/>
          <w:szCs w:val="20"/>
        </w:rPr>
        <w:lastRenderedPageBreak/>
        <w:t>PbR</w:t>
      </w:r>
      <w:proofErr w:type="spellEnd"/>
      <w:r w:rsidRPr="000F5B29">
        <w:rPr>
          <w:sz w:val="20"/>
          <w:szCs w:val="20"/>
        </w:rPr>
        <w:t>. Este modelo permite vincular la asignación de recursos con metas e indicadores verificables, asegurando una gestión pública eficiente, transparente y orientada al logro de resultados tangibles en beneficio de la población.</w:t>
      </w:r>
    </w:p>
    <w:p w14:paraId="7C42CEBE" w14:textId="77777777" w:rsidR="00E030C7" w:rsidRPr="000F5B29" w:rsidRDefault="00E030C7" w:rsidP="004C246C">
      <w:pPr>
        <w:spacing w:line="360" w:lineRule="auto"/>
        <w:jc w:val="both"/>
        <w:rPr>
          <w:sz w:val="20"/>
          <w:szCs w:val="20"/>
        </w:rPr>
      </w:pPr>
    </w:p>
    <w:p w14:paraId="2A025286" w14:textId="6CCA9D05" w:rsidR="00E030C7" w:rsidRPr="000F5B29" w:rsidRDefault="00E030C7" w:rsidP="004C246C">
      <w:pPr>
        <w:spacing w:line="360" w:lineRule="auto"/>
        <w:jc w:val="both"/>
        <w:rPr>
          <w:sz w:val="20"/>
          <w:szCs w:val="20"/>
        </w:rPr>
      </w:pPr>
      <w:r w:rsidRPr="000F5B29">
        <w:rPr>
          <w:sz w:val="20"/>
          <w:szCs w:val="20"/>
        </w:rPr>
        <w:t>La política de gasto para 2026</w:t>
      </w:r>
      <w:r w:rsidR="000C31C1">
        <w:rPr>
          <w:sz w:val="20"/>
          <w:szCs w:val="20"/>
        </w:rPr>
        <w:t>,</w:t>
      </w:r>
      <w:r w:rsidRPr="000F5B29">
        <w:rPr>
          <w:sz w:val="20"/>
          <w:szCs w:val="20"/>
        </w:rPr>
        <w:t xml:space="preserve"> prioriza objetivos estratégicos orientados al bienestar social y al desarrollo sostenible, entre los que destacan: el fortalecimiento de la seguridad pública y la justicia, la consolidación de un sistema de salud integral y accesible, la mejora de la calidad educativa y la formación profesional, el impulso a la inversión productiva y la creación de empleos dignos, y la protección del medio ambiente, con especial atención a los recursos hídricos y forestales. De igual forma, se promueve la igualdad sustantiva de género, la inclusión de grupos vulnerables y el fortalecimiento de la identidad cultural e histórica de las comunidades tlaxcaltecas.</w:t>
      </w:r>
    </w:p>
    <w:p w14:paraId="3624B021" w14:textId="77777777" w:rsidR="00E030C7" w:rsidRPr="000F5B29" w:rsidRDefault="00E030C7" w:rsidP="004C246C">
      <w:pPr>
        <w:spacing w:line="360" w:lineRule="auto"/>
        <w:jc w:val="both"/>
        <w:rPr>
          <w:sz w:val="20"/>
          <w:szCs w:val="20"/>
        </w:rPr>
      </w:pPr>
    </w:p>
    <w:p w14:paraId="3885A679" w14:textId="77777777" w:rsidR="00E030C7" w:rsidRPr="000F5B29" w:rsidRDefault="00E030C7" w:rsidP="004C246C">
      <w:pPr>
        <w:spacing w:line="360" w:lineRule="auto"/>
        <w:jc w:val="both"/>
        <w:rPr>
          <w:sz w:val="20"/>
          <w:szCs w:val="20"/>
        </w:rPr>
      </w:pPr>
      <w:r w:rsidRPr="000F5B29">
        <w:rPr>
          <w:sz w:val="20"/>
          <w:szCs w:val="20"/>
        </w:rPr>
        <w:t>Las estrategias de la Administración Pública Estatal se sustentan en un uso racional, austero y estratégico de los recursos públicos, fortaleciendo la eficiencia operativa en las dependencias y entidades del Ejecutivo. Se impulsa además la transformación digital de la gestión presupuestaria y la evaluación continua del desempeño institucional, garantizando que cada peso invertido genere valor público, bienestar social y desarrollo equitativo para las y los habitantes de Tlaxcala.</w:t>
      </w:r>
    </w:p>
    <w:p w14:paraId="7A504A8B" w14:textId="77777777" w:rsidR="00E030C7" w:rsidRPr="000F5B29" w:rsidRDefault="00E030C7" w:rsidP="004C246C">
      <w:pPr>
        <w:spacing w:line="360" w:lineRule="auto"/>
        <w:jc w:val="both"/>
        <w:rPr>
          <w:color w:val="FF0000"/>
          <w:sz w:val="20"/>
          <w:szCs w:val="20"/>
          <w:lang w:val="es-MX"/>
        </w:rPr>
      </w:pPr>
    </w:p>
    <w:p w14:paraId="7548A77C" w14:textId="34480B3D" w:rsidR="00E030C7" w:rsidRPr="000D547A" w:rsidRDefault="000D547A" w:rsidP="004C246C">
      <w:pPr>
        <w:spacing w:line="360" w:lineRule="auto"/>
        <w:contextualSpacing/>
        <w:rPr>
          <w:b/>
          <w:sz w:val="20"/>
          <w:szCs w:val="20"/>
        </w:rPr>
      </w:pPr>
      <w:r w:rsidRPr="000D547A">
        <w:rPr>
          <w:b/>
          <w:sz w:val="20"/>
          <w:szCs w:val="20"/>
        </w:rPr>
        <w:t xml:space="preserve">III.1. </w:t>
      </w:r>
      <w:r w:rsidR="00E030C7" w:rsidRPr="000D547A">
        <w:rPr>
          <w:b/>
          <w:sz w:val="20"/>
          <w:szCs w:val="20"/>
        </w:rPr>
        <w:t>ENTORNO INTERNACIONAL</w:t>
      </w:r>
    </w:p>
    <w:p w14:paraId="7F4E3CF3" w14:textId="77777777" w:rsidR="00E030C7" w:rsidRPr="000F5B29" w:rsidRDefault="00E030C7" w:rsidP="004C246C">
      <w:pPr>
        <w:spacing w:line="360" w:lineRule="auto"/>
        <w:jc w:val="both"/>
        <w:rPr>
          <w:iCs/>
          <w:color w:val="FF0000"/>
          <w:sz w:val="20"/>
          <w:szCs w:val="20"/>
        </w:rPr>
      </w:pPr>
    </w:p>
    <w:p w14:paraId="77852EAF" w14:textId="77AFE403" w:rsidR="00E030C7" w:rsidRPr="000F5B29" w:rsidRDefault="00E030C7" w:rsidP="004C246C">
      <w:pPr>
        <w:spacing w:line="360" w:lineRule="auto"/>
        <w:jc w:val="both"/>
        <w:rPr>
          <w:iCs/>
          <w:color w:val="000000" w:themeColor="text1"/>
          <w:sz w:val="20"/>
          <w:szCs w:val="20"/>
        </w:rPr>
      </w:pPr>
      <w:r w:rsidRPr="000F5B29">
        <w:rPr>
          <w:iCs/>
          <w:color w:val="000000" w:themeColor="text1"/>
          <w:sz w:val="20"/>
          <w:szCs w:val="20"/>
        </w:rPr>
        <w:t>Durante 2025, la economía mundial ha mostrado una resiliencia notable en medio del proceso de desinflación global y la transición hacia políticas monetarias menos restrictivas. Según el Fondo Monetario Internacional (FMI) en su informe Perspectivas de la Economía Mundial (octubre 2025), se prevé que el Producto Interno Bruto (PIB) global crezca 3.2% en 2025 y 3.1% en 2026, lo que confirma un escenario de crecimiento moderado pero sostenido, pese a las tensiones geopolíticas y a la desaceleración de algunas economías clave.</w:t>
      </w:r>
    </w:p>
    <w:p w14:paraId="4B5CEBE1" w14:textId="77777777" w:rsidR="00E030C7" w:rsidRPr="000F5B29" w:rsidRDefault="00E030C7" w:rsidP="004C246C">
      <w:pPr>
        <w:spacing w:line="360" w:lineRule="auto"/>
        <w:jc w:val="both"/>
        <w:rPr>
          <w:iCs/>
          <w:color w:val="000000" w:themeColor="text1"/>
          <w:sz w:val="20"/>
          <w:szCs w:val="20"/>
        </w:rPr>
      </w:pPr>
    </w:p>
    <w:p w14:paraId="46D1FDC4" w14:textId="5ECB565F" w:rsidR="00E030C7" w:rsidRPr="000F5B29" w:rsidRDefault="00E030C7" w:rsidP="004C246C">
      <w:pPr>
        <w:spacing w:line="360" w:lineRule="auto"/>
        <w:jc w:val="both"/>
        <w:rPr>
          <w:iCs/>
          <w:color w:val="000000" w:themeColor="text1"/>
          <w:sz w:val="20"/>
          <w:szCs w:val="20"/>
        </w:rPr>
      </w:pPr>
      <w:r w:rsidRPr="000F5B29">
        <w:rPr>
          <w:iCs/>
          <w:color w:val="000000" w:themeColor="text1"/>
          <w:sz w:val="20"/>
          <w:szCs w:val="20"/>
        </w:rPr>
        <w:t>La inflación internacional continúa su tendencia descendente y se estima en torno al 3.5% al cierre de 2025, ligeramente por debajo del promedio de las dos décadas previas a la pandemia. Este comportamiento refleja la efectividad de las políticas monetarias restrictivas aplicadas desde 2022 y la normalización de los precios de los energéticos y alimentos. La reducción paulatina de las tasas de interés en las principales economías</w:t>
      </w:r>
      <w:r w:rsidR="002B0FD3">
        <w:rPr>
          <w:iCs/>
          <w:color w:val="000000" w:themeColor="text1"/>
          <w:sz w:val="20"/>
          <w:szCs w:val="20"/>
        </w:rPr>
        <w:t>,</w:t>
      </w:r>
      <w:r w:rsidRPr="000F5B29">
        <w:rPr>
          <w:iCs/>
          <w:color w:val="000000" w:themeColor="text1"/>
          <w:sz w:val="20"/>
          <w:szCs w:val="20"/>
        </w:rPr>
        <w:t xml:space="preserve"> ha relajado las condiciones financieras globales y ha favorecido una revaluación de las monedas emergentes frente al dólar estadounidense, reduciendo la inflación importada y facilitando un proceso de desinflación más ordenado en los mercados emergentes.</w:t>
      </w:r>
    </w:p>
    <w:p w14:paraId="221C81D6" w14:textId="77777777" w:rsidR="00E030C7" w:rsidRPr="000F5B29" w:rsidRDefault="00E030C7" w:rsidP="004C246C">
      <w:pPr>
        <w:spacing w:line="360" w:lineRule="auto"/>
        <w:jc w:val="both"/>
        <w:rPr>
          <w:iCs/>
          <w:color w:val="000000" w:themeColor="text1"/>
          <w:sz w:val="20"/>
          <w:szCs w:val="20"/>
          <w:lang w:val="es-MX"/>
        </w:rPr>
      </w:pPr>
      <w:r w:rsidRPr="000F5B29">
        <w:rPr>
          <w:iCs/>
          <w:color w:val="000000" w:themeColor="text1"/>
          <w:sz w:val="20"/>
          <w:szCs w:val="20"/>
        </w:rPr>
        <w:lastRenderedPageBreak/>
        <w:t>Este entorno de estabilidad monetaria, aunque frágil, sienta las bases para una mayor confianza en los mercados internacionales, fortaleciendo la inversión y el comercio global, al tiempo que mantiene la prudencia fiscal como condición esencial para la estabilidad macroeconómica de mediano plazo.</w:t>
      </w:r>
    </w:p>
    <w:p w14:paraId="3AADB22E" w14:textId="77777777" w:rsidR="00E030C7" w:rsidRPr="000F5B29" w:rsidRDefault="00E030C7" w:rsidP="004C246C">
      <w:pPr>
        <w:spacing w:line="360" w:lineRule="auto"/>
        <w:jc w:val="both"/>
        <w:rPr>
          <w:iCs/>
          <w:color w:val="000000" w:themeColor="text1"/>
          <w:sz w:val="20"/>
          <w:szCs w:val="20"/>
        </w:rPr>
      </w:pPr>
    </w:p>
    <w:p w14:paraId="34995FF9" w14:textId="0CF9D0DE" w:rsidR="00E030C7" w:rsidRPr="000F5B29" w:rsidRDefault="00E030C7" w:rsidP="004C246C">
      <w:pPr>
        <w:spacing w:line="360" w:lineRule="auto"/>
        <w:jc w:val="both"/>
        <w:rPr>
          <w:iCs/>
          <w:color w:val="000000" w:themeColor="text1"/>
          <w:sz w:val="20"/>
          <w:szCs w:val="20"/>
        </w:rPr>
      </w:pPr>
      <w:r w:rsidRPr="000F5B29">
        <w:rPr>
          <w:iCs/>
          <w:color w:val="000000" w:themeColor="text1"/>
          <w:sz w:val="20"/>
          <w:szCs w:val="20"/>
        </w:rPr>
        <w:t>Las proyecciones de crecimiento mundial para el periodo 2026–2030 continúan siendo modestas, con una tasa promedio cercana al 3.0% anual, el nivel más bajo en más de tres décadas, de acuerdo con las estimaciones del FMI. Este desempeño responde a factores estructurales como la desaceleración económica de China, el debilitamiento de la productividad global, el envejecimiento poblacional en economías avanzadas y los limitados márgenes fiscales en muchos países en desarrollo. Asimismo, las perspectivas a mediano plazo para regiones como América Latina y la Unión Europea se han revisado a la baja, reflejando menores flujos de inversión y la pérdida de dinamismo del comercio internacional.</w:t>
      </w:r>
    </w:p>
    <w:p w14:paraId="7B0399BD" w14:textId="77777777" w:rsidR="00E030C7" w:rsidRPr="000F5B29" w:rsidRDefault="00E030C7" w:rsidP="004C246C">
      <w:pPr>
        <w:spacing w:line="360" w:lineRule="auto"/>
        <w:jc w:val="both"/>
        <w:rPr>
          <w:iCs/>
          <w:color w:val="000000" w:themeColor="text1"/>
          <w:sz w:val="20"/>
          <w:szCs w:val="20"/>
        </w:rPr>
      </w:pPr>
    </w:p>
    <w:p w14:paraId="542DD009" w14:textId="77777777" w:rsidR="00E030C7" w:rsidRPr="000F5B29" w:rsidRDefault="00E030C7" w:rsidP="004C246C">
      <w:pPr>
        <w:spacing w:line="360" w:lineRule="auto"/>
        <w:jc w:val="both"/>
        <w:rPr>
          <w:iCs/>
          <w:color w:val="000000" w:themeColor="text1"/>
          <w:sz w:val="20"/>
          <w:szCs w:val="20"/>
        </w:rPr>
      </w:pPr>
      <w:r w:rsidRPr="000F5B29">
        <w:rPr>
          <w:iCs/>
          <w:color w:val="000000" w:themeColor="text1"/>
          <w:sz w:val="20"/>
          <w:szCs w:val="20"/>
        </w:rPr>
        <w:t>En respuesta a la creciente competencia internacional, la fragmentación de las cadenas globales de valor y los retos de la productividad, diversos países han implementado nuevas políticas industriales y comerciales orientadas a fortalecer sectores estratégicos, promover la innovación tecnológica y proteger el empleo nacional. Estas estrategias incluyen incentivos fiscales, subsidios a la producción verde y programas de relocalización industrial (</w:t>
      </w:r>
      <w:proofErr w:type="spellStart"/>
      <w:r w:rsidRPr="000F5B29">
        <w:rPr>
          <w:iCs/>
          <w:color w:val="000000" w:themeColor="text1"/>
          <w:sz w:val="20"/>
          <w:szCs w:val="20"/>
        </w:rPr>
        <w:t>nearshoring</w:t>
      </w:r>
      <w:proofErr w:type="spellEnd"/>
      <w:r w:rsidRPr="000F5B29">
        <w:rPr>
          <w:iCs/>
          <w:color w:val="000000" w:themeColor="text1"/>
          <w:sz w:val="20"/>
          <w:szCs w:val="20"/>
        </w:rPr>
        <w:t>), especialmente en América del Norte, Europa y Asia.</w:t>
      </w:r>
    </w:p>
    <w:p w14:paraId="7C92C427" w14:textId="77777777" w:rsidR="00E030C7" w:rsidRPr="000F5B29" w:rsidRDefault="00E030C7" w:rsidP="004C246C">
      <w:pPr>
        <w:pStyle w:val="Default"/>
        <w:spacing w:line="360" w:lineRule="auto"/>
      </w:pPr>
    </w:p>
    <w:p w14:paraId="257C1909" w14:textId="6018F6D7" w:rsidR="00E030C7" w:rsidRPr="000F5B29" w:rsidRDefault="00E030C7" w:rsidP="004C246C">
      <w:pPr>
        <w:spacing w:line="360" w:lineRule="auto"/>
        <w:jc w:val="both"/>
        <w:rPr>
          <w:iCs/>
          <w:color w:val="000000" w:themeColor="text1"/>
          <w:sz w:val="20"/>
          <w:szCs w:val="20"/>
        </w:rPr>
      </w:pPr>
      <w:r w:rsidRPr="000F5B29">
        <w:rPr>
          <w:iCs/>
          <w:color w:val="000000" w:themeColor="text1"/>
          <w:sz w:val="20"/>
          <w:szCs w:val="20"/>
        </w:rPr>
        <w:t>Los niveles históricamente altos de deuda soberana</w:t>
      </w:r>
      <w:r w:rsidR="00422D64">
        <w:rPr>
          <w:iCs/>
          <w:color w:val="000000" w:themeColor="text1"/>
          <w:sz w:val="20"/>
          <w:szCs w:val="20"/>
        </w:rPr>
        <w:t>,</w:t>
      </w:r>
      <w:r w:rsidRPr="000F5B29">
        <w:rPr>
          <w:iCs/>
          <w:color w:val="000000" w:themeColor="text1"/>
          <w:sz w:val="20"/>
          <w:szCs w:val="20"/>
        </w:rPr>
        <w:t xml:space="preserve"> continúan representando uno de los principales riesgos </w:t>
      </w:r>
      <w:proofErr w:type="spellStart"/>
      <w:r w:rsidRPr="000F5B29">
        <w:rPr>
          <w:iCs/>
          <w:color w:val="000000" w:themeColor="text1"/>
          <w:sz w:val="20"/>
          <w:szCs w:val="20"/>
        </w:rPr>
        <w:t>macrofinancieros</w:t>
      </w:r>
      <w:proofErr w:type="spellEnd"/>
      <w:r w:rsidRPr="000F5B29">
        <w:rPr>
          <w:iCs/>
          <w:color w:val="000000" w:themeColor="text1"/>
          <w:sz w:val="20"/>
          <w:szCs w:val="20"/>
        </w:rPr>
        <w:t xml:space="preserve"> globales. De acuerdo con el FMI, la deuda pública mundial se mantiene por encima del 90% del PIB global, mientras que en las economías avanzadas alcanza alrededor del 112% del PIB, impulsada por el aumento del gasto social, las presiones en salud y defensa, y los efectos rezagados de los estímulos aplicados tras la pandemia.</w:t>
      </w:r>
    </w:p>
    <w:p w14:paraId="24D93454" w14:textId="77777777" w:rsidR="00E030C7" w:rsidRPr="000F5B29" w:rsidRDefault="00E030C7" w:rsidP="004C246C">
      <w:pPr>
        <w:spacing w:line="360" w:lineRule="auto"/>
        <w:jc w:val="both"/>
        <w:rPr>
          <w:iCs/>
          <w:color w:val="000000" w:themeColor="text1"/>
          <w:sz w:val="20"/>
          <w:szCs w:val="20"/>
        </w:rPr>
      </w:pPr>
    </w:p>
    <w:p w14:paraId="3BB94DFD" w14:textId="417D7834" w:rsidR="00E030C7" w:rsidRPr="000F5B29" w:rsidRDefault="00E030C7" w:rsidP="004C246C">
      <w:pPr>
        <w:spacing w:line="360" w:lineRule="auto"/>
        <w:jc w:val="both"/>
        <w:rPr>
          <w:iCs/>
          <w:color w:val="000000" w:themeColor="text1"/>
          <w:sz w:val="20"/>
          <w:szCs w:val="20"/>
        </w:rPr>
      </w:pPr>
      <w:r w:rsidRPr="000F5B29">
        <w:rPr>
          <w:iCs/>
          <w:color w:val="000000" w:themeColor="text1"/>
          <w:sz w:val="20"/>
          <w:szCs w:val="20"/>
        </w:rPr>
        <w:t>Pese a los esfuerzos de consolidación, muchas economías no han logrado alcanzar saldos primarios suficientes para estabilizar la deuda, lo que incrementa su exposición ante cambios en las tasas de interés. En este contexto, la reducción de los balances de los bancos centrales</w:t>
      </w:r>
      <w:r w:rsidR="00422D64">
        <w:rPr>
          <w:iCs/>
          <w:color w:val="000000" w:themeColor="text1"/>
          <w:sz w:val="20"/>
          <w:szCs w:val="20"/>
        </w:rPr>
        <w:t>,</w:t>
      </w:r>
      <w:r w:rsidRPr="000F5B29">
        <w:rPr>
          <w:iCs/>
          <w:color w:val="000000" w:themeColor="text1"/>
          <w:sz w:val="20"/>
          <w:szCs w:val="20"/>
        </w:rPr>
        <w:t xml:space="preserve"> particularmente la Reserva Federal de Estados Unidos y el Banco Central Europeo</w:t>
      </w:r>
      <w:r w:rsidR="00422D64">
        <w:rPr>
          <w:iCs/>
          <w:color w:val="000000" w:themeColor="text1"/>
          <w:sz w:val="20"/>
          <w:szCs w:val="20"/>
        </w:rPr>
        <w:t>,</w:t>
      </w:r>
      <w:r w:rsidRPr="000F5B29">
        <w:rPr>
          <w:iCs/>
          <w:color w:val="000000" w:themeColor="text1"/>
          <w:sz w:val="20"/>
          <w:szCs w:val="20"/>
        </w:rPr>
        <w:t xml:space="preserve"> ha reducido la demanda estructural de bonos soberanos, obligando a los gobiernos a depender de inversionistas más sensibles a las tasas y al riesgo. Esta recomposición de la base de compradores ha elevado la volatilidad de los mercados de deuda y ampliado los diferenciales de rendimiento en las economías</w:t>
      </w:r>
      <w:r w:rsidR="00422D64">
        <w:rPr>
          <w:iCs/>
          <w:color w:val="000000" w:themeColor="text1"/>
          <w:sz w:val="20"/>
          <w:szCs w:val="20"/>
        </w:rPr>
        <w:t>,</w:t>
      </w:r>
      <w:r w:rsidRPr="000F5B29">
        <w:rPr>
          <w:iCs/>
          <w:color w:val="000000" w:themeColor="text1"/>
          <w:sz w:val="20"/>
          <w:szCs w:val="20"/>
        </w:rPr>
        <w:t xml:space="preserve"> con fundamentos fiscales más débiles.</w:t>
      </w:r>
    </w:p>
    <w:p w14:paraId="2722CE9E" w14:textId="77777777" w:rsidR="00E030C7" w:rsidRPr="000F5B29" w:rsidRDefault="00E030C7" w:rsidP="004C246C">
      <w:pPr>
        <w:spacing w:line="360" w:lineRule="auto"/>
        <w:jc w:val="both"/>
        <w:rPr>
          <w:iCs/>
          <w:color w:val="000000" w:themeColor="text1"/>
          <w:sz w:val="20"/>
          <w:szCs w:val="20"/>
          <w:lang w:val="es-MX"/>
        </w:rPr>
      </w:pPr>
      <w:r w:rsidRPr="000F5B29">
        <w:rPr>
          <w:iCs/>
          <w:color w:val="000000" w:themeColor="text1"/>
          <w:sz w:val="20"/>
          <w:szCs w:val="20"/>
        </w:rPr>
        <w:lastRenderedPageBreak/>
        <w:t xml:space="preserve">Las economías emergentes y </w:t>
      </w:r>
      <w:proofErr w:type="spellStart"/>
      <w:r w:rsidRPr="000F5B29">
        <w:rPr>
          <w:iCs/>
          <w:color w:val="000000" w:themeColor="text1"/>
          <w:sz w:val="20"/>
          <w:szCs w:val="20"/>
        </w:rPr>
        <w:t>preemergentes</w:t>
      </w:r>
      <w:proofErr w:type="spellEnd"/>
      <w:r w:rsidRPr="000F5B29">
        <w:rPr>
          <w:iCs/>
          <w:color w:val="000000" w:themeColor="text1"/>
          <w:sz w:val="20"/>
          <w:szCs w:val="20"/>
        </w:rPr>
        <w:t>, con márgenes fiscales limitados y mayores necesidades de financiamiento externo, enfrentan un escenario aún más complejo. Durante 2025, los spreads soberanos y los costos de aseguramiento crediticio (CDS) aumentaron de manera significativa en países con mayor vulnerabilidad estructural, reflejando tanto el endurecimiento financiero global como la percepción de riesgo político y climático. En consecuencia, varios países en desarrollo han debido recurrir a ajustes fiscales graduales, renegociaciones de deuda o mecanismos de apoyo multilateral, con el fin de preservar la sostenibilidad de sus finanzas públicas.</w:t>
      </w:r>
    </w:p>
    <w:p w14:paraId="1660CC04" w14:textId="77777777" w:rsidR="00422D64" w:rsidRDefault="00422D64" w:rsidP="004C246C">
      <w:pPr>
        <w:spacing w:line="360" w:lineRule="auto"/>
        <w:jc w:val="both"/>
        <w:rPr>
          <w:iCs/>
          <w:color w:val="000000" w:themeColor="text1"/>
          <w:sz w:val="20"/>
          <w:szCs w:val="20"/>
        </w:rPr>
      </w:pPr>
    </w:p>
    <w:p w14:paraId="7D5D5824" w14:textId="7824F5BE" w:rsidR="00E030C7" w:rsidRPr="000F5B29" w:rsidRDefault="00E030C7" w:rsidP="004C246C">
      <w:pPr>
        <w:spacing w:line="360" w:lineRule="auto"/>
        <w:jc w:val="both"/>
        <w:rPr>
          <w:iCs/>
          <w:color w:val="000000" w:themeColor="text1"/>
          <w:sz w:val="20"/>
          <w:szCs w:val="20"/>
        </w:rPr>
      </w:pPr>
      <w:r w:rsidRPr="000F5B29">
        <w:rPr>
          <w:iCs/>
          <w:color w:val="000000" w:themeColor="text1"/>
          <w:sz w:val="20"/>
          <w:szCs w:val="20"/>
        </w:rPr>
        <w:t>Durante 2025, los bancos centrales de las principales economías</w:t>
      </w:r>
      <w:r w:rsidR="00422D64">
        <w:rPr>
          <w:iCs/>
          <w:color w:val="000000" w:themeColor="text1"/>
          <w:sz w:val="20"/>
          <w:szCs w:val="20"/>
        </w:rPr>
        <w:t xml:space="preserve">, </w:t>
      </w:r>
      <w:r w:rsidRPr="000F5B29">
        <w:rPr>
          <w:iCs/>
          <w:color w:val="000000" w:themeColor="text1"/>
          <w:sz w:val="20"/>
          <w:szCs w:val="20"/>
        </w:rPr>
        <w:t>en particular la Reserva Federal de Estados Unidos (Fed) y el Banco Central Europeo (BCE)</w:t>
      </w:r>
      <w:r w:rsidR="00422D64">
        <w:rPr>
          <w:iCs/>
          <w:color w:val="000000" w:themeColor="text1"/>
          <w:sz w:val="20"/>
          <w:szCs w:val="20"/>
        </w:rPr>
        <w:t>,</w:t>
      </w:r>
      <w:r w:rsidRPr="000F5B29">
        <w:rPr>
          <w:iCs/>
          <w:color w:val="000000" w:themeColor="text1"/>
          <w:sz w:val="20"/>
          <w:szCs w:val="20"/>
        </w:rPr>
        <w:t xml:space="preserve"> comenzaron un proceso gradual de normalización monetaria, reduciendo sus tasas de referencia tras haber alcanzado máximos históricos en 2023 y 2024. Esta transición hacia una postura monetaria más neutral busca equilibrar el control de la inflación con la estabilidad del crecimiento económico y la preservación de la liquidez global.</w:t>
      </w:r>
    </w:p>
    <w:p w14:paraId="010B47A1" w14:textId="77777777" w:rsidR="00E030C7" w:rsidRPr="000F5B29" w:rsidRDefault="00E030C7" w:rsidP="004C246C">
      <w:pPr>
        <w:spacing w:line="360" w:lineRule="auto"/>
        <w:jc w:val="both"/>
        <w:rPr>
          <w:iCs/>
          <w:color w:val="000000" w:themeColor="text1"/>
          <w:sz w:val="20"/>
          <w:szCs w:val="20"/>
        </w:rPr>
      </w:pPr>
    </w:p>
    <w:p w14:paraId="28C7AA5B" w14:textId="47F71B48" w:rsidR="00E030C7" w:rsidRPr="000F5B29" w:rsidRDefault="00E030C7" w:rsidP="004C246C">
      <w:pPr>
        <w:spacing w:line="360" w:lineRule="auto"/>
        <w:jc w:val="both"/>
        <w:rPr>
          <w:iCs/>
          <w:color w:val="000000" w:themeColor="text1"/>
          <w:sz w:val="20"/>
          <w:szCs w:val="20"/>
        </w:rPr>
      </w:pPr>
      <w:r w:rsidRPr="000F5B29">
        <w:rPr>
          <w:iCs/>
          <w:color w:val="000000" w:themeColor="text1"/>
          <w:sz w:val="20"/>
          <w:szCs w:val="20"/>
        </w:rPr>
        <w:t>Para los mercados emergentes, esta relajación de las condiciones financieras internacionales ha contribuido a moderar las presiones cambiarias y reducir la volatilidad de los flujos de capital, aunque el entorno global sigue siendo frágil. La incertidumbre geopolítica persistente, la reconfiguración de las cadenas de suministro internacionales y la desaceleración del crecimiento en China</w:t>
      </w:r>
      <w:r w:rsidR="00422D64">
        <w:rPr>
          <w:iCs/>
          <w:color w:val="000000" w:themeColor="text1"/>
          <w:sz w:val="20"/>
          <w:szCs w:val="20"/>
        </w:rPr>
        <w:t xml:space="preserve">, </w:t>
      </w:r>
      <w:r w:rsidRPr="000F5B29">
        <w:rPr>
          <w:iCs/>
          <w:color w:val="000000" w:themeColor="text1"/>
          <w:sz w:val="20"/>
          <w:szCs w:val="20"/>
        </w:rPr>
        <w:t>socio comercial clave de América Latina</w:t>
      </w:r>
      <w:r w:rsidR="00422D64">
        <w:rPr>
          <w:iCs/>
          <w:color w:val="000000" w:themeColor="text1"/>
          <w:sz w:val="20"/>
          <w:szCs w:val="20"/>
        </w:rPr>
        <w:t xml:space="preserve">, </w:t>
      </w:r>
      <w:r w:rsidRPr="000F5B29">
        <w:rPr>
          <w:iCs/>
          <w:color w:val="000000" w:themeColor="text1"/>
          <w:sz w:val="20"/>
          <w:szCs w:val="20"/>
        </w:rPr>
        <w:t>continúan representando riesgos significativos para la estabilidad financiera.</w:t>
      </w:r>
    </w:p>
    <w:p w14:paraId="0EDF27C0" w14:textId="77777777" w:rsidR="00E030C7" w:rsidRPr="000F5B29" w:rsidRDefault="00E030C7" w:rsidP="004C246C">
      <w:pPr>
        <w:spacing w:line="360" w:lineRule="auto"/>
        <w:jc w:val="both"/>
        <w:rPr>
          <w:iCs/>
          <w:color w:val="000000" w:themeColor="text1"/>
          <w:sz w:val="20"/>
          <w:szCs w:val="20"/>
        </w:rPr>
      </w:pPr>
    </w:p>
    <w:p w14:paraId="2204A2B1" w14:textId="77777777" w:rsidR="00E030C7" w:rsidRPr="000F5B29" w:rsidRDefault="00E030C7" w:rsidP="004C246C">
      <w:pPr>
        <w:spacing w:line="360" w:lineRule="auto"/>
        <w:jc w:val="both"/>
        <w:rPr>
          <w:iCs/>
          <w:color w:val="000000" w:themeColor="text1"/>
          <w:sz w:val="20"/>
          <w:szCs w:val="20"/>
        </w:rPr>
      </w:pPr>
      <w:r w:rsidRPr="000F5B29">
        <w:rPr>
          <w:iCs/>
          <w:color w:val="000000" w:themeColor="text1"/>
          <w:sz w:val="20"/>
          <w:szCs w:val="20"/>
        </w:rPr>
        <w:t>En el mediano plazo, el desafío para los países emergentes será mantener la estabilidad macroeconómica ante posibles episodios de volatilidad en los mercados de deuda y divisas. Los efectos de contagio financiero derivados de los movimientos en las tasas de interés de largo plazo en Estados Unidos se han intensificado, reflejando la alta sensibilidad de las primas de riesgo y de las tasas soberanas locales ante variaciones en los rendimientos de los bonos del Tesoro a 10 años. Esta correlación creciente subraya la necesidad de fortalecer los marcos de política monetaria y fiscal y de profundizar los mercados financieros domésticos para mitigar los impactos externos.</w:t>
      </w:r>
    </w:p>
    <w:p w14:paraId="26E22965" w14:textId="77777777" w:rsidR="00E030C7" w:rsidRPr="000F5B29" w:rsidRDefault="00E030C7" w:rsidP="004C246C">
      <w:pPr>
        <w:spacing w:line="360" w:lineRule="auto"/>
        <w:jc w:val="both"/>
        <w:rPr>
          <w:iCs/>
          <w:color w:val="000000" w:themeColor="text1"/>
          <w:sz w:val="20"/>
          <w:szCs w:val="20"/>
        </w:rPr>
      </w:pPr>
    </w:p>
    <w:p w14:paraId="4D5AD5A7" w14:textId="55B8BF1C" w:rsidR="00E030C7" w:rsidRPr="000F5B29" w:rsidRDefault="00E030C7" w:rsidP="004C246C">
      <w:pPr>
        <w:spacing w:line="360" w:lineRule="auto"/>
        <w:jc w:val="both"/>
        <w:rPr>
          <w:iCs/>
          <w:color w:val="000000" w:themeColor="text1"/>
          <w:sz w:val="20"/>
          <w:szCs w:val="20"/>
        </w:rPr>
      </w:pPr>
      <w:r w:rsidRPr="000F5B29">
        <w:rPr>
          <w:iCs/>
          <w:color w:val="000000" w:themeColor="text1"/>
          <w:sz w:val="20"/>
          <w:szCs w:val="20"/>
        </w:rPr>
        <w:t>En este contexto, el FMI y la OCDE recomiendan que los países emergentes</w:t>
      </w:r>
      <w:r w:rsidR="00422D64">
        <w:rPr>
          <w:iCs/>
          <w:color w:val="000000" w:themeColor="text1"/>
          <w:sz w:val="20"/>
          <w:szCs w:val="20"/>
        </w:rPr>
        <w:t xml:space="preserve">, </w:t>
      </w:r>
      <w:r w:rsidRPr="000F5B29">
        <w:rPr>
          <w:iCs/>
          <w:color w:val="000000" w:themeColor="text1"/>
          <w:sz w:val="20"/>
          <w:szCs w:val="20"/>
        </w:rPr>
        <w:t>incluido México</w:t>
      </w:r>
      <w:r w:rsidR="00422D64">
        <w:rPr>
          <w:iCs/>
          <w:color w:val="000000" w:themeColor="text1"/>
          <w:sz w:val="20"/>
          <w:szCs w:val="20"/>
        </w:rPr>
        <w:t>,</w:t>
      </w:r>
      <w:r w:rsidRPr="000F5B29">
        <w:rPr>
          <w:iCs/>
          <w:color w:val="000000" w:themeColor="text1"/>
          <w:sz w:val="20"/>
          <w:szCs w:val="20"/>
        </w:rPr>
        <w:t xml:space="preserve"> continúen priorizando la disciplina fiscal, la autonomía de sus bancos centrales y la transparencia en la gestión de la deuda, como pilares para preservar la confianza de los inversionistas y sostener el crecimiento frente a la volatilidad internacional.</w:t>
      </w:r>
    </w:p>
    <w:p w14:paraId="30C35494" w14:textId="77777777" w:rsidR="00E030C7" w:rsidRPr="000F5B29" w:rsidRDefault="00E030C7" w:rsidP="004C246C">
      <w:pPr>
        <w:spacing w:line="360" w:lineRule="auto"/>
        <w:jc w:val="both"/>
        <w:rPr>
          <w:iCs/>
          <w:color w:val="000000" w:themeColor="text1"/>
          <w:sz w:val="20"/>
          <w:szCs w:val="20"/>
          <w:lang w:val="es-MX"/>
        </w:rPr>
      </w:pPr>
    </w:p>
    <w:p w14:paraId="509078F2" w14:textId="0DF34B0B" w:rsidR="00E030C7" w:rsidRPr="000F5B29" w:rsidRDefault="00E030C7" w:rsidP="004C246C">
      <w:pPr>
        <w:spacing w:line="360" w:lineRule="auto"/>
        <w:jc w:val="both"/>
        <w:rPr>
          <w:iCs/>
          <w:color w:val="000000" w:themeColor="text1"/>
          <w:sz w:val="20"/>
          <w:szCs w:val="20"/>
        </w:rPr>
      </w:pPr>
      <w:r w:rsidRPr="000F5B29">
        <w:rPr>
          <w:iCs/>
          <w:color w:val="000000" w:themeColor="text1"/>
          <w:sz w:val="20"/>
          <w:szCs w:val="20"/>
        </w:rPr>
        <w:lastRenderedPageBreak/>
        <w:t>La emisión global de deuda sostenible</w:t>
      </w:r>
      <w:r w:rsidR="005A69E5">
        <w:rPr>
          <w:iCs/>
          <w:color w:val="000000" w:themeColor="text1"/>
          <w:sz w:val="20"/>
          <w:szCs w:val="20"/>
        </w:rPr>
        <w:t xml:space="preserve">, </w:t>
      </w:r>
      <w:r w:rsidRPr="000F5B29">
        <w:rPr>
          <w:iCs/>
          <w:color w:val="000000" w:themeColor="text1"/>
          <w:sz w:val="20"/>
          <w:szCs w:val="20"/>
        </w:rPr>
        <w:t>que incluye bonos verdes, sociales y vinculados a objetivos ambientales (ESG)</w:t>
      </w:r>
      <w:r w:rsidR="005A69E5">
        <w:rPr>
          <w:iCs/>
          <w:color w:val="000000" w:themeColor="text1"/>
          <w:sz w:val="20"/>
          <w:szCs w:val="20"/>
        </w:rPr>
        <w:t>,</w:t>
      </w:r>
      <w:r w:rsidRPr="000F5B29">
        <w:rPr>
          <w:iCs/>
          <w:color w:val="000000" w:themeColor="text1"/>
          <w:sz w:val="20"/>
          <w:szCs w:val="20"/>
        </w:rPr>
        <w:t xml:space="preserve"> ha mostrado un crecimiento sostenido durante 2025, superando los 1.2 billones de dólares a nivel mundial, según datos del FMI y la OCDE. Este repunte se explica por el aumento de las inversiones orientadas a la transición energética, la movilización de capital verde y la incorporación de criterios de sostenibilidad en las políticas fiscales y de inversión pública de numerosas economías avanzadas.</w:t>
      </w:r>
    </w:p>
    <w:p w14:paraId="517CCB2F" w14:textId="77777777" w:rsidR="00E030C7" w:rsidRPr="000F5B29" w:rsidRDefault="00E030C7" w:rsidP="004C246C">
      <w:pPr>
        <w:spacing w:line="360" w:lineRule="auto"/>
        <w:jc w:val="both"/>
        <w:rPr>
          <w:iCs/>
          <w:color w:val="000000" w:themeColor="text1"/>
          <w:sz w:val="20"/>
          <w:szCs w:val="20"/>
        </w:rPr>
      </w:pPr>
    </w:p>
    <w:p w14:paraId="3B8B99CC" w14:textId="4992AE5A" w:rsidR="00E030C7" w:rsidRPr="000F5B29" w:rsidRDefault="00E030C7" w:rsidP="004C246C">
      <w:pPr>
        <w:spacing w:line="360" w:lineRule="auto"/>
        <w:jc w:val="both"/>
        <w:rPr>
          <w:iCs/>
          <w:color w:val="000000" w:themeColor="text1"/>
          <w:sz w:val="20"/>
          <w:szCs w:val="20"/>
        </w:rPr>
      </w:pPr>
      <w:r w:rsidRPr="000F5B29">
        <w:rPr>
          <w:iCs/>
          <w:color w:val="000000" w:themeColor="text1"/>
          <w:sz w:val="20"/>
          <w:szCs w:val="20"/>
        </w:rPr>
        <w:t>No obstante, la participación de las economías emergentes en este mercado sigue siendo limitada: apenas representan cerca del 15% del total emitido, y una proporción menor está denominada en moneda local, lo que eleva el riesgo cambiario y restringe la sostenibilidad de largo plazo. Esta situación subraya la necesidad de ampliar los mecanismos de financiamiento climático, especialmente aquellos que fortalezcan la inversión pública y privada en proyectos de mitigación y adaptación al cambio climático.</w:t>
      </w:r>
    </w:p>
    <w:p w14:paraId="75980B23" w14:textId="77777777" w:rsidR="00E030C7" w:rsidRPr="000F5B29" w:rsidRDefault="00E030C7" w:rsidP="004C246C">
      <w:pPr>
        <w:spacing w:line="360" w:lineRule="auto"/>
        <w:jc w:val="both"/>
        <w:rPr>
          <w:iCs/>
          <w:color w:val="000000" w:themeColor="text1"/>
          <w:sz w:val="20"/>
          <w:szCs w:val="20"/>
        </w:rPr>
      </w:pPr>
    </w:p>
    <w:p w14:paraId="64F02A5C" w14:textId="5030A571" w:rsidR="00E030C7" w:rsidRPr="000F5B29" w:rsidRDefault="00E030C7" w:rsidP="004C246C">
      <w:pPr>
        <w:spacing w:line="360" w:lineRule="auto"/>
        <w:jc w:val="both"/>
        <w:rPr>
          <w:iCs/>
          <w:color w:val="000000" w:themeColor="text1"/>
          <w:sz w:val="20"/>
          <w:szCs w:val="20"/>
          <w:lang w:val="es-MX"/>
        </w:rPr>
      </w:pPr>
      <w:r w:rsidRPr="000F5B29">
        <w:rPr>
          <w:iCs/>
          <w:color w:val="000000" w:themeColor="text1"/>
          <w:sz w:val="20"/>
          <w:szCs w:val="20"/>
        </w:rPr>
        <w:t xml:space="preserve">La insuficiente inversión en financiamiento verde y resiliencia climática podría retrasar el cumplimiento de los compromisos internacionales en materia ambiental y aumentar los riesgos </w:t>
      </w:r>
      <w:proofErr w:type="spellStart"/>
      <w:r w:rsidRPr="000F5B29">
        <w:rPr>
          <w:iCs/>
          <w:color w:val="000000" w:themeColor="text1"/>
          <w:sz w:val="20"/>
          <w:szCs w:val="20"/>
        </w:rPr>
        <w:t>macrofinancieros</w:t>
      </w:r>
      <w:proofErr w:type="spellEnd"/>
      <w:r w:rsidRPr="000F5B29">
        <w:rPr>
          <w:iCs/>
          <w:color w:val="000000" w:themeColor="text1"/>
          <w:sz w:val="20"/>
          <w:szCs w:val="20"/>
        </w:rPr>
        <w:t xml:space="preserve"> a futuro, al tiempo que limita la capacidad de respuesta fiscal frente a eventos climáticos extremos. En este sentido, los organismos multilaterales</w:t>
      </w:r>
      <w:r w:rsidR="005A69E5">
        <w:rPr>
          <w:iCs/>
          <w:color w:val="000000" w:themeColor="text1"/>
          <w:sz w:val="20"/>
          <w:szCs w:val="20"/>
        </w:rPr>
        <w:t xml:space="preserve">, </w:t>
      </w:r>
      <w:r w:rsidRPr="000F5B29">
        <w:rPr>
          <w:iCs/>
          <w:color w:val="000000" w:themeColor="text1"/>
          <w:sz w:val="20"/>
          <w:szCs w:val="20"/>
        </w:rPr>
        <w:t>entre ellos el FMI, el Banco Mundial y el Banco Interamericano de Desarrollo (BID)</w:t>
      </w:r>
      <w:r w:rsidR="005A69E5">
        <w:rPr>
          <w:iCs/>
          <w:color w:val="000000" w:themeColor="text1"/>
          <w:sz w:val="20"/>
          <w:szCs w:val="20"/>
        </w:rPr>
        <w:t>,</w:t>
      </w:r>
      <w:r w:rsidRPr="000F5B29">
        <w:rPr>
          <w:iCs/>
          <w:color w:val="000000" w:themeColor="text1"/>
          <w:sz w:val="20"/>
          <w:szCs w:val="20"/>
        </w:rPr>
        <w:t xml:space="preserve"> promueven la creación de mercados locales de bonos sostenibles, la emisión de instrumentos de deuda en moneda nacional y la integración del riesgo climático en la planificación presupuestaria, como parte de una estrategia global para fortalecer la sostenibilidad financiera y ambiental.</w:t>
      </w:r>
    </w:p>
    <w:p w14:paraId="01660882" w14:textId="77777777" w:rsidR="000D547A" w:rsidRDefault="000D547A" w:rsidP="004C246C">
      <w:pPr>
        <w:spacing w:line="360" w:lineRule="auto"/>
        <w:jc w:val="center"/>
        <w:rPr>
          <w:b/>
          <w:iCs/>
          <w:color w:val="000000" w:themeColor="text1"/>
          <w:sz w:val="20"/>
          <w:szCs w:val="20"/>
        </w:rPr>
      </w:pPr>
    </w:p>
    <w:p w14:paraId="24292C9D" w14:textId="77777777" w:rsidR="000D547A" w:rsidRDefault="000D547A" w:rsidP="004C246C">
      <w:pPr>
        <w:spacing w:line="360" w:lineRule="auto"/>
        <w:jc w:val="center"/>
        <w:rPr>
          <w:b/>
          <w:iCs/>
          <w:color w:val="000000" w:themeColor="text1"/>
          <w:sz w:val="20"/>
          <w:szCs w:val="20"/>
        </w:rPr>
      </w:pPr>
    </w:p>
    <w:p w14:paraId="797805EF" w14:textId="77777777" w:rsidR="000D547A" w:rsidRDefault="000D547A" w:rsidP="004C246C">
      <w:pPr>
        <w:spacing w:line="360" w:lineRule="auto"/>
        <w:jc w:val="center"/>
        <w:rPr>
          <w:b/>
          <w:iCs/>
          <w:color w:val="000000" w:themeColor="text1"/>
          <w:sz w:val="20"/>
          <w:szCs w:val="20"/>
        </w:rPr>
      </w:pPr>
    </w:p>
    <w:p w14:paraId="70BF9815" w14:textId="77777777" w:rsidR="000D547A" w:rsidRDefault="000D547A" w:rsidP="004C246C">
      <w:pPr>
        <w:spacing w:line="360" w:lineRule="auto"/>
        <w:jc w:val="center"/>
        <w:rPr>
          <w:b/>
          <w:iCs/>
          <w:color w:val="000000" w:themeColor="text1"/>
          <w:sz w:val="20"/>
          <w:szCs w:val="20"/>
        </w:rPr>
      </w:pPr>
    </w:p>
    <w:p w14:paraId="367F2E17" w14:textId="77777777" w:rsidR="000D547A" w:rsidRDefault="000D547A" w:rsidP="004C246C">
      <w:pPr>
        <w:spacing w:line="360" w:lineRule="auto"/>
        <w:jc w:val="center"/>
        <w:rPr>
          <w:b/>
          <w:iCs/>
          <w:color w:val="000000" w:themeColor="text1"/>
          <w:sz w:val="20"/>
          <w:szCs w:val="20"/>
        </w:rPr>
      </w:pPr>
    </w:p>
    <w:p w14:paraId="5B8C3BA3" w14:textId="77777777" w:rsidR="000D547A" w:rsidRDefault="000D547A" w:rsidP="004C246C">
      <w:pPr>
        <w:spacing w:line="360" w:lineRule="auto"/>
        <w:jc w:val="center"/>
        <w:rPr>
          <w:b/>
          <w:iCs/>
          <w:color w:val="000000" w:themeColor="text1"/>
          <w:sz w:val="20"/>
          <w:szCs w:val="20"/>
        </w:rPr>
      </w:pPr>
    </w:p>
    <w:p w14:paraId="6E0C45E9" w14:textId="77777777" w:rsidR="000D547A" w:rsidRDefault="000D547A" w:rsidP="004C246C">
      <w:pPr>
        <w:spacing w:line="360" w:lineRule="auto"/>
        <w:jc w:val="center"/>
        <w:rPr>
          <w:b/>
          <w:iCs/>
          <w:color w:val="000000" w:themeColor="text1"/>
          <w:sz w:val="20"/>
          <w:szCs w:val="20"/>
        </w:rPr>
      </w:pPr>
    </w:p>
    <w:p w14:paraId="07BC9E6A" w14:textId="77777777" w:rsidR="000D547A" w:rsidRDefault="000D547A" w:rsidP="004C246C">
      <w:pPr>
        <w:spacing w:line="360" w:lineRule="auto"/>
        <w:jc w:val="center"/>
        <w:rPr>
          <w:b/>
          <w:iCs/>
          <w:color w:val="000000" w:themeColor="text1"/>
          <w:sz w:val="20"/>
          <w:szCs w:val="20"/>
        </w:rPr>
      </w:pPr>
    </w:p>
    <w:p w14:paraId="6742F1CC" w14:textId="77777777" w:rsidR="000D547A" w:rsidRDefault="000D547A" w:rsidP="004C246C">
      <w:pPr>
        <w:spacing w:line="360" w:lineRule="auto"/>
        <w:jc w:val="center"/>
        <w:rPr>
          <w:b/>
          <w:iCs/>
          <w:color w:val="000000" w:themeColor="text1"/>
          <w:sz w:val="20"/>
          <w:szCs w:val="20"/>
        </w:rPr>
      </w:pPr>
    </w:p>
    <w:p w14:paraId="3BDF223B" w14:textId="77777777" w:rsidR="000D547A" w:rsidRDefault="000D547A" w:rsidP="004C246C">
      <w:pPr>
        <w:spacing w:line="360" w:lineRule="auto"/>
        <w:jc w:val="center"/>
        <w:rPr>
          <w:b/>
          <w:iCs/>
          <w:color w:val="000000" w:themeColor="text1"/>
          <w:sz w:val="20"/>
          <w:szCs w:val="20"/>
        </w:rPr>
      </w:pPr>
    </w:p>
    <w:p w14:paraId="4819DC20" w14:textId="77777777" w:rsidR="000D547A" w:rsidRDefault="000D547A" w:rsidP="004C246C">
      <w:pPr>
        <w:spacing w:line="360" w:lineRule="auto"/>
        <w:jc w:val="center"/>
        <w:rPr>
          <w:b/>
          <w:iCs/>
          <w:color w:val="000000" w:themeColor="text1"/>
          <w:sz w:val="20"/>
          <w:szCs w:val="20"/>
        </w:rPr>
      </w:pPr>
    </w:p>
    <w:p w14:paraId="67159005" w14:textId="77777777" w:rsidR="000D547A" w:rsidRDefault="000D547A" w:rsidP="004C246C">
      <w:pPr>
        <w:spacing w:line="360" w:lineRule="auto"/>
        <w:jc w:val="center"/>
        <w:rPr>
          <w:b/>
          <w:iCs/>
          <w:color w:val="000000" w:themeColor="text1"/>
          <w:sz w:val="20"/>
          <w:szCs w:val="20"/>
        </w:rPr>
      </w:pPr>
    </w:p>
    <w:p w14:paraId="4FBC73AA" w14:textId="231E93B7" w:rsidR="00E030C7" w:rsidRPr="000F5B29" w:rsidRDefault="00E030C7" w:rsidP="004C246C">
      <w:pPr>
        <w:spacing w:line="360" w:lineRule="auto"/>
        <w:jc w:val="center"/>
        <w:rPr>
          <w:b/>
          <w:iCs/>
          <w:color w:val="000000" w:themeColor="text1"/>
          <w:sz w:val="20"/>
          <w:szCs w:val="20"/>
        </w:rPr>
      </w:pPr>
      <w:r w:rsidRPr="000F5B29">
        <w:rPr>
          <w:b/>
          <w:iCs/>
          <w:color w:val="000000" w:themeColor="text1"/>
          <w:sz w:val="20"/>
          <w:szCs w:val="20"/>
        </w:rPr>
        <w:lastRenderedPageBreak/>
        <w:t>Últimas Proyecciones de Crecimiento de Perspectivas de la Economía Mundial</w:t>
      </w:r>
    </w:p>
    <w:p w14:paraId="0BAE1834" w14:textId="77777777" w:rsidR="00E030C7" w:rsidRPr="000F5B29" w:rsidRDefault="00E030C7" w:rsidP="004C246C">
      <w:pPr>
        <w:spacing w:line="360" w:lineRule="auto"/>
        <w:jc w:val="center"/>
        <w:rPr>
          <w:b/>
          <w:iCs/>
          <w:color w:val="000000" w:themeColor="text1"/>
          <w:sz w:val="20"/>
          <w:szCs w:val="20"/>
        </w:rPr>
      </w:pPr>
      <w:r w:rsidRPr="000F5B29">
        <w:rPr>
          <w:b/>
          <w:iCs/>
          <w:color w:val="000000" w:themeColor="text1"/>
          <w:sz w:val="20"/>
          <w:szCs w:val="20"/>
        </w:rPr>
        <w:t>Octubre 2025</w:t>
      </w:r>
    </w:p>
    <w:p w14:paraId="30E33565" w14:textId="77777777" w:rsidR="00E030C7" w:rsidRPr="000F5B29" w:rsidRDefault="00E030C7" w:rsidP="004C246C">
      <w:pPr>
        <w:spacing w:line="360" w:lineRule="auto"/>
        <w:jc w:val="center"/>
        <w:rPr>
          <w:sz w:val="20"/>
          <w:szCs w:val="20"/>
        </w:rPr>
      </w:pPr>
      <w:r w:rsidRPr="000F5B29">
        <w:rPr>
          <w:noProof/>
        </w:rPr>
        <w:drawing>
          <wp:inline distT="0" distB="0" distL="0" distR="0" wp14:anchorId="44D5C148" wp14:editId="5999454B">
            <wp:extent cx="3736975" cy="556591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94038" cy="5650904"/>
                    </a:xfrm>
                    <a:prstGeom prst="rect">
                      <a:avLst/>
                    </a:prstGeom>
                    <a:noFill/>
                    <a:ln>
                      <a:noFill/>
                    </a:ln>
                  </pic:spPr>
                </pic:pic>
              </a:graphicData>
            </a:graphic>
          </wp:inline>
        </w:drawing>
      </w:r>
    </w:p>
    <w:p w14:paraId="527BE283" w14:textId="77777777" w:rsidR="000D547A" w:rsidRDefault="000D547A" w:rsidP="004C246C">
      <w:pPr>
        <w:spacing w:line="360" w:lineRule="auto"/>
        <w:jc w:val="both"/>
        <w:rPr>
          <w:sz w:val="20"/>
          <w:szCs w:val="20"/>
        </w:rPr>
      </w:pPr>
    </w:p>
    <w:p w14:paraId="59B0A8CD" w14:textId="46212C1B" w:rsidR="00E030C7" w:rsidRPr="000F5B29" w:rsidRDefault="00E030C7" w:rsidP="004C246C">
      <w:pPr>
        <w:spacing w:line="360" w:lineRule="auto"/>
        <w:jc w:val="both"/>
        <w:rPr>
          <w:sz w:val="20"/>
          <w:szCs w:val="20"/>
        </w:rPr>
      </w:pPr>
      <w:r w:rsidRPr="000F5B29">
        <w:rPr>
          <w:sz w:val="20"/>
          <w:szCs w:val="20"/>
        </w:rPr>
        <w:t>En Estados Unidos, la economía mantuvo un ritmo de crecimiento moderado pero resiliente durante 2025, con una expansión estimada del 2.0% anual, de acuerdo con el FMI. Este desempeño fue impulsado por el consumo privado sólido, el mercado laboral robusto y la inversión en manufactura avanzada y energía limpia, apoyada por los incentivos fiscales de la</w:t>
      </w:r>
      <w:r w:rsidR="005A69E5">
        <w:rPr>
          <w:sz w:val="20"/>
          <w:szCs w:val="20"/>
        </w:rPr>
        <w:t xml:space="preserve"> Ley de Reducción de la Inflación</w:t>
      </w:r>
      <w:r w:rsidRPr="000F5B29">
        <w:rPr>
          <w:sz w:val="20"/>
          <w:szCs w:val="20"/>
        </w:rPr>
        <w:t xml:space="preserve"> </w:t>
      </w:r>
      <w:r w:rsidR="005A69E5">
        <w:rPr>
          <w:sz w:val="20"/>
          <w:szCs w:val="20"/>
        </w:rPr>
        <w:t>(</w:t>
      </w:r>
      <w:proofErr w:type="spellStart"/>
      <w:r w:rsidRPr="000F5B29">
        <w:rPr>
          <w:sz w:val="20"/>
          <w:szCs w:val="20"/>
        </w:rPr>
        <w:t>Inflation</w:t>
      </w:r>
      <w:proofErr w:type="spellEnd"/>
      <w:r w:rsidRPr="000F5B29">
        <w:rPr>
          <w:sz w:val="20"/>
          <w:szCs w:val="20"/>
        </w:rPr>
        <w:t xml:space="preserve"> </w:t>
      </w:r>
      <w:proofErr w:type="spellStart"/>
      <w:r w:rsidRPr="000F5B29">
        <w:rPr>
          <w:sz w:val="20"/>
          <w:szCs w:val="20"/>
        </w:rPr>
        <w:t>Reduction</w:t>
      </w:r>
      <w:proofErr w:type="spellEnd"/>
      <w:r w:rsidRPr="000F5B29">
        <w:rPr>
          <w:sz w:val="20"/>
          <w:szCs w:val="20"/>
        </w:rPr>
        <w:t xml:space="preserve"> </w:t>
      </w:r>
      <w:proofErr w:type="spellStart"/>
      <w:r w:rsidRPr="000F5B29">
        <w:rPr>
          <w:sz w:val="20"/>
          <w:szCs w:val="20"/>
        </w:rPr>
        <w:t>Act</w:t>
      </w:r>
      <w:proofErr w:type="spellEnd"/>
      <w:r w:rsidR="005A69E5">
        <w:rPr>
          <w:sz w:val="20"/>
          <w:szCs w:val="20"/>
        </w:rPr>
        <w:t>)</w:t>
      </w:r>
      <w:r w:rsidRPr="000F5B29">
        <w:rPr>
          <w:sz w:val="20"/>
          <w:szCs w:val="20"/>
        </w:rPr>
        <w:t>.</w:t>
      </w:r>
    </w:p>
    <w:p w14:paraId="2054EC3F" w14:textId="717428A9" w:rsidR="00E030C7" w:rsidRPr="000F5B29" w:rsidRDefault="00E030C7" w:rsidP="004C246C">
      <w:pPr>
        <w:spacing w:line="360" w:lineRule="auto"/>
        <w:jc w:val="both"/>
        <w:rPr>
          <w:sz w:val="20"/>
          <w:szCs w:val="20"/>
        </w:rPr>
      </w:pPr>
      <w:r w:rsidRPr="000F5B29">
        <w:rPr>
          <w:sz w:val="20"/>
          <w:szCs w:val="20"/>
        </w:rPr>
        <w:lastRenderedPageBreak/>
        <w:t>Aunque la producción industrial registró un comportamiento mixto</w:t>
      </w:r>
      <w:r w:rsidR="005A69E5">
        <w:rPr>
          <w:sz w:val="20"/>
          <w:szCs w:val="20"/>
        </w:rPr>
        <w:t>,</w:t>
      </w:r>
      <w:r w:rsidRPr="000F5B29">
        <w:rPr>
          <w:sz w:val="20"/>
          <w:szCs w:val="20"/>
        </w:rPr>
        <w:t xml:space="preserve"> con un crecimiento de alrededor del 1.2% anual, menor al observado en 2024, sectores como la tecnología, el transporte y la industria automotriz eléctrica mantuvieron un desempeño dinámico. La economía estadounidense ha logrado conservar su fortaleza pese a las condiciones financieras restrictivas de años previos, beneficiándose de la normalización monetaria y la estabilidad inflacionaria, que al cierre de 2025 se prevé converja a una tasa cercana al 2.5%.</w:t>
      </w:r>
    </w:p>
    <w:p w14:paraId="74F7F56A" w14:textId="77777777" w:rsidR="00E030C7" w:rsidRPr="000F5B29" w:rsidRDefault="00E030C7" w:rsidP="004C246C">
      <w:pPr>
        <w:spacing w:line="360" w:lineRule="auto"/>
        <w:jc w:val="both"/>
        <w:rPr>
          <w:sz w:val="20"/>
          <w:szCs w:val="20"/>
          <w:lang w:val="es-MX"/>
        </w:rPr>
      </w:pPr>
    </w:p>
    <w:p w14:paraId="678EDD1D" w14:textId="44975222" w:rsidR="00E030C7" w:rsidRPr="000F5B29" w:rsidRDefault="00E030C7" w:rsidP="004C246C">
      <w:pPr>
        <w:spacing w:line="360" w:lineRule="auto"/>
        <w:jc w:val="both"/>
        <w:rPr>
          <w:sz w:val="20"/>
          <w:szCs w:val="20"/>
        </w:rPr>
      </w:pPr>
      <w:r w:rsidRPr="000F5B29">
        <w:rPr>
          <w:sz w:val="20"/>
          <w:szCs w:val="20"/>
        </w:rPr>
        <w:t>En Europa, la economía de la zona del euro continuó mostrando un crecimiento débil y desigual durante 2025, con una expansión estimada de 1.2%, ligeramente superior al 0.5% registrado en 2023, pero aún muy por debajo de su promedio histórico, de acuerdo con el FMI. Este desempeño refleja el efecto persistente de las altas tasas de interés y la moderada recuperación del consumo privado, así como las restricciones derivadas de la guerra en Ucrania y las disrupciones en los mercados energéticos.</w:t>
      </w:r>
    </w:p>
    <w:p w14:paraId="6EC59A3E" w14:textId="77777777" w:rsidR="00E030C7" w:rsidRPr="000F5B29" w:rsidRDefault="00E030C7" w:rsidP="004C246C">
      <w:pPr>
        <w:spacing w:line="360" w:lineRule="auto"/>
        <w:jc w:val="both"/>
        <w:rPr>
          <w:sz w:val="20"/>
          <w:szCs w:val="20"/>
        </w:rPr>
      </w:pPr>
    </w:p>
    <w:p w14:paraId="2DBB2E44" w14:textId="30A4345B" w:rsidR="00E030C7" w:rsidRPr="000F5B29" w:rsidRDefault="00E030C7" w:rsidP="004C246C">
      <w:pPr>
        <w:spacing w:line="360" w:lineRule="auto"/>
        <w:jc w:val="both"/>
        <w:rPr>
          <w:sz w:val="20"/>
          <w:szCs w:val="20"/>
        </w:rPr>
      </w:pPr>
      <w:r w:rsidRPr="000F5B29">
        <w:rPr>
          <w:sz w:val="20"/>
          <w:szCs w:val="20"/>
        </w:rPr>
        <w:t>La producción industrial europea mostró una leve recuperación tras dos años de contracción, especialmente en los sectores de automoción, maquinaria y bienes de capital, favorecida por la normalización de las cadenas de suministro y la reducción de costos energéticos. No obstante, el dinamismo económico sigue limitado por la debilidad de la inversión privada y el lento despliegue de fondos europeos para la transición digital y verde. La inflación en la zona euro cerró 2025 en torno al 2.6%, lo que permitió al BCE iniciar un proceso de reducción gradual de tasas de interés, tras haber alcanzado niveles históricamente altos de 4.0%.</w:t>
      </w:r>
    </w:p>
    <w:p w14:paraId="00EAB65B" w14:textId="77777777" w:rsidR="00E030C7" w:rsidRPr="000F5B29" w:rsidRDefault="00E030C7" w:rsidP="004C246C">
      <w:pPr>
        <w:spacing w:line="360" w:lineRule="auto"/>
        <w:jc w:val="both"/>
        <w:rPr>
          <w:sz w:val="20"/>
          <w:szCs w:val="20"/>
        </w:rPr>
      </w:pPr>
    </w:p>
    <w:p w14:paraId="476277C2" w14:textId="267950DD" w:rsidR="00E030C7" w:rsidRPr="000F5B29" w:rsidRDefault="00E030C7" w:rsidP="004C246C">
      <w:pPr>
        <w:spacing w:line="360" w:lineRule="auto"/>
        <w:jc w:val="both"/>
        <w:rPr>
          <w:sz w:val="20"/>
          <w:szCs w:val="20"/>
        </w:rPr>
      </w:pPr>
      <w:r w:rsidRPr="000F5B29">
        <w:rPr>
          <w:sz w:val="20"/>
          <w:szCs w:val="20"/>
        </w:rPr>
        <w:t>En China, la economía creció un 4.8% en 2025, de acuerdo con el FMI, lo que confirma una desaceleración estructural frente al dinamismo de la década anterior. La expansión estuvo impulsada por los sectores de energías renovables, manufacturas de alto valor agregado y exportaciones tecnológicas, pero limitada por la crisis prolongada en el mercado inmobiliario, el endeudamiento de gobiernos locales y la debilidad del consumo interno.</w:t>
      </w:r>
    </w:p>
    <w:p w14:paraId="279917E2" w14:textId="77777777" w:rsidR="00E030C7" w:rsidRPr="000F5B29" w:rsidRDefault="00E030C7" w:rsidP="004C246C">
      <w:pPr>
        <w:spacing w:line="360" w:lineRule="auto"/>
        <w:jc w:val="both"/>
        <w:rPr>
          <w:sz w:val="20"/>
          <w:szCs w:val="20"/>
        </w:rPr>
      </w:pPr>
    </w:p>
    <w:p w14:paraId="37360634" w14:textId="77777777" w:rsidR="00E030C7" w:rsidRPr="000F5B29" w:rsidRDefault="00E030C7" w:rsidP="004C246C">
      <w:pPr>
        <w:spacing w:line="360" w:lineRule="auto"/>
        <w:jc w:val="both"/>
        <w:rPr>
          <w:sz w:val="20"/>
          <w:szCs w:val="20"/>
        </w:rPr>
      </w:pPr>
      <w:r w:rsidRPr="000F5B29">
        <w:rPr>
          <w:sz w:val="20"/>
          <w:szCs w:val="20"/>
        </w:rPr>
        <w:t>Pese a los esfuerzos del gobierno chino por estabilizar el sector financiero mediante programas de apoyo a promotoras inmobiliarias y estímulos fiscales focalizados, la confianza del consumidor se mantiene frágil. Aun así, China continúa siendo un actor clave en el comercio mundial, especialmente en la producción de bienes intermedios, y un socio estratégico para América Latina y México dentro del contexto de la reconfiguración global de las cadenas de valor.</w:t>
      </w:r>
    </w:p>
    <w:p w14:paraId="2E98CF36" w14:textId="77777777" w:rsidR="00E030C7" w:rsidRPr="000F5B29" w:rsidRDefault="00E030C7" w:rsidP="004C246C">
      <w:pPr>
        <w:spacing w:line="360" w:lineRule="auto"/>
        <w:jc w:val="both"/>
        <w:rPr>
          <w:sz w:val="20"/>
          <w:szCs w:val="20"/>
          <w:lang w:val="es-MX"/>
        </w:rPr>
      </w:pPr>
    </w:p>
    <w:p w14:paraId="375207AF" w14:textId="4E06C4B3" w:rsidR="00E030C7" w:rsidRPr="000F5B29" w:rsidRDefault="00E030C7" w:rsidP="004C246C">
      <w:pPr>
        <w:spacing w:line="360" w:lineRule="auto"/>
        <w:jc w:val="both"/>
        <w:rPr>
          <w:sz w:val="20"/>
          <w:szCs w:val="20"/>
        </w:rPr>
      </w:pPr>
      <w:r w:rsidRPr="000F5B29">
        <w:rPr>
          <w:sz w:val="20"/>
          <w:szCs w:val="20"/>
        </w:rPr>
        <w:lastRenderedPageBreak/>
        <w:t>Durante 2025, la Reserva Federal de Estados Unidos (Fed) inició un ciclo de reducción gradual de tasas de interés, tras haber alcanzado su nivel terminal de 5.5% en 2023. A lo largo del año, la Fed recortó su tasa de referencia en 75 puntos base, situándola en torno a 4.75% a finales de 2025, conforme la inflación general convergió hacia su objetivo de 2.5% y las condiciones del mercado laboral permanecieron sólidas. Este ajuste marca el inicio de una normalización monetaria ordenada, orientada a preservar el crecimiento económico y la estabilidad financiera, después del periodo más prolongado de endurecimiento en cuatro décadas.</w:t>
      </w:r>
    </w:p>
    <w:p w14:paraId="60FD9FD6" w14:textId="77777777" w:rsidR="00E030C7" w:rsidRPr="000F5B29" w:rsidRDefault="00E030C7" w:rsidP="004C246C">
      <w:pPr>
        <w:spacing w:line="360" w:lineRule="auto"/>
        <w:jc w:val="both"/>
        <w:rPr>
          <w:sz w:val="20"/>
          <w:szCs w:val="20"/>
        </w:rPr>
      </w:pPr>
    </w:p>
    <w:p w14:paraId="7CE9B7B8" w14:textId="00B18CBC" w:rsidR="00E030C7" w:rsidRPr="000F5B29" w:rsidRDefault="00E030C7" w:rsidP="004C246C">
      <w:pPr>
        <w:spacing w:line="360" w:lineRule="auto"/>
        <w:jc w:val="both"/>
        <w:rPr>
          <w:sz w:val="20"/>
          <w:szCs w:val="20"/>
        </w:rPr>
      </w:pPr>
      <w:r w:rsidRPr="000F5B29">
        <w:rPr>
          <w:sz w:val="20"/>
          <w:szCs w:val="20"/>
        </w:rPr>
        <w:t>En la zona del euro, el BCE siguió una trayectoria similar. Luego de mantener su tasa de depósitos en 4.0% hasta mediados de 2024, el Consejo de Gobierno inició un proceso de flexibilización monetaria paulatina a partir del segundo trimestre de 2025, en respuesta a la desaceleración económica y al descenso sostenido de la inflación hacia niveles cercanos a su meta de 2%. El BCE proyecta mantener una postura prudente para evitar un rebrote inflacionario, al tiempo que busca estimular la inversión y el consumo en un entorno de crecimiento débil.</w:t>
      </w:r>
    </w:p>
    <w:p w14:paraId="2D3A0C06" w14:textId="77777777" w:rsidR="00E030C7" w:rsidRPr="000F5B29" w:rsidRDefault="00E030C7" w:rsidP="004C246C">
      <w:pPr>
        <w:spacing w:line="360" w:lineRule="auto"/>
        <w:jc w:val="both"/>
        <w:rPr>
          <w:sz w:val="20"/>
          <w:szCs w:val="20"/>
        </w:rPr>
      </w:pPr>
    </w:p>
    <w:p w14:paraId="26EC1786" w14:textId="0909FF53" w:rsidR="00E030C7" w:rsidRPr="000F5B29" w:rsidRDefault="00E030C7" w:rsidP="004C246C">
      <w:pPr>
        <w:spacing w:line="360" w:lineRule="auto"/>
        <w:jc w:val="both"/>
        <w:rPr>
          <w:sz w:val="20"/>
          <w:szCs w:val="20"/>
        </w:rPr>
      </w:pPr>
      <w:r w:rsidRPr="000F5B29">
        <w:rPr>
          <w:sz w:val="20"/>
          <w:szCs w:val="20"/>
        </w:rPr>
        <w:t>En América Latina, varios bancos centrales consolidaron en 2025 la transición hacia políticas monetarias más neutrales. Tras haber sido pioneros en el ciclo restrictivo postpandemia, países como Brasil, Chile y Colombia redujeron sus tasas de referencia entre 200 y 300 puntos base durante el año, apoyados en la estabilidad cambiaria y la moderación de precios. En México, el Banco de México (Banxico) ajustó su tasa objetivo desde el máximo histórico de 11.25% en 2024 hasta 9.5% al cierre de 2025, reflejando la convergencia de la inflación hacia el rango de 3% ± 1 punto porcentual y la mejora de las expectativas del mercado.</w:t>
      </w:r>
    </w:p>
    <w:p w14:paraId="4A4F453F" w14:textId="77777777" w:rsidR="00E030C7" w:rsidRPr="000F5B29" w:rsidRDefault="00E030C7" w:rsidP="004C246C">
      <w:pPr>
        <w:spacing w:line="360" w:lineRule="auto"/>
        <w:jc w:val="both"/>
        <w:rPr>
          <w:sz w:val="20"/>
          <w:szCs w:val="20"/>
        </w:rPr>
      </w:pPr>
    </w:p>
    <w:p w14:paraId="5E206C5C" w14:textId="77777777" w:rsidR="00E030C7" w:rsidRPr="000F5B29" w:rsidRDefault="00E030C7" w:rsidP="004C246C">
      <w:pPr>
        <w:spacing w:line="360" w:lineRule="auto"/>
        <w:jc w:val="both"/>
        <w:rPr>
          <w:sz w:val="20"/>
          <w:szCs w:val="20"/>
          <w:lang w:val="es-MX"/>
        </w:rPr>
      </w:pPr>
      <w:r w:rsidRPr="000F5B29">
        <w:rPr>
          <w:sz w:val="20"/>
          <w:szCs w:val="20"/>
        </w:rPr>
        <w:t>En conjunto, la relajación monetaria global contribuye a reducir los costos financieros y a mejorar las condiciones de liquidez internacional. Este cambio favorece a las economías emergentes al aliviar las presiones sobre sus monedas, estabilizar los flujos de capital y fortalecer el margen de maniobra fiscal para promover la inversión productiva y el desarrollo económico sostenible.</w:t>
      </w:r>
    </w:p>
    <w:p w14:paraId="53CAB7A4" w14:textId="77777777" w:rsidR="00E030C7" w:rsidRPr="000F5B29" w:rsidRDefault="00E030C7" w:rsidP="004C246C">
      <w:pPr>
        <w:spacing w:line="360" w:lineRule="auto"/>
        <w:jc w:val="both"/>
        <w:rPr>
          <w:rFonts w:eastAsia="Calibri"/>
          <w:b/>
          <w:color w:val="000000" w:themeColor="text1"/>
          <w:sz w:val="20"/>
          <w:szCs w:val="20"/>
        </w:rPr>
      </w:pPr>
    </w:p>
    <w:p w14:paraId="22F3E340" w14:textId="095A5AE2" w:rsidR="00E030C7" w:rsidRPr="00FD1A45" w:rsidRDefault="00FD1A45" w:rsidP="004C246C">
      <w:pPr>
        <w:spacing w:line="360" w:lineRule="auto"/>
        <w:jc w:val="both"/>
        <w:rPr>
          <w:rFonts w:eastAsia="Calibri"/>
          <w:b/>
          <w:color w:val="000000" w:themeColor="text1"/>
          <w:sz w:val="20"/>
          <w:szCs w:val="20"/>
        </w:rPr>
      </w:pPr>
      <w:r w:rsidRPr="00FD1A45">
        <w:rPr>
          <w:rFonts w:eastAsia="Calibri"/>
          <w:b/>
          <w:color w:val="000000" w:themeColor="text1"/>
          <w:sz w:val="20"/>
          <w:szCs w:val="20"/>
        </w:rPr>
        <w:t xml:space="preserve">III.2. </w:t>
      </w:r>
      <w:r w:rsidR="00E030C7" w:rsidRPr="00FD1A45">
        <w:rPr>
          <w:rFonts w:eastAsia="Calibri"/>
          <w:b/>
          <w:color w:val="000000" w:themeColor="text1"/>
          <w:sz w:val="20"/>
          <w:szCs w:val="20"/>
        </w:rPr>
        <w:t>PANORAMA NACIONAL</w:t>
      </w:r>
    </w:p>
    <w:p w14:paraId="0161CB78" w14:textId="77777777" w:rsidR="00E030C7" w:rsidRPr="000F5B29" w:rsidRDefault="00E030C7" w:rsidP="004C246C">
      <w:pPr>
        <w:spacing w:line="360" w:lineRule="auto"/>
        <w:jc w:val="both"/>
        <w:rPr>
          <w:color w:val="000000" w:themeColor="text1"/>
          <w:sz w:val="20"/>
          <w:szCs w:val="20"/>
        </w:rPr>
      </w:pPr>
    </w:p>
    <w:p w14:paraId="1FC77D6F" w14:textId="2A854B9C" w:rsidR="00E030C7" w:rsidRPr="000F5B29" w:rsidRDefault="00E030C7" w:rsidP="004C246C">
      <w:pPr>
        <w:spacing w:line="360" w:lineRule="auto"/>
        <w:jc w:val="both"/>
        <w:rPr>
          <w:sz w:val="20"/>
          <w:szCs w:val="20"/>
        </w:rPr>
      </w:pPr>
      <w:r w:rsidRPr="000F5B29">
        <w:rPr>
          <w:sz w:val="20"/>
          <w:szCs w:val="20"/>
        </w:rPr>
        <w:t xml:space="preserve">En 2025, la economía mexicana consolidó un periodo de crecimiento sostenido y estable, registrando una expansión estimada de 2.3% anual, conforme a las proyecciones del FMI y la Secretaría de Hacienda y Crédito Público (SHCP). Este desempeño marca cinco años consecutivos de crecimiento </w:t>
      </w:r>
      <w:r w:rsidRPr="000F5B29">
        <w:rPr>
          <w:sz w:val="20"/>
          <w:szCs w:val="20"/>
        </w:rPr>
        <w:lastRenderedPageBreak/>
        <w:t>positivo, en un entorno de estabilidad macroeconómica, disciplina fiscal y fortalecimiento del mercado interno.</w:t>
      </w:r>
    </w:p>
    <w:p w14:paraId="4323BFB3" w14:textId="77777777" w:rsidR="00E030C7" w:rsidRPr="000F5B29" w:rsidRDefault="00E030C7" w:rsidP="004C246C">
      <w:pPr>
        <w:spacing w:line="360" w:lineRule="auto"/>
        <w:jc w:val="both"/>
        <w:rPr>
          <w:sz w:val="20"/>
          <w:szCs w:val="20"/>
        </w:rPr>
      </w:pPr>
    </w:p>
    <w:p w14:paraId="4D7E1A18" w14:textId="77777777" w:rsidR="00E030C7" w:rsidRPr="000F5B29" w:rsidRDefault="00E030C7" w:rsidP="004C246C">
      <w:pPr>
        <w:spacing w:line="360" w:lineRule="auto"/>
        <w:jc w:val="both"/>
        <w:rPr>
          <w:sz w:val="20"/>
          <w:szCs w:val="20"/>
        </w:rPr>
      </w:pPr>
      <w:r w:rsidRPr="000F5B29">
        <w:rPr>
          <w:sz w:val="20"/>
          <w:szCs w:val="20"/>
        </w:rPr>
        <w:t>Tras el dinamismo observado entre 2021 y 2023, la actividad económica mostró una desaceleración moderada, asociada principalmente al menor impulso externo y al ajuste de la demanda interna. Sin embargo, el PIB real de México se mantiene por encima de su nivel prepandemia y ha logrado sostener su tendencia ascendente gracias al incremento de la inversión privada vinculada al proceso de relocalización productiva (</w:t>
      </w:r>
      <w:proofErr w:type="spellStart"/>
      <w:r w:rsidRPr="000F5B29">
        <w:rPr>
          <w:sz w:val="20"/>
          <w:szCs w:val="20"/>
        </w:rPr>
        <w:t>nearshoring</w:t>
      </w:r>
      <w:proofErr w:type="spellEnd"/>
      <w:r w:rsidRPr="000F5B29">
        <w:rPr>
          <w:sz w:val="20"/>
          <w:szCs w:val="20"/>
        </w:rPr>
        <w:t>), la recuperación del empleo formal y la estabilidad del consumo privado.</w:t>
      </w:r>
    </w:p>
    <w:p w14:paraId="79BBE7A0" w14:textId="77777777" w:rsidR="00E030C7" w:rsidRPr="000F5B29" w:rsidRDefault="00E030C7" w:rsidP="004C246C">
      <w:pPr>
        <w:spacing w:line="360" w:lineRule="auto"/>
        <w:jc w:val="both"/>
        <w:rPr>
          <w:sz w:val="20"/>
          <w:szCs w:val="20"/>
          <w:lang w:val="es-MX"/>
        </w:rPr>
      </w:pPr>
    </w:p>
    <w:p w14:paraId="38B1EE52" w14:textId="12A5650C" w:rsidR="00E030C7" w:rsidRPr="000F5B29" w:rsidRDefault="00E030C7" w:rsidP="004C246C">
      <w:pPr>
        <w:spacing w:line="360" w:lineRule="auto"/>
        <w:jc w:val="both"/>
        <w:rPr>
          <w:sz w:val="20"/>
          <w:szCs w:val="20"/>
        </w:rPr>
      </w:pPr>
      <w:r w:rsidRPr="000F5B29">
        <w:rPr>
          <w:sz w:val="20"/>
          <w:szCs w:val="20"/>
        </w:rPr>
        <w:t>El buen desempeño de la economía mexicana durante 2024 y 2025 ha sido impulsado por niveles sostenidos de inversión, en un entorno de estabilidad macroeconómica y fortalecimiento institucional. La inversión fija bruta mantuvo un crecimiento promedio anual de 4.5% en 2024 y se proyecta en 3.8% para 2025, consolidando a México como uno de los destinos más atractivos para la relocalización de empresas (</w:t>
      </w:r>
      <w:proofErr w:type="spellStart"/>
      <w:r w:rsidRPr="000F5B29">
        <w:rPr>
          <w:sz w:val="20"/>
          <w:szCs w:val="20"/>
        </w:rPr>
        <w:t>nearshoring</w:t>
      </w:r>
      <w:proofErr w:type="spellEnd"/>
      <w:r w:rsidRPr="000F5B29">
        <w:rPr>
          <w:sz w:val="20"/>
          <w:szCs w:val="20"/>
        </w:rPr>
        <w:t>) en América del Norte.</w:t>
      </w:r>
    </w:p>
    <w:p w14:paraId="1D1089BF" w14:textId="77777777" w:rsidR="00E030C7" w:rsidRPr="000F5B29" w:rsidRDefault="00E030C7" w:rsidP="004C246C">
      <w:pPr>
        <w:spacing w:line="360" w:lineRule="auto"/>
        <w:jc w:val="both"/>
        <w:rPr>
          <w:sz w:val="20"/>
          <w:szCs w:val="20"/>
        </w:rPr>
      </w:pPr>
    </w:p>
    <w:p w14:paraId="1E812294" w14:textId="77777777" w:rsidR="00E030C7" w:rsidRPr="000F5B29" w:rsidRDefault="00E030C7" w:rsidP="004C246C">
      <w:pPr>
        <w:spacing w:line="360" w:lineRule="auto"/>
        <w:jc w:val="both"/>
        <w:rPr>
          <w:sz w:val="20"/>
          <w:szCs w:val="20"/>
        </w:rPr>
      </w:pPr>
      <w:r w:rsidRPr="000F5B29">
        <w:rPr>
          <w:sz w:val="20"/>
          <w:szCs w:val="20"/>
        </w:rPr>
        <w:t>La inversión privada continúa siendo el principal motor de crecimiento, orientada hacia los sectores manufacturero, energético y logístico, así como en infraestructura tecnológica y parques industriales. Este dinamismo se ha visto respaldado por la confianza empresarial derivada de la estabilidad política, la fortaleza del mercado interno y las oportunidades generadas por el nuevo entorno comercial del T-MEC.</w:t>
      </w:r>
    </w:p>
    <w:p w14:paraId="5B185876" w14:textId="77777777" w:rsidR="00E030C7" w:rsidRPr="000F5B29" w:rsidRDefault="00E030C7" w:rsidP="004C246C">
      <w:pPr>
        <w:spacing w:line="360" w:lineRule="auto"/>
        <w:jc w:val="both"/>
        <w:rPr>
          <w:sz w:val="20"/>
          <w:szCs w:val="20"/>
        </w:rPr>
      </w:pPr>
    </w:p>
    <w:p w14:paraId="500698C2" w14:textId="77777777" w:rsidR="00E030C7" w:rsidRPr="000F5B29" w:rsidRDefault="00E030C7" w:rsidP="004C246C">
      <w:pPr>
        <w:spacing w:line="360" w:lineRule="auto"/>
        <w:jc w:val="both"/>
        <w:rPr>
          <w:sz w:val="20"/>
          <w:szCs w:val="20"/>
        </w:rPr>
      </w:pPr>
      <w:r w:rsidRPr="000F5B29">
        <w:rPr>
          <w:sz w:val="20"/>
          <w:szCs w:val="20"/>
        </w:rPr>
        <w:t>Por su parte, la inversión pública mantiene una tendencia positiva por tercer año consecutivo, impulsada por proyectos estratégicos de infraestructura de transporte, conectividad y energía limpia, especialmente en la región sur-sureste del país. Destacan las obras de ampliación del Corredor Interoceánico del Istmo de Tehuantepec, el desarrollo de zonas logísticas e industriales, y los proyectos de movilidad urbana y ferroviaria que fortalecen la integración regional y la competitividad nacional.</w:t>
      </w:r>
    </w:p>
    <w:p w14:paraId="281F27EA" w14:textId="77777777" w:rsidR="00E030C7" w:rsidRPr="000F5B29" w:rsidRDefault="00E030C7" w:rsidP="004C246C">
      <w:pPr>
        <w:spacing w:line="360" w:lineRule="auto"/>
        <w:jc w:val="both"/>
        <w:rPr>
          <w:sz w:val="20"/>
          <w:szCs w:val="20"/>
          <w:lang w:val="es-MX"/>
        </w:rPr>
      </w:pPr>
    </w:p>
    <w:p w14:paraId="4E4B02E4" w14:textId="35E8614A" w:rsidR="00E030C7" w:rsidRPr="000F5B29" w:rsidRDefault="00E030C7" w:rsidP="004C246C">
      <w:pPr>
        <w:spacing w:line="360" w:lineRule="auto"/>
        <w:jc w:val="both"/>
        <w:rPr>
          <w:sz w:val="20"/>
          <w:szCs w:val="20"/>
        </w:rPr>
      </w:pPr>
      <w:r w:rsidRPr="000F5B29">
        <w:rPr>
          <w:sz w:val="20"/>
          <w:szCs w:val="20"/>
        </w:rPr>
        <w:t xml:space="preserve">El fortalecimiento del mercado laboral ha sido uno de los pilares del crecimiento económico en México durante 2024 y 2025. El incremento sostenido de los salarios reales, junto con la expansión del empleo formal y la implementación de reformas laborales orientadas a mejorar las condiciones y prestaciones de los trabajadores, han impulsado la confianza del consumidor y la demanda interna. De acuerdo con el </w:t>
      </w:r>
      <w:r w:rsidR="005A69E5">
        <w:rPr>
          <w:sz w:val="20"/>
          <w:szCs w:val="20"/>
        </w:rPr>
        <w:t>Instituto Nacional de Estadística y Geografía (</w:t>
      </w:r>
      <w:r w:rsidRPr="000F5B29">
        <w:rPr>
          <w:sz w:val="20"/>
          <w:szCs w:val="20"/>
        </w:rPr>
        <w:t>INEGI</w:t>
      </w:r>
      <w:r w:rsidR="005A69E5">
        <w:rPr>
          <w:sz w:val="20"/>
          <w:szCs w:val="20"/>
        </w:rPr>
        <w:t>)</w:t>
      </w:r>
      <w:r w:rsidRPr="000F5B29">
        <w:rPr>
          <w:sz w:val="20"/>
          <w:szCs w:val="20"/>
        </w:rPr>
        <w:t xml:space="preserve">, el consumo privado creció 3.5% en 2024 y </w:t>
      </w:r>
      <w:r w:rsidRPr="000F5B29">
        <w:rPr>
          <w:sz w:val="20"/>
          <w:szCs w:val="20"/>
        </w:rPr>
        <w:lastRenderedPageBreak/>
        <w:t>se estima un aumento de 3.2% para 2025, cifras superiores a su promedio histórico, sostenidas por el aumento del ingreso disponible y el acceso al crédito al consumo.</w:t>
      </w:r>
    </w:p>
    <w:p w14:paraId="2EBAB83A" w14:textId="77777777" w:rsidR="00E030C7" w:rsidRPr="000F5B29" w:rsidRDefault="00E030C7" w:rsidP="004C246C">
      <w:pPr>
        <w:spacing w:line="360" w:lineRule="auto"/>
        <w:jc w:val="both"/>
        <w:rPr>
          <w:sz w:val="20"/>
          <w:szCs w:val="20"/>
        </w:rPr>
      </w:pPr>
    </w:p>
    <w:p w14:paraId="4C3A42EA" w14:textId="03F75AC5" w:rsidR="00E030C7" w:rsidRPr="000F5B29" w:rsidRDefault="00E030C7" w:rsidP="004C246C">
      <w:pPr>
        <w:spacing w:line="360" w:lineRule="auto"/>
        <w:jc w:val="both"/>
        <w:rPr>
          <w:sz w:val="20"/>
          <w:szCs w:val="20"/>
        </w:rPr>
      </w:pPr>
      <w:r w:rsidRPr="000F5B29">
        <w:rPr>
          <w:sz w:val="20"/>
          <w:szCs w:val="20"/>
        </w:rPr>
        <w:t xml:space="preserve">Por su parte, el sector externo mantiene un papel relevante en el desempeño de la economía nacional. México consolidó su posición como principal socio comercial de Estados Unidos, con un crecimiento de las exportaciones manufactureras de 3.8% en 2025, impulsadas por la producción automotriz, electrónica y de equipo de transporte. La IED alcanzó un nivel histórico de 40 mil millones de dólares, concentrándose en sectores asociados al fenómeno del </w:t>
      </w:r>
      <w:proofErr w:type="spellStart"/>
      <w:r w:rsidRPr="000F5B29">
        <w:rPr>
          <w:sz w:val="20"/>
          <w:szCs w:val="20"/>
        </w:rPr>
        <w:t>nearshoring</w:t>
      </w:r>
      <w:proofErr w:type="spellEnd"/>
      <w:r w:rsidRPr="000F5B29">
        <w:rPr>
          <w:sz w:val="20"/>
          <w:szCs w:val="20"/>
        </w:rPr>
        <w:t>, como autopartes, semiconductores y logística.</w:t>
      </w:r>
    </w:p>
    <w:p w14:paraId="7225ED89" w14:textId="77777777" w:rsidR="00E030C7" w:rsidRPr="000F5B29" w:rsidRDefault="00E030C7" w:rsidP="004C246C">
      <w:pPr>
        <w:spacing w:line="360" w:lineRule="auto"/>
        <w:jc w:val="both"/>
        <w:rPr>
          <w:sz w:val="20"/>
          <w:szCs w:val="20"/>
        </w:rPr>
      </w:pPr>
    </w:p>
    <w:p w14:paraId="34169B81" w14:textId="77777777" w:rsidR="00E030C7" w:rsidRPr="000F5B29" w:rsidRDefault="00E030C7" w:rsidP="004C246C">
      <w:pPr>
        <w:spacing w:line="360" w:lineRule="auto"/>
        <w:jc w:val="both"/>
        <w:rPr>
          <w:sz w:val="20"/>
          <w:szCs w:val="20"/>
          <w:lang w:val="es-MX"/>
        </w:rPr>
      </w:pPr>
      <w:r w:rsidRPr="000F5B29">
        <w:rPr>
          <w:sz w:val="20"/>
          <w:szCs w:val="20"/>
        </w:rPr>
        <w:t>Las remesas familiares se mantuvieron como una fuente fundamental de divisas, con un flujo anual superior a 65 mil millones de dólares en 2025, mientras que los ingresos por turismo internacional superaron los 32 mil millones de dólares, consolidando la recuperación total del sector. El tipo de cambio se estabilizó en torno a 17.8 pesos por dólar, reflejo de la solidez de los fundamentos macroeconómicos y del diferencial favorable de tasas de interés, lo que ha contribuido a preservar la estabilidad financiera y contener las presiones inflacionarias sobre las importaciones.</w:t>
      </w:r>
    </w:p>
    <w:p w14:paraId="62586BB8" w14:textId="77777777" w:rsidR="00E030C7" w:rsidRPr="000F5B29" w:rsidRDefault="00E030C7" w:rsidP="004C246C">
      <w:pPr>
        <w:spacing w:line="360" w:lineRule="auto"/>
        <w:jc w:val="both"/>
        <w:rPr>
          <w:sz w:val="20"/>
          <w:szCs w:val="20"/>
        </w:rPr>
      </w:pPr>
    </w:p>
    <w:p w14:paraId="75295319" w14:textId="1A99953A" w:rsidR="00E030C7" w:rsidRPr="000F5B29" w:rsidRDefault="00E030C7" w:rsidP="004C246C">
      <w:pPr>
        <w:spacing w:line="360" w:lineRule="auto"/>
        <w:jc w:val="both"/>
        <w:rPr>
          <w:sz w:val="20"/>
          <w:szCs w:val="20"/>
        </w:rPr>
      </w:pPr>
      <w:r w:rsidRPr="000F5B29">
        <w:rPr>
          <w:sz w:val="20"/>
          <w:szCs w:val="20"/>
        </w:rPr>
        <w:t>La economía mexicana mantiene una trayectoria de crecimiento estable y sostenido durante el bienio 2025–2026, con una expansión proyectada del 2.3% en 2025 y 2.5% en 2026, impulsada principalmente por la fortaleza del mercado interno, la recuperación gradual de la inversión pública y el dinamismo del consumo privado. La demanda interna continúa siendo el principal motor de la actividad económica, apoyada en el incremento del salario real, el empleo formal y la política social orientada al bienestar.</w:t>
      </w:r>
    </w:p>
    <w:p w14:paraId="4D65DD71" w14:textId="77777777" w:rsidR="00E030C7" w:rsidRPr="000F5B29" w:rsidRDefault="00E030C7" w:rsidP="004C246C">
      <w:pPr>
        <w:spacing w:line="360" w:lineRule="auto"/>
        <w:jc w:val="both"/>
        <w:rPr>
          <w:sz w:val="20"/>
          <w:szCs w:val="20"/>
        </w:rPr>
      </w:pPr>
    </w:p>
    <w:p w14:paraId="57ED1F87" w14:textId="21A6783D" w:rsidR="00E030C7" w:rsidRPr="000F5B29" w:rsidRDefault="00E030C7" w:rsidP="004C246C">
      <w:pPr>
        <w:spacing w:line="360" w:lineRule="auto"/>
        <w:jc w:val="both"/>
        <w:rPr>
          <w:sz w:val="20"/>
          <w:szCs w:val="20"/>
        </w:rPr>
      </w:pPr>
      <w:r w:rsidRPr="000F5B29">
        <w:rPr>
          <w:sz w:val="20"/>
          <w:szCs w:val="20"/>
        </w:rPr>
        <w:t>La inflación general ha convergido hacia niveles cercanos al 3.3%, dentro del rango objetivo del Ban</w:t>
      </w:r>
      <w:r w:rsidR="00C642DB">
        <w:rPr>
          <w:sz w:val="20"/>
          <w:szCs w:val="20"/>
        </w:rPr>
        <w:t>xico</w:t>
      </w:r>
      <w:r w:rsidRPr="000F5B29">
        <w:rPr>
          <w:sz w:val="20"/>
          <w:szCs w:val="20"/>
        </w:rPr>
        <w:t>, lo que ha permitido el inicio de un ciclo moderado de reducción de tasas de interés y un entorno más propicio para el crédito y la inversión productiva. A nivel estructural, el país se beneficia de la relocalización industrial (</w:t>
      </w:r>
      <w:proofErr w:type="spellStart"/>
      <w:r w:rsidRPr="000F5B29">
        <w:rPr>
          <w:sz w:val="20"/>
          <w:szCs w:val="20"/>
        </w:rPr>
        <w:t>nearshoring</w:t>
      </w:r>
      <w:proofErr w:type="spellEnd"/>
      <w:r w:rsidRPr="000F5B29">
        <w:rPr>
          <w:sz w:val="20"/>
          <w:szCs w:val="20"/>
        </w:rPr>
        <w:t>), que impulsa la creación de cadenas de valor regionales en manufactura, tecnología y energía limpia.</w:t>
      </w:r>
    </w:p>
    <w:p w14:paraId="3EDF51F7" w14:textId="77777777" w:rsidR="00E030C7" w:rsidRPr="000F5B29" w:rsidRDefault="00E030C7" w:rsidP="004C246C">
      <w:pPr>
        <w:spacing w:line="360" w:lineRule="auto"/>
        <w:jc w:val="both"/>
        <w:rPr>
          <w:sz w:val="20"/>
          <w:szCs w:val="20"/>
        </w:rPr>
      </w:pPr>
    </w:p>
    <w:p w14:paraId="185834FE" w14:textId="77777777" w:rsidR="00E030C7" w:rsidRPr="000F5B29" w:rsidRDefault="00E030C7" w:rsidP="004C246C">
      <w:pPr>
        <w:spacing w:line="360" w:lineRule="auto"/>
        <w:jc w:val="both"/>
        <w:rPr>
          <w:sz w:val="20"/>
          <w:szCs w:val="20"/>
        </w:rPr>
      </w:pPr>
      <w:r w:rsidRPr="000F5B29">
        <w:rPr>
          <w:sz w:val="20"/>
          <w:szCs w:val="20"/>
        </w:rPr>
        <w:t xml:space="preserve">Las proyecciones del marco macroeconómico 2026 contemplan un escenario de estabilidad y consolidación fiscal, sin incorporar aún los posibles efectos positivos de nuevas políticas federales o regionales vinculadas a la transición energética, la inversión verde y los proyectos de infraestructura </w:t>
      </w:r>
      <w:r w:rsidRPr="000F5B29">
        <w:rPr>
          <w:sz w:val="20"/>
          <w:szCs w:val="20"/>
        </w:rPr>
        <w:lastRenderedPageBreak/>
        <w:t>logística. Con ello, se prevé que México mantenga un ritmo de crecimiento moderado pero sostenido, basado en fundamentos sólidos y una política económica prudente.</w:t>
      </w:r>
    </w:p>
    <w:p w14:paraId="0AF5B9F6" w14:textId="77777777" w:rsidR="00E030C7" w:rsidRPr="000F5B29" w:rsidRDefault="00E030C7" w:rsidP="004C246C">
      <w:pPr>
        <w:spacing w:line="360" w:lineRule="auto"/>
        <w:jc w:val="both"/>
        <w:rPr>
          <w:sz w:val="20"/>
          <w:szCs w:val="20"/>
          <w:lang w:val="es-MX"/>
        </w:rPr>
      </w:pPr>
    </w:p>
    <w:p w14:paraId="0FEBC300" w14:textId="77777777" w:rsidR="00E030C7" w:rsidRPr="000F5B29" w:rsidRDefault="00E030C7" w:rsidP="004C246C">
      <w:pPr>
        <w:spacing w:line="360" w:lineRule="auto"/>
        <w:jc w:val="both"/>
        <w:rPr>
          <w:sz w:val="20"/>
          <w:szCs w:val="20"/>
        </w:rPr>
      </w:pPr>
      <w:r w:rsidRPr="000F5B29">
        <w:rPr>
          <w:sz w:val="20"/>
          <w:szCs w:val="20"/>
        </w:rPr>
        <w:t>El consumo de los hogares continuará mostrando resiliencia y dinamismo durante el periodo 2025–2026, sostenido por el aumento real del salario mínimo, la formalización del empleo, y la expansión de los programas sociales de apoyo directo que fortalecen el ingreso disponible de las familias. El gasto social federal y estatal se mantiene como un motor relevante de la demanda agregada, contribuyendo a reducir la pobreza laboral y a consolidar el mercado interno. La confianza del consumidor y la disponibilidad de crédito se mantienen en niveles favorables, lo que impulsa la compra de bienes duraderos y servicios.</w:t>
      </w:r>
    </w:p>
    <w:p w14:paraId="62A4860E" w14:textId="77777777" w:rsidR="00E030C7" w:rsidRPr="000F5B29" w:rsidRDefault="00E030C7" w:rsidP="004C246C">
      <w:pPr>
        <w:spacing w:line="360" w:lineRule="auto"/>
        <w:jc w:val="both"/>
        <w:rPr>
          <w:sz w:val="20"/>
          <w:szCs w:val="20"/>
        </w:rPr>
      </w:pPr>
    </w:p>
    <w:p w14:paraId="5CB7A39F" w14:textId="77777777" w:rsidR="00E030C7" w:rsidRPr="000F5B29" w:rsidRDefault="00E030C7" w:rsidP="004C246C">
      <w:pPr>
        <w:spacing w:line="360" w:lineRule="auto"/>
        <w:jc w:val="both"/>
        <w:rPr>
          <w:sz w:val="20"/>
          <w:szCs w:val="20"/>
        </w:rPr>
      </w:pPr>
      <w:r w:rsidRPr="000F5B29">
        <w:rPr>
          <w:sz w:val="20"/>
          <w:szCs w:val="20"/>
        </w:rPr>
        <w:t xml:space="preserve">En materia de inversión, se prevé que el país continúe canalizando recursos hacia infraestructura productiva y de conectividad, con especial énfasis en proyectos de movilidad, transporte ferroviario, energía renovable y desarrollo industrial. La construcción no residencial y los parques industriales vinculados al </w:t>
      </w:r>
      <w:proofErr w:type="spellStart"/>
      <w:r w:rsidRPr="000F5B29">
        <w:rPr>
          <w:sz w:val="20"/>
          <w:szCs w:val="20"/>
        </w:rPr>
        <w:t>nearshoring</w:t>
      </w:r>
      <w:proofErr w:type="spellEnd"/>
      <w:r w:rsidRPr="000F5B29">
        <w:rPr>
          <w:sz w:val="20"/>
          <w:szCs w:val="20"/>
        </w:rPr>
        <w:t xml:space="preserve"> seguirán siendo los principales receptores de inversión privada, mientras que la inversión pública fortalecerá la infraestructura estratégica nacional para mejorar la competitividad y reducir los costos logísticos.</w:t>
      </w:r>
    </w:p>
    <w:p w14:paraId="0C0CF11E" w14:textId="77777777" w:rsidR="00E030C7" w:rsidRPr="000F5B29" w:rsidRDefault="00E030C7" w:rsidP="004C246C">
      <w:pPr>
        <w:spacing w:line="360" w:lineRule="auto"/>
        <w:jc w:val="both"/>
        <w:rPr>
          <w:sz w:val="20"/>
          <w:szCs w:val="20"/>
        </w:rPr>
      </w:pPr>
    </w:p>
    <w:p w14:paraId="678AC405" w14:textId="7AF10234" w:rsidR="00E030C7" w:rsidRPr="000F5B29" w:rsidRDefault="00E030C7" w:rsidP="004C246C">
      <w:pPr>
        <w:spacing w:line="360" w:lineRule="auto"/>
        <w:jc w:val="both"/>
        <w:rPr>
          <w:sz w:val="20"/>
          <w:szCs w:val="20"/>
        </w:rPr>
      </w:pPr>
      <w:r w:rsidRPr="000F5B29">
        <w:rPr>
          <w:sz w:val="20"/>
          <w:szCs w:val="20"/>
        </w:rPr>
        <w:t>En este contexto, el crecimiento económico nacional se proyecta en un rango de 2.3% para 2025 y 2.5% para 2026, en línea con las estimaciones de la SHCP y el FMI. Estas previsiones se sustentan en un escenario de estabilidad macroeconómica, consolidación fiscal, menor inflación (3.3%) y una reducción gradual de la tasa de interés, lo que permitirá mantener el dinamismo del consumo y la inversión en un entorno de prudencia financiera y estabilidad de precios.</w:t>
      </w:r>
    </w:p>
    <w:p w14:paraId="518ECF87" w14:textId="77777777" w:rsidR="00E030C7" w:rsidRPr="000F5B29" w:rsidRDefault="00E030C7" w:rsidP="004C246C">
      <w:pPr>
        <w:spacing w:line="360" w:lineRule="auto"/>
        <w:jc w:val="both"/>
        <w:rPr>
          <w:color w:val="FF0000"/>
          <w:sz w:val="20"/>
          <w:szCs w:val="20"/>
          <w:lang w:val="es-MX"/>
        </w:rPr>
      </w:pPr>
    </w:p>
    <w:p w14:paraId="6EBC5478" w14:textId="7249E20F" w:rsidR="00E030C7" w:rsidRPr="00FD1A45" w:rsidRDefault="00FD1A45" w:rsidP="004C246C">
      <w:pPr>
        <w:spacing w:line="360" w:lineRule="auto"/>
        <w:jc w:val="both"/>
        <w:rPr>
          <w:rFonts w:eastAsia="Calibri"/>
          <w:b/>
          <w:color w:val="000000" w:themeColor="text1"/>
          <w:sz w:val="20"/>
          <w:szCs w:val="20"/>
        </w:rPr>
      </w:pPr>
      <w:r>
        <w:rPr>
          <w:rFonts w:eastAsia="Calibri"/>
          <w:b/>
          <w:color w:val="000000" w:themeColor="text1"/>
          <w:sz w:val="20"/>
          <w:szCs w:val="20"/>
        </w:rPr>
        <w:t xml:space="preserve">III.3. </w:t>
      </w:r>
      <w:r w:rsidR="00E030C7" w:rsidRPr="00FD1A45">
        <w:rPr>
          <w:rFonts w:eastAsia="Calibri"/>
          <w:b/>
          <w:color w:val="000000" w:themeColor="text1"/>
          <w:sz w:val="20"/>
          <w:szCs w:val="20"/>
        </w:rPr>
        <w:t>DISCIPLINA FINANCIERA</w:t>
      </w:r>
    </w:p>
    <w:p w14:paraId="4A01650C" w14:textId="77777777" w:rsidR="00E030C7" w:rsidRPr="000F5B29" w:rsidRDefault="00E030C7" w:rsidP="004C246C">
      <w:pPr>
        <w:spacing w:line="360" w:lineRule="auto"/>
        <w:jc w:val="both"/>
        <w:rPr>
          <w:rFonts w:eastAsia="Calibri"/>
          <w:b/>
          <w:color w:val="000000" w:themeColor="text1"/>
          <w:sz w:val="20"/>
          <w:szCs w:val="20"/>
        </w:rPr>
      </w:pPr>
    </w:p>
    <w:p w14:paraId="328E551A" w14:textId="77777777" w:rsidR="00E030C7" w:rsidRPr="000F5B29" w:rsidRDefault="00E030C7" w:rsidP="004C246C">
      <w:pPr>
        <w:spacing w:line="360" w:lineRule="auto"/>
        <w:jc w:val="both"/>
        <w:rPr>
          <w:rFonts w:eastAsia="Calibri"/>
          <w:sz w:val="20"/>
          <w:szCs w:val="20"/>
        </w:rPr>
      </w:pPr>
      <w:r w:rsidRPr="000F5B29">
        <w:rPr>
          <w:rFonts w:eastAsia="Calibri"/>
          <w:sz w:val="20"/>
          <w:szCs w:val="20"/>
        </w:rPr>
        <w:t>Para el Ejercicio Fiscal 2026, el Proyecto de Decreto de Presupuesto de Egresos del Estado de Tlaxcala incorpora en su estructura las disposiciones vigentes de la Ley de Disciplina Financiera de las Entidades Federativas y los Municipios, garantizando un manejo responsable, transparente y sostenible de los recursos públicos.</w:t>
      </w:r>
    </w:p>
    <w:p w14:paraId="196394D3" w14:textId="77777777" w:rsidR="00E030C7" w:rsidRPr="000F5B29" w:rsidRDefault="00E030C7" w:rsidP="004C246C">
      <w:pPr>
        <w:spacing w:line="360" w:lineRule="auto"/>
        <w:jc w:val="both"/>
        <w:rPr>
          <w:rFonts w:eastAsia="Calibri"/>
          <w:sz w:val="20"/>
          <w:szCs w:val="20"/>
        </w:rPr>
      </w:pPr>
    </w:p>
    <w:p w14:paraId="1C5115FB" w14:textId="7BE1F68C" w:rsidR="00E030C7" w:rsidRPr="000F5B29" w:rsidRDefault="00E030C7" w:rsidP="004C246C">
      <w:pPr>
        <w:spacing w:line="360" w:lineRule="auto"/>
        <w:jc w:val="both"/>
        <w:rPr>
          <w:rFonts w:eastAsia="Calibri"/>
          <w:sz w:val="20"/>
          <w:szCs w:val="20"/>
        </w:rPr>
      </w:pPr>
      <w:r w:rsidRPr="000F5B29">
        <w:rPr>
          <w:rFonts w:eastAsia="Calibri"/>
          <w:sz w:val="20"/>
          <w:szCs w:val="20"/>
        </w:rPr>
        <w:t xml:space="preserve">Su formulación se encuentra plenamente sustentada en el Plan Estatal de Desarrollo 2021–2027, que define los ejes estratégicos de gobierno y orienta la política hacendaria hacia resultados medibles y de alto impacto social. Asimismo, el proyecto presupuestal observa los lineamientos establecidos en los </w:t>
      </w:r>
      <w:r w:rsidRPr="000F5B29">
        <w:rPr>
          <w:rFonts w:eastAsia="Calibri"/>
          <w:sz w:val="20"/>
          <w:szCs w:val="20"/>
        </w:rPr>
        <w:lastRenderedPageBreak/>
        <w:t>Criterios Generales de Política Económica (CGPE) Federales 2026, presentados por la SHCP, los cuales prevén un entorno macroeconómico caracterizado por la estabilidad de precios, el fortalecimiento de las finanzas públicas y un crecimiento económico moderado pero sostenido.</w:t>
      </w:r>
    </w:p>
    <w:p w14:paraId="6DC501EB" w14:textId="77777777" w:rsidR="00E030C7" w:rsidRPr="000F5B29" w:rsidRDefault="00E030C7" w:rsidP="004C246C">
      <w:pPr>
        <w:spacing w:line="360" w:lineRule="auto"/>
        <w:jc w:val="both"/>
        <w:rPr>
          <w:rFonts w:eastAsia="Calibri"/>
          <w:sz w:val="20"/>
          <w:szCs w:val="20"/>
        </w:rPr>
      </w:pPr>
    </w:p>
    <w:p w14:paraId="39E77601" w14:textId="77777777" w:rsidR="00E030C7" w:rsidRPr="000F5B29" w:rsidRDefault="00E030C7" w:rsidP="004C246C">
      <w:pPr>
        <w:spacing w:line="360" w:lineRule="auto"/>
        <w:jc w:val="both"/>
        <w:rPr>
          <w:rFonts w:eastAsia="Calibri"/>
          <w:sz w:val="20"/>
          <w:szCs w:val="20"/>
          <w:lang w:val="es-MX"/>
        </w:rPr>
      </w:pPr>
      <w:r w:rsidRPr="000F5B29">
        <w:rPr>
          <w:rFonts w:eastAsia="Calibri"/>
          <w:sz w:val="20"/>
          <w:szCs w:val="20"/>
        </w:rPr>
        <w:t>De esta manera, el Gobierno del Estado reafirma su compromiso con una planeación financiera basada en objetivos claros, estrategias definidas e indicadores de desempeño cuantificables, en congruencia con los principios de austeridad, eficiencia, disciplina y transparencia que rigen la gestión pública estatal.</w:t>
      </w:r>
    </w:p>
    <w:p w14:paraId="7FA6D1E9" w14:textId="77777777" w:rsidR="00E030C7" w:rsidRPr="000F5B29" w:rsidRDefault="00E030C7" w:rsidP="004C246C">
      <w:pPr>
        <w:spacing w:line="360" w:lineRule="auto"/>
        <w:jc w:val="both"/>
        <w:rPr>
          <w:rFonts w:eastAsia="Calibri"/>
          <w:color w:val="000000" w:themeColor="text1"/>
          <w:sz w:val="20"/>
          <w:szCs w:val="20"/>
          <w:lang w:val="es-MX"/>
        </w:rPr>
      </w:pPr>
    </w:p>
    <w:p w14:paraId="3DCFD7C6" w14:textId="77777777" w:rsidR="00E030C7" w:rsidRPr="000F5B29" w:rsidRDefault="00E030C7" w:rsidP="004C246C">
      <w:pPr>
        <w:spacing w:line="360" w:lineRule="auto"/>
        <w:jc w:val="both"/>
        <w:rPr>
          <w:rFonts w:eastAsia="Calibri"/>
          <w:color w:val="000000" w:themeColor="text1"/>
          <w:sz w:val="20"/>
          <w:szCs w:val="20"/>
        </w:rPr>
      </w:pPr>
      <w:r w:rsidRPr="000F5B29">
        <w:rPr>
          <w:rFonts w:eastAsia="Calibri"/>
          <w:color w:val="000000" w:themeColor="text1"/>
          <w:sz w:val="20"/>
          <w:szCs w:val="20"/>
        </w:rPr>
        <w:t>En correspondencia con la política económica nacional, en esta iniciativa se consideraron:</w:t>
      </w:r>
    </w:p>
    <w:p w14:paraId="699591C8" w14:textId="77777777" w:rsidR="00E030C7" w:rsidRPr="000F5B29" w:rsidRDefault="00E030C7" w:rsidP="004C246C">
      <w:pPr>
        <w:spacing w:line="360" w:lineRule="auto"/>
        <w:jc w:val="both"/>
        <w:rPr>
          <w:rFonts w:eastAsia="Calibri"/>
          <w:color w:val="000000" w:themeColor="text1"/>
          <w:sz w:val="20"/>
          <w:szCs w:val="20"/>
        </w:rPr>
      </w:pPr>
    </w:p>
    <w:p w14:paraId="2A06911B" w14:textId="77777777" w:rsidR="00E030C7" w:rsidRPr="000F5B29" w:rsidRDefault="00E030C7" w:rsidP="004C246C">
      <w:pPr>
        <w:pStyle w:val="Prrafodelista"/>
        <w:numPr>
          <w:ilvl w:val="0"/>
          <w:numId w:val="5"/>
        </w:numPr>
        <w:spacing w:line="360" w:lineRule="auto"/>
        <w:ind w:left="426" w:hanging="426"/>
        <w:jc w:val="both"/>
        <w:rPr>
          <w:rFonts w:eastAsia="Calibri"/>
          <w:color w:val="000000" w:themeColor="text1"/>
          <w:sz w:val="20"/>
          <w:szCs w:val="20"/>
        </w:rPr>
      </w:pPr>
      <w:r w:rsidRPr="000F5B29">
        <w:rPr>
          <w:rFonts w:eastAsia="Calibri"/>
          <w:color w:val="000000" w:themeColor="text1"/>
          <w:sz w:val="20"/>
          <w:szCs w:val="20"/>
        </w:rPr>
        <w:t>Objetivos anuales, estrategias y metas alineadas al Plan Estatal de Desarrollo 2021–2027 y al marco macroeconómico, asegurando coherencia entre las prioridades del gasto público estatal y la estrategia nacional de desarrollo.</w:t>
      </w:r>
    </w:p>
    <w:p w14:paraId="58F97E6A" w14:textId="77777777" w:rsidR="00E030C7" w:rsidRPr="000F5B29" w:rsidRDefault="00E030C7" w:rsidP="004C246C">
      <w:pPr>
        <w:pStyle w:val="Prrafodelista"/>
        <w:numPr>
          <w:ilvl w:val="0"/>
          <w:numId w:val="5"/>
        </w:numPr>
        <w:spacing w:line="360" w:lineRule="auto"/>
        <w:ind w:left="426" w:hanging="426"/>
        <w:jc w:val="both"/>
        <w:rPr>
          <w:rFonts w:eastAsia="Calibri"/>
          <w:color w:val="000000" w:themeColor="text1"/>
          <w:sz w:val="20"/>
          <w:szCs w:val="20"/>
        </w:rPr>
      </w:pPr>
      <w:r w:rsidRPr="000F5B29">
        <w:rPr>
          <w:rFonts w:eastAsia="Calibri"/>
          <w:color w:val="000000" w:themeColor="text1"/>
          <w:sz w:val="20"/>
          <w:szCs w:val="20"/>
        </w:rPr>
        <w:t>Proyecciones presupuestales multianuales, que permiten anticipar escenarios de gasto y de financiamiento a mediano plazo, con base en supuestos macroeconómicos realistas y prudentes.</w:t>
      </w:r>
    </w:p>
    <w:p w14:paraId="76739EE4" w14:textId="26BC5C6F" w:rsidR="00E030C7" w:rsidRPr="000F5B29" w:rsidRDefault="00E030C7" w:rsidP="004C246C">
      <w:pPr>
        <w:pStyle w:val="Prrafodelista"/>
        <w:numPr>
          <w:ilvl w:val="0"/>
          <w:numId w:val="5"/>
        </w:numPr>
        <w:spacing w:line="360" w:lineRule="auto"/>
        <w:ind w:left="426" w:hanging="426"/>
        <w:jc w:val="both"/>
        <w:rPr>
          <w:rFonts w:eastAsia="Calibri"/>
          <w:color w:val="000000" w:themeColor="text1"/>
          <w:sz w:val="20"/>
          <w:szCs w:val="20"/>
        </w:rPr>
      </w:pPr>
      <w:r w:rsidRPr="000F5B29">
        <w:rPr>
          <w:rFonts w:eastAsia="Calibri"/>
          <w:color w:val="000000" w:themeColor="text1"/>
          <w:sz w:val="20"/>
          <w:szCs w:val="20"/>
        </w:rPr>
        <w:t>Identificación y evaluación de riesgos fiscales que pudieran afectar la estabilidad financiera estatal, incluyendo variaciones en las participaciones federales, contingencias climáticas, pasivos laborales, o presiones derivadas del gasto social y de servicios personales.</w:t>
      </w:r>
    </w:p>
    <w:p w14:paraId="4CA390BB" w14:textId="77777777" w:rsidR="00E030C7" w:rsidRPr="000F5B29" w:rsidRDefault="00E030C7" w:rsidP="004C246C">
      <w:pPr>
        <w:pStyle w:val="Prrafodelista"/>
        <w:numPr>
          <w:ilvl w:val="0"/>
          <w:numId w:val="5"/>
        </w:numPr>
        <w:spacing w:line="360" w:lineRule="auto"/>
        <w:ind w:left="426" w:hanging="426"/>
        <w:jc w:val="both"/>
        <w:rPr>
          <w:rFonts w:eastAsia="Calibri"/>
          <w:color w:val="000000" w:themeColor="text1"/>
          <w:sz w:val="20"/>
          <w:szCs w:val="20"/>
        </w:rPr>
      </w:pPr>
      <w:r w:rsidRPr="000F5B29">
        <w:rPr>
          <w:rFonts w:eastAsia="Calibri"/>
          <w:color w:val="000000" w:themeColor="text1"/>
          <w:sz w:val="20"/>
          <w:szCs w:val="20"/>
        </w:rPr>
        <w:t>Análisis de resultados presupuestarios de los últimos cinco ejercicios fiscales, con el propósito de evaluar el desempeño histórico de los ingresos, el cumplimiento de metas de equilibrio financiero y la eficiencia del gasto público, en congruencia con el principio de balance presupuestario sostenible.</w:t>
      </w:r>
    </w:p>
    <w:p w14:paraId="39F4322C" w14:textId="77777777" w:rsidR="00E030C7" w:rsidRPr="000F5B29" w:rsidRDefault="00E030C7" w:rsidP="004C246C">
      <w:pPr>
        <w:pStyle w:val="Prrafodelista"/>
        <w:numPr>
          <w:ilvl w:val="0"/>
          <w:numId w:val="5"/>
        </w:numPr>
        <w:spacing w:line="360" w:lineRule="auto"/>
        <w:ind w:left="426" w:hanging="426"/>
        <w:jc w:val="both"/>
        <w:rPr>
          <w:rFonts w:eastAsia="Calibri"/>
          <w:color w:val="000000" w:themeColor="text1"/>
          <w:sz w:val="20"/>
          <w:szCs w:val="20"/>
        </w:rPr>
      </w:pPr>
      <w:r w:rsidRPr="000F5B29">
        <w:rPr>
          <w:rFonts w:eastAsia="Calibri"/>
          <w:color w:val="000000" w:themeColor="text1"/>
          <w:sz w:val="20"/>
          <w:szCs w:val="20"/>
        </w:rPr>
        <w:t>Actualización del Estudio Actuarial de Pensiones, que incorpora proyecciones de largo plazo y análisis de sostenibilidad del sistema de pensiones estatal, a fin de garantizar la cobertura futura de las obligaciones previsionales con los trabajadores al servicio del Estado.</w:t>
      </w:r>
    </w:p>
    <w:p w14:paraId="68358C76" w14:textId="77777777" w:rsidR="00E030C7" w:rsidRPr="000F5B29" w:rsidRDefault="00E030C7" w:rsidP="004C246C">
      <w:pPr>
        <w:pStyle w:val="Prrafodelista"/>
        <w:spacing w:line="360" w:lineRule="auto"/>
        <w:ind w:left="0"/>
        <w:jc w:val="both"/>
        <w:rPr>
          <w:rFonts w:eastAsia="Calibri"/>
          <w:color w:val="000000" w:themeColor="text1"/>
          <w:sz w:val="20"/>
          <w:szCs w:val="20"/>
        </w:rPr>
      </w:pPr>
    </w:p>
    <w:p w14:paraId="695A79D5" w14:textId="77777777" w:rsidR="00E030C7" w:rsidRPr="000F5B29" w:rsidRDefault="00E030C7" w:rsidP="004C246C">
      <w:pPr>
        <w:spacing w:line="360" w:lineRule="auto"/>
        <w:jc w:val="both"/>
        <w:rPr>
          <w:rFonts w:eastAsia="Calibri"/>
          <w:color w:val="000000" w:themeColor="text1"/>
          <w:sz w:val="20"/>
          <w:szCs w:val="20"/>
        </w:rPr>
      </w:pPr>
      <w:r w:rsidRPr="000F5B29">
        <w:rPr>
          <w:rFonts w:eastAsia="Calibri"/>
          <w:color w:val="000000" w:themeColor="text1"/>
          <w:sz w:val="20"/>
          <w:szCs w:val="20"/>
        </w:rPr>
        <w:t>En el Proyecto de Decreto de Presupuesto de Egresos del Estado de Tlaxcala para el Ejercicio Fiscal 2026, se prevén medidas preventivas y provisiones financieras destinadas a mitigar riesgos y atender contingencias que pudieran afectar la estabilidad de las finanzas públicas. Dichas medidas se diseñan en cumplimiento de la Ley de Disciplina Financiera de las Entidades Federativas y los Municipios y del Código Financiero del Estado de Tlaxcala y sus Municipios, destacando las siguientes:</w:t>
      </w:r>
    </w:p>
    <w:p w14:paraId="4F00E0F5" w14:textId="77777777" w:rsidR="00E030C7" w:rsidRPr="000F5B29" w:rsidRDefault="00E030C7" w:rsidP="004C246C">
      <w:pPr>
        <w:spacing w:line="360" w:lineRule="auto"/>
        <w:jc w:val="both"/>
        <w:rPr>
          <w:rFonts w:eastAsia="Calibri"/>
          <w:color w:val="000000" w:themeColor="text1"/>
          <w:sz w:val="20"/>
          <w:szCs w:val="20"/>
        </w:rPr>
      </w:pPr>
    </w:p>
    <w:p w14:paraId="6FC2E527" w14:textId="7A099209" w:rsidR="00E030C7" w:rsidRPr="000F5B29" w:rsidRDefault="00E030C7" w:rsidP="004C246C">
      <w:pPr>
        <w:pStyle w:val="Prrafodelista"/>
        <w:numPr>
          <w:ilvl w:val="1"/>
          <w:numId w:val="6"/>
        </w:numPr>
        <w:spacing w:line="360" w:lineRule="auto"/>
        <w:ind w:left="426" w:hanging="426"/>
        <w:jc w:val="both"/>
        <w:rPr>
          <w:rFonts w:eastAsia="Calibri"/>
          <w:color w:val="000000" w:themeColor="text1"/>
          <w:sz w:val="20"/>
          <w:szCs w:val="20"/>
        </w:rPr>
      </w:pPr>
      <w:r w:rsidRPr="000F5B29">
        <w:rPr>
          <w:rFonts w:eastAsia="Calibri"/>
          <w:b/>
          <w:color w:val="000000" w:themeColor="text1"/>
          <w:sz w:val="20"/>
          <w:szCs w:val="20"/>
        </w:rPr>
        <w:lastRenderedPageBreak/>
        <w:t>Pensiones</w:t>
      </w:r>
      <w:r w:rsidRPr="000F5B29">
        <w:rPr>
          <w:rFonts w:eastAsia="Calibri"/>
          <w:color w:val="000000" w:themeColor="text1"/>
          <w:sz w:val="20"/>
          <w:szCs w:val="20"/>
        </w:rPr>
        <w:t>. Se refuerzan las previsiones presupuestales vinculadas con los riesgos fiscales de mediano y largo plazo, con el fin de garantizar el cumplimiento oportuno y sostenible de las obligaciones de pensiones y jubilaciones del personal al servicio del Estado.</w:t>
      </w:r>
    </w:p>
    <w:p w14:paraId="22DDF451" w14:textId="5DFECB8D" w:rsidR="00E030C7" w:rsidRPr="000F5B29" w:rsidRDefault="00E030C7" w:rsidP="004C246C">
      <w:pPr>
        <w:pStyle w:val="Prrafodelista"/>
        <w:numPr>
          <w:ilvl w:val="1"/>
          <w:numId w:val="6"/>
        </w:numPr>
        <w:spacing w:line="360" w:lineRule="auto"/>
        <w:ind w:left="426" w:hanging="426"/>
        <w:jc w:val="both"/>
        <w:rPr>
          <w:rFonts w:eastAsia="Calibri"/>
          <w:color w:val="000000" w:themeColor="text1"/>
          <w:sz w:val="20"/>
          <w:szCs w:val="20"/>
        </w:rPr>
      </w:pPr>
      <w:r w:rsidRPr="000F5B29">
        <w:rPr>
          <w:rFonts w:eastAsia="Calibri"/>
          <w:b/>
          <w:color w:val="000000" w:themeColor="text1"/>
          <w:sz w:val="20"/>
          <w:szCs w:val="20"/>
        </w:rPr>
        <w:t>Desastres naturales</w:t>
      </w:r>
      <w:r w:rsidRPr="000F5B29">
        <w:rPr>
          <w:rFonts w:eastAsia="Calibri"/>
          <w:color w:val="000000" w:themeColor="text1"/>
          <w:sz w:val="20"/>
          <w:szCs w:val="20"/>
        </w:rPr>
        <w:t xml:space="preserve">. Los recursos para la aportación al fondo específico para desastres naturales, se realizarán durante el ejercicio con recursos excedentes como lo establece el Código Financiero para el Estado de Tlaxcala y sus Municipios, para cubrir el costo de daños en infraestructura pública y atender a la población afectada. </w:t>
      </w:r>
    </w:p>
    <w:p w14:paraId="37F297AD" w14:textId="62338B5A" w:rsidR="00E030C7" w:rsidRPr="000F5B29" w:rsidRDefault="00E030C7" w:rsidP="004C246C">
      <w:pPr>
        <w:pStyle w:val="Prrafodelista"/>
        <w:numPr>
          <w:ilvl w:val="1"/>
          <w:numId w:val="6"/>
        </w:numPr>
        <w:spacing w:line="360" w:lineRule="auto"/>
        <w:ind w:left="426" w:hanging="426"/>
        <w:jc w:val="both"/>
        <w:rPr>
          <w:rFonts w:eastAsia="Calibri"/>
          <w:sz w:val="20"/>
          <w:szCs w:val="20"/>
        </w:rPr>
      </w:pPr>
      <w:r w:rsidRPr="000F5B29">
        <w:rPr>
          <w:rFonts w:eastAsia="Calibri"/>
          <w:b/>
          <w:sz w:val="20"/>
          <w:szCs w:val="20"/>
        </w:rPr>
        <w:t>Servicios personales</w:t>
      </w:r>
      <w:r w:rsidRPr="000F5B29">
        <w:rPr>
          <w:rFonts w:eastAsia="Calibri"/>
          <w:sz w:val="20"/>
          <w:szCs w:val="20"/>
        </w:rPr>
        <w:t xml:space="preserve">. Se incluye una sección específica correspondiente al gasto en servicios personales, el cual comprende las remuneraciones de los servidores públicos, desglosando las percepciones ordinarias y extraordinarias, e incluyendo las erogaciones por concepto de obligaciones de carácter fiscal y de seguridad social inherentes a las mismas. </w:t>
      </w:r>
    </w:p>
    <w:p w14:paraId="70B18FED" w14:textId="6E75D3F5" w:rsidR="00E030C7" w:rsidRPr="000F5B29" w:rsidRDefault="00E030C7" w:rsidP="004C246C">
      <w:pPr>
        <w:pStyle w:val="Prrafodelista"/>
        <w:numPr>
          <w:ilvl w:val="1"/>
          <w:numId w:val="6"/>
        </w:numPr>
        <w:spacing w:line="360" w:lineRule="auto"/>
        <w:ind w:left="426" w:hanging="426"/>
        <w:jc w:val="both"/>
        <w:rPr>
          <w:rFonts w:eastAsia="Calibri"/>
          <w:color w:val="000000" w:themeColor="text1"/>
          <w:sz w:val="20"/>
          <w:szCs w:val="20"/>
        </w:rPr>
      </w:pPr>
      <w:r w:rsidRPr="000F5B29">
        <w:rPr>
          <w:rFonts w:eastAsia="Calibri"/>
          <w:b/>
          <w:color w:val="000000" w:themeColor="text1"/>
          <w:sz w:val="20"/>
          <w:szCs w:val="20"/>
        </w:rPr>
        <w:t>Excedentes presupuestarios</w:t>
      </w:r>
      <w:r w:rsidRPr="000F5B29">
        <w:rPr>
          <w:rFonts w:eastAsia="Calibri"/>
          <w:color w:val="000000" w:themeColor="text1"/>
          <w:sz w:val="20"/>
          <w:szCs w:val="20"/>
        </w:rPr>
        <w:t>. Por otro lado, en el proyecto se establece que, en caso de cumplirse o rebasarse las expectativas económicas previstas, los excedentes presupuestarios que se determinen, deberán aplicarse, de conformidad con lo establecido en el Código Financiero para el Estado de Tlaxcala y sus Municipios como sigue:</w:t>
      </w:r>
    </w:p>
    <w:p w14:paraId="66EB6D42" w14:textId="77777777" w:rsidR="00E030C7" w:rsidRPr="000F5B29" w:rsidRDefault="00E030C7" w:rsidP="004C246C">
      <w:pPr>
        <w:spacing w:line="360" w:lineRule="auto"/>
        <w:ind w:left="426" w:hanging="426"/>
        <w:jc w:val="both"/>
        <w:rPr>
          <w:rFonts w:eastAsia="Calibri"/>
          <w:color w:val="000000" w:themeColor="text1"/>
          <w:sz w:val="20"/>
          <w:szCs w:val="20"/>
        </w:rPr>
      </w:pPr>
    </w:p>
    <w:p w14:paraId="70CB680C" w14:textId="77777777" w:rsidR="00E030C7" w:rsidRPr="000F5B29" w:rsidRDefault="00E030C7" w:rsidP="004C246C">
      <w:pPr>
        <w:pStyle w:val="Prrafodelista"/>
        <w:numPr>
          <w:ilvl w:val="2"/>
          <w:numId w:val="7"/>
        </w:numPr>
        <w:spacing w:line="360" w:lineRule="auto"/>
        <w:ind w:left="851" w:hanging="426"/>
        <w:jc w:val="both"/>
        <w:rPr>
          <w:rFonts w:eastAsia="Calibri"/>
          <w:color w:val="000000" w:themeColor="text1"/>
          <w:sz w:val="20"/>
          <w:szCs w:val="20"/>
        </w:rPr>
      </w:pPr>
      <w:r w:rsidRPr="000F5B29">
        <w:rPr>
          <w:rFonts w:eastAsia="Calibri"/>
          <w:color w:val="000000" w:themeColor="text1"/>
          <w:sz w:val="20"/>
          <w:szCs w:val="20"/>
        </w:rPr>
        <w:t>Por lo menos el 50 por ciento 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la atención de desastres naturales y de pensiones, y</w:t>
      </w:r>
    </w:p>
    <w:p w14:paraId="466383DA" w14:textId="77777777" w:rsidR="00E030C7" w:rsidRPr="000F5B29" w:rsidRDefault="00E030C7" w:rsidP="004C246C">
      <w:pPr>
        <w:pStyle w:val="Prrafodelista"/>
        <w:numPr>
          <w:ilvl w:val="2"/>
          <w:numId w:val="7"/>
        </w:numPr>
        <w:spacing w:line="360" w:lineRule="auto"/>
        <w:ind w:left="851" w:hanging="426"/>
        <w:jc w:val="both"/>
        <w:rPr>
          <w:rFonts w:eastAsia="Calibri"/>
          <w:color w:val="000000" w:themeColor="text1"/>
          <w:sz w:val="20"/>
          <w:szCs w:val="20"/>
        </w:rPr>
      </w:pPr>
      <w:r w:rsidRPr="000F5B29">
        <w:rPr>
          <w:rFonts w:eastAsia="Calibri"/>
          <w:color w:val="000000" w:themeColor="text1"/>
          <w:sz w:val="20"/>
          <w:szCs w:val="20"/>
        </w:rPr>
        <w:t>En su caso, el remanente para: Inversión pública productiva, a través del Fondo de Inversión Pública Productiva Estatal o Municipal, según sea el caso, con el fin de que los recursos correspondientes se ejerzan a más tardar en el ejercicio inmediato siguiente y el Fondo de Compensación Estatal o Municipal, según sea el caso, que tiene por objeto compensar la caída de Ingresos de libre disposición de ejercicios subsecuentes.</w:t>
      </w:r>
    </w:p>
    <w:p w14:paraId="72C626D2" w14:textId="77777777" w:rsidR="00E030C7" w:rsidRPr="000F5B29" w:rsidRDefault="00E030C7" w:rsidP="004C246C">
      <w:pPr>
        <w:pStyle w:val="Prrafodelista"/>
        <w:spacing w:line="360" w:lineRule="auto"/>
        <w:ind w:left="0"/>
        <w:jc w:val="both"/>
        <w:rPr>
          <w:rFonts w:eastAsia="Calibri"/>
          <w:color w:val="000000" w:themeColor="text1"/>
          <w:sz w:val="20"/>
          <w:szCs w:val="20"/>
        </w:rPr>
      </w:pPr>
    </w:p>
    <w:p w14:paraId="5565C558" w14:textId="682681B0" w:rsidR="00E030C7" w:rsidRPr="000F5B29" w:rsidRDefault="00E030C7" w:rsidP="004C246C">
      <w:pPr>
        <w:spacing w:line="360" w:lineRule="auto"/>
        <w:jc w:val="both"/>
        <w:rPr>
          <w:rFonts w:eastAsia="Calibri"/>
          <w:color w:val="000000" w:themeColor="text1"/>
          <w:sz w:val="20"/>
          <w:szCs w:val="20"/>
        </w:rPr>
      </w:pPr>
      <w:r w:rsidRPr="000F5B29">
        <w:rPr>
          <w:rFonts w:eastAsia="Calibri"/>
          <w:color w:val="000000" w:themeColor="text1"/>
          <w:sz w:val="20"/>
          <w:szCs w:val="20"/>
        </w:rPr>
        <w:t>Los ingresos excedentes podrán destinarse a los rubros prioritarios de inversión, amortización de pasivos y fortalecimiento de fondos especiales, sin restricción alguna, siempre que el Estado de Tlaxcala mantenga una clasificación de endeudamiento sostenible conforme al Sistema de Alertas</w:t>
      </w:r>
      <w:r w:rsidR="00C642DB">
        <w:rPr>
          <w:rFonts w:eastAsia="Calibri"/>
          <w:color w:val="000000" w:themeColor="text1"/>
          <w:sz w:val="20"/>
          <w:szCs w:val="20"/>
        </w:rPr>
        <w:t xml:space="preserve"> y</w:t>
      </w:r>
      <w:r w:rsidRPr="000F5B29">
        <w:rPr>
          <w:rFonts w:eastAsia="Calibri"/>
          <w:color w:val="000000" w:themeColor="text1"/>
          <w:sz w:val="20"/>
          <w:szCs w:val="20"/>
        </w:rPr>
        <w:t xml:space="preserve"> por la Ley de Disciplina Financiera de las Entidades Federativas y los Municipios que enuncia lo siguiente:</w:t>
      </w:r>
    </w:p>
    <w:p w14:paraId="3C50ACB7" w14:textId="77777777" w:rsidR="00E030C7" w:rsidRPr="000F5B29" w:rsidRDefault="00E030C7" w:rsidP="004C246C">
      <w:pPr>
        <w:spacing w:line="360" w:lineRule="auto"/>
        <w:jc w:val="both"/>
        <w:rPr>
          <w:rFonts w:eastAsia="Calibri"/>
          <w:color w:val="000000" w:themeColor="text1"/>
          <w:sz w:val="20"/>
          <w:szCs w:val="20"/>
        </w:rPr>
      </w:pPr>
    </w:p>
    <w:p w14:paraId="7DFEC9F5" w14:textId="77777777" w:rsidR="00E030C7" w:rsidRPr="000F5B29" w:rsidRDefault="00E030C7" w:rsidP="004C246C">
      <w:pPr>
        <w:pStyle w:val="Prrafodelista"/>
        <w:numPr>
          <w:ilvl w:val="0"/>
          <w:numId w:val="8"/>
        </w:numPr>
        <w:spacing w:line="360" w:lineRule="auto"/>
        <w:ind w:left="426" w:hanging="426"/>
        <w:jc w:val="both"/>
        <w:rPr>
          <w:rFonts w:eastAsia="Calibri"/>
          <w:color w:val="000000" w:themeColor="text1"/>
          <w:sz w:val="20"/>
          <w:szCs w:val="20"/>
        </w:rPr>
      </w:pPr>
      <w:r w:rsidRPr="000F5B29">
        <w:rPr>
          <w:sz w:val="20"/>
          <w:szCs w:val="20"/>
        </w:rPr>
        <w:lastRenderedPageBreak/>
        <w:t>Cuando la Entidad Federativa se clasifique en un nivel de endeudamiento sostenible de acuerdo con el Sistema de Alertas, podrá utilizar hasta un 5 por ciento de los recursos a los que se refiere el presente artículo para cubrir Gasto Corriente.</w:t>
      </w:r>
    </w:p>
    <w:p w14:paraId="3296C845" w14:textId="77777777" w:rsidR="00E030C7" w:rsidRPr="000F5B29" w:rsidRDefault="00E030C7" w:rsidP="004C246C">
      <w:pPr>
        <w:spacing w:line="360" w:lineRule="auto"/>
        <w:jc w:val="both"/>
        <w:rPr>
          <w:rFonts w:eastAsia="Calibri"/>
          <w:color w:val="000000" w:themeColor="text1"/>
          <w:sz w:val="10"/>
          <w:szCs w:val="10"/>
        </w:rPr>
      </w:pPr>
    </w:p>
    <w:p w14:paraId="5D8DDA1A" w14:textId="77777777" w:rsidR="00E030C7" w:rsidRDefault="00E030C7" w:rsidP="004C246C">
      <w:pPr>
        <w:spacing w:line="360" w:lineRule="auto"/>
        <w:jc w:val="both"/>
        <w:rPr>
          <w:rFonts w:eastAsia="Calibri"/>
          <w:color w:val="000000" w:themeColor="text1"/>
          <w:sz w:val="20"/>
          <w:szCs w:val="20"/>
        </w:rPr>
      </w:pPr>
      <w:r w:rsidRPr="000F5B29">
        <w:rPr>
          <w:rFonts w:eastAsia="Calibri"/>
          <w:color w:val="000000" w:themeColor="text1"/>
          <w:sz w:val="20"/>
          <w:szCs w:val="20"/>
        </w:rPr>
        <w:t>En el mismo sentido, los Municipios y demás entes públicos del Estado deberán apegarse a esta disposición, conforme a lo previsto en el Código Financiero del Estado de Tlaxcala y sus Municipios, aplicando criterios de responsabilidad hacendaria, eficiencia en el gasto y transparencia en la administración de los recursos públicos.</w:t>
      </w:r>
    </w:p>
    <w:p w14:paraId="25F50BE3" w14:textId="77777777" w:rsidR="00E030C7" w:rsidRDefault="00E030C7" w:rsidP="004C246C">
      <w:pPr>
        <w:spacing w:line="360" w:lineRule="auto"/>
        <w:jc w:val="both"/>
        <w:rPr>
          <w:rFonts w:eastAsia="Calibri"/>
          <w:color w:val="000000" w:themeColor="text1"/>
          <w:sz w:val="20"/>
          <w:szCs w:val="20"/>
        </w:rPr>
      </w:pPr>
    </w:p>
    <w:p w14:paraId="2D7B33F0" w14:textId="7A1D220F" w:rsidR="009C37B3" w:rsidRPr="00FD1A45" w:rsidRDefault="00FD1A45" w:rsidP="004C246C">
      <w:pPr>
        <w:spacing w:line="360" w:lineRule="auto"/>
        <w:jc w:val="both"/>
        <w:rPr>
          <w:b/>
          <w:sz w:val="20"/>
          <w:szCs w:val="20"/>
        </w:rPr>
      </w:pPr>
      <w:r w:rsidRPr="00FD1A45">
        <w:rPr>
          <w:rFonts w:eastAsia="Calibri"/>
          <w:b/>
          <w:bCs/>
          <w:sz w:val="20"/>
          <w:szCs w:val="20"/>
        </w:rPr>
        <w:t xml:space="preserve">III.4. </w:t>
      </w:r>
      <w:r w:rsidR="009C37B3" w:rsidRPr="00FD1A45">
        <w:rPr>
          <w:rFonts w:eastAsia="Calibri"/>
          <w:b/>
          <w:bCs/>
          <w:sz w:val="20"/>
          <w:szCs w:val="20"/>
        </w:rPr>
        <w:t>PERSPECTIVAS ECONÓMICAS Y FISCALES DEL ESTADO DE TLAXCALA 202</w:t>
      </w:r>
      <w:r w:rsidR="009B69FC" w:rsidRPr="00FD1A45">
        <w:rPr>
          <w:rFonts w:eastAsia="Calibri"/>
          <w:b/>
          <w:bCs/>
          <w:sz w:val="20"/>
          <w:szCs w:val="20"/>
        </w:rPr>
        <w:t>6</w:t>
      </w:r>
      <w:r w:rsidR="009C37B3" w:rsidRPr="00FD1A45">
        <w:rPr>
          <w:rFonts w:eastAsia="Calibri"/>
          <w:b/>
          <w:bCs/>
          <w:sz w:val="20"/>
          <w:szCs w:val="20"/>
        </w:rPr>
        <w:t>-20</w:t>
      </w:r>
      <w:r w:rsidR="00C66253" w:rsidRPr="00FD1A45">
        <w:rPr>
          <w:rFonts w:eastAsia="Calibri"/>
          <w:b/>
          <w:bCs/>
          <w:sz w:val="20"/>
          <w:szCs w:val="20"/>
        </w:rPr>
        <w:t>3</w:t>
      </w:r>
      <w:r w:rsidR="009B69FC" w:rsidRPr="00FD1A45">
        <w:rPr>
          <w:rFonts w:eastAsia="Calibri"/>
          <w:b/>
          <w:bCs/>
          <w:sz w:val="20"/>
          <w:szCs w:val="20"/>
        </w:rPr>
        <w:t>1</w:t>
      </w:r>
    </w:p>
    <w:p w14:paraId="6A843E8C" w14:textId="77777777" w:rsidR="009C37B3" w:rsidRDefault="009C37B3" w:rsidP="004C246C">
      <w:pPr>
        <w:spacing w:line="360" w:lineRule="auto"/>
        <w:jc w:val="both"/>
        <w:rPr>
          <w:sz w:val="10"/>
          <w:szCs w:val="10"/>
        </w:rPr>
      </w:pPr>
    </w:p>
    <w:p w14:paraId="3389C39A" w14:textId="3EA782DC" w:rsidR="00E95766" w:rsidRDefault="00E95766" w:rsidP="004C246C">
      <w:pPr>
        <w:spacing w:line="360" w:lineRule="auto"/>
        <w:jc w:val="both"/>
        <w:rPr>
          <w:sz w:val="20"/>
          <w:szCs w:val="20"/>
        </w:rPr>
      </w:pPr>
      <w:r>
        <w:rPr>
          <w:sz w:val="20"/>
          <w:szCs w:val="20"/>
        </w:rPr>
        <w:t>El</w:t>
      </w:r>
      <w:r w:rsidRPr="00E95766">
        <w:rPr>
          <w:sz w:val="20"/>
          <w:szCs w:val="20"/>
        </w:rPr>
        <w:t xml:space="preserve"> </w:t>
      </w:r>
      <w:r>
        <w:rPr>
          <w:sz w:val="20"/>
          <w:szCs w:val="20"/>
        </w:rPr>
        <w:t>presente</w:t>
      </w:r>
      <w:r w:rsidRPr="00E95766">
        <w:rPr>
          <w:sz w:val="20"/>
          <w:szCs w:val="20"/>
        </w:rPr>
        <w:t xml:space="preserve"> Proyecto de Decreto de Presupuesto de Egresos del Estado de Tlaxcala</w:t>
      </w:r>
      <w:r>
        <w:rPr>
          <w:sz w:val="20"/>
          <w:szCs w:val="20"/>
        </w:rPr>
        <w:t xml:space="preserve"> </w:t>
      </w:r>
      <w:r w:rsidRPr="00E95766">
        <w:rPr>
          <w:sz w:val="20"/>
          <w:szCs w:val="20"/>
        </w:rPr>
        <w:t>para el Ejercicio Fiscal 2026</w:t>
      </w:r>
      <w:r>
        <w:rPr>
          <w:sz w:val="20"/>
          <w:szCs w:val="20"/>
        </w:rPr>
        <w:t>, considera lo</w:t>
      </w:r>
      <w:r w:rsidR="00136228">
        <w:rPr>
          <w:sz w:val="20"/>
          <w:szCs w:val="20"/>
        </w:rPr>
        <w:t xml:space="preserve">s Criterios Generales de Política Económica para el ejercicio fiscal 2026, los cuales estiman </w:t>
      </w:r>
      <w:r w:rsidR="00136228" w:rsidRPr="00136228">
        <w:rPr>
          <w:sz w:val="20"/>
          <w:szCs w:val="20"/>
        </w:rPr>
        <w:t>que entre 2027 y 2031, la tasa promedio de crecimiento real del PIB se ubicará en un rango entre 1.5</w:t>
      </w:r>
      <w:r w:rsidR="00C642DB">
        <w:rPr>
          <w:sz w:val="20"/>
          <w:szCs w:val="20"/>
        </w:rPr>
        <w:t>%</w:t>
      </w:r>
      <w:r w:rsidR="00136228" w:rsidRPr="00136228">
        <w:rPr>
          <w:sz w:val="20"/>
          <w:szCs w:val="20"/>
        </w:rPr>
        <w:t xml:space="preserve"> y 2.5% anual.</w:t>
      </w:r>
      <w:r w:rsidR="00136228">
        <w:rPr>
          <w:sz w:val="20"/>
          <w:szCs w:val="20"/>
        </w:rPr>
        <w:t xml:space="preserve"> Asimismo, s</w:t>
      </w:r>
      <w:r w:rsidR="00136228" w:rsidRPr="00136228">
        <w:rPr>
          <w:sz w:val="20"/>
          <w:szCs w:val="20"/>
        </w:rPr>
        <w:t>e pronostica que la inflación se ubicará en el intervalo de variabilidad establecido por el Banco de México de 2.0</w:t>
      </w:r>
      <w:r w:rsidR="00C642DB">
        <w:rPr>
          <w:sz w:val="20"/>
          <w:szCs w:val="20"/>
        </w:rPr>
        <w:t>%</w:t>
      </w:r>
      <w:r w:rsidR="00136228" w:rsidRPr="00136228">
        <w:rPr>
          <w:sz w:val="20"/>
          <w:szCs w:val="20"/>
        </w:rPr>
        <w:t xml:space="preserve"> a 4.0% anual</w:t>
      </w:r>
      <w:r w:rsidR="00136228">
        <w:rPr>
          <w:sz w:val="20"/>
          <w:szCs w:val="20"/>
        </w:rPr>
        <w:t xml:space="preserve">. </w:t>
      </w:r>
    </w:p>
    <w:p w14:paraId="74D20CD6" w14:textId="77777777" w:rsidR="00E95766" w:rsidRDefault="00E95766" w:rsidP="004C246C">
      <w:pPr>
        <w:spacing w:line="360" w:lineRule="auto"/>
        <w:jc w:val="both"/>
        <w:rPr>
          <w:sz w:val="20"/>
          <w:szCs w:val="20"/>
        </w:rPr>
      </w:pPr>
    </w:p>
    <w:p w14:paraId="092F5CDB" w14:textId="3865758D" w:rsidR="00FD723E" w:rsidRPr="00FD723E" w:rsidRDefault="00FD723E" w:rsidP="004C246C">
      <w:pPr>
        <w:spacing w:line="360" w:lineRule="auto"/>
        <w:jc w:val="both"/>
        <w:rPr>
          <w:sz w:val="20"/>
          <w:szCs w:val="20"/>
        </w:rPr>
      </w:pPr>
      <w:r w:rsidRPr="00FD723E">
        <w:rPr>
          <w:sz w:val="20"/>
          <w:szCs w:val="20"/>
        </w:rPr>
        <w:t>Es por lo anterior que, el Gobierno del Estado ha implementado estrategias para</w:t>
      </w:r>
      <w:r w:rsidR="000E3253">
        <w:rPr>
          <w:sz w:val="20"/>
          <w:szCs w:val="20"/>
        </w:rPr>
        <w:t>,</w:t>
      </w:r>
      <w:r w:rsidRPr="00FD723E">
        <w:rPr>
          <w:sz w:val="20"/>
          <w:szCs w:val="20"/>
        </w:rPr>
        <w:t xml:space="preserve"> de alguna manera incrementar la recaudación fiscal, con el fin generar los recursos necesarios que financien el gasto público y lograr un balance presupuestario sostenible.</w:t>
      </w:r>
    </w:p>
    <w:p w14:paraId="7909E1BF" w14:textId="77777777" w:rsidR="00FD723E" w:rsidRPr="00FD723E" w:rsidRDefault="00FD723E" w:rsidP="004C246C">
      <w:pPr>
        <w:spacing w:line="360" w:lineRule="auto"/>
        <w:jc w:val="both"/>
        <w:rPr>
          <w:sz w:val="20"/>
          <w:szCs w:val="20"/>
        </w:rPr>
      </w:pPr>
    </w:p>
    <w:p w14:paraId="076F328C" w14:textId="0B265254" w:rsidR="009C37B3" w:rsidRDefault="00FD723E" w:rsidP="004C246C">
      <w:pPr>
        <w:spacing w:line="360" w:lineRule="auto"/>
        <w:jc w:val="both"/>
        <w:rPr>
          <w:sz w:val="20"/>
          <w:szCs w:val="20"/>
        </w:rPr>
      </w:pPr>
      <w:r w:rsidRPr="00FD723E">
        <w:rPr>
          <w:sz w:val="20"/>
          <w:szCs w:val="20"/>
        </w:rPr>
        <w:t>En el siguiente cuadro se presentan las perspectivas de finanzas públicas de mediano plazo para el Estado de Tlaxcala.</w:t>
      </w:r>
    </w:p>
    <w:p w14:paraId="4FF2E6DF" w14:textId="77777777" w:rsidR="009C37B3" w:rsidRDefault="009C37B3" w:rsidP="004C246C">
      <w:pPr>
        <w:spacing w:line="360" w:lineRule="auto"/>
        <w:jc w:val="both"/>
        <w:rPr>
          <w:sz w:val="20"/>
          <w:szCs w:val="20"/>
        </w:rPr>
      </w:pPr>
    </w:p>
    <w:p w14:paraId="7CBA867A" w14:textId="3FA6F0C4" w:rsidR="009C37B3" w:rsidRDefault="00136228" w:rsidP="004C246C">
      <w:pPr>
        <w:spacing w:line="360" w:lineRule="auto"/>
        <w:jc w:val="both"/>
        <w:rPr>
          <w:sz w:val="20"/>
          <w:szCs w:val="20"/>
        </w:rPr>
      </w:pPr>
      <w:r w:rsidRPr="00136228">
        <w:rPr>
          <w:noProof/>
        </w:rPr>
        <w:lastRenderedPageBreak/>
        <w:drawing>
          <wp:inline distT="0" distB="0" distL="0" distR="0" wp14:anchorId="6F157BEF" wp14:editId="68DC4AC2">
            <wp:extent cx="5179695" cy="66675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9695" cy="6667500"/>
                    </a:xfrm>
                    <a:prstGeom prst="rect">
                      <a:avLst/>
                    </a:prstGeom>
                    <a:noFill/>
                    <a:ln>
                      <a:noFill/>
                    </a:ln>
                  </pic:spPr>
                </pic:pic>
              </a:graphicData>
            </a:graphic>
          </wp:inline>
        </w:drawing>
      </w:r>
    </w:p>
    <w:p w14:paraId="1AC5EB70" w14:textId="77777777" w:rsidR="009C37B3" w:rsidRDefault="009C37B3" w:rsidP="004C246C">
      <w:pPr>
        <w:spacing w:line="360" w:lineRule="auto"/>
        <w:jc w:val="both"/>
        <w:rPr>
          <w:rFonts w:eastAsia="Calibri"/>
          <w:b/>
          <w:bCs/>
          <w:sz w:val="20"/>
          <w:szCs w:val="20"/>
        </w:rPr>
      </w:pPr>
    </w:p>
    <w:p w14:paraId="1B34C2C7" w14:textId="77777777" w:rsidR="00136228" w:rsidRDefault="00136228" w:rsidP="004C246C">
      <w:pPr>
        <w:spacing w:line="360" w:lineRule="auto"/>
        <w:jc w:val="both"/>
        <w:rPr>
          <w:rFonts w:eastAsia="Calibri"/>
          <w:b/>
          <w:bCs/>
          <w:sz w:val="20"/>
          <w:szCs w:val="20"/>
        </w:rPr>
      </w:pPr>
    </w:p>
    <w:p w14:paraId="59D38BFF" w14:textId="77777777" w:rsidR="00FD723E" w:rsidRDefault="00FD723E" w:rsidP="004C246C">
      <w:pPr>
        <w:spacing w:line="360" w:lineRule="auto"/>
        <w:jc w:val="both"/>
        <w:rPr>
          <w:rFonts w:eastAsia="Calibri"/>
          <w:b/>
          <w:bCs/>
          <w:sz w:val="20"/>
          <w:szCs w:val="20"/>
        </w:rPr>
      </w:pPr>
    </w:p>
    <w:p w14:paraId="35E5D791" w14:textId="50F4C94B" w:rsidR="009C37B3" w:rsidRPr="00FD1A45" w:rsidRDefault="00FD1A45" w:rsidP="004C246C">
      <w:pPr>
        <w:spacing w:line="360" w:lineRule="auto"/>
        <w:jc w:val="both"/>
        <w:rPr>
          <w:rFonts w:eastAsia="Calibri"/>
          <w:b/>
          <w:bCs/>
          <w:sz w:val="20"/>
          <w:szCs w:val="20"/>
        </w:rPr>
      </w:pPr>
      <w:r w:rsidRPr="00FD1A45">
        <w:rPr>
          <w:rFonts w:eastAsia="Calibri"/>
          <w:b/>
          <w:bCs/>
          <w:sz w:val="20"/>
          <w:szCs w:val="20"/>
        </w:rPr>
        <w:lastRenderedPageBreak/>
        <w:t xml:space="preserve">III.5. </w:t>
      </w:r>
      <w:r w:rsidR="009C37B3" w:rsidRPr="00FD1A45">
        <w:rPr>
          <w:rFonts w:eastAsia="Calibri"/>
          <w:b/>
          <w:bCs/>
          <w:sz w:val="20"/>
          <w:szCs w:val="20"/>
        </w:rPr>
        <w:t>RIESGOS FISCALES</w:t>
      </w:r>
    </w:p>
    <w:p w14:paraId="4D8BB223" w14:textId="77777777" w:rsidR="009C37B3" w:rsidRDefault="009C37B3" w:rsidP="004C246C">
      <w:pPr>
        <w:spacing w:line="360" w:lineRule="auto"/>
        <w:jc w:val="both"/>
        <w:rPr>
          <w:rFonts w:eastAsia="Calibri"/>
          <w:b/>
          <w:bCs/>
          <w:sz w:val="20"/>
          <w:szCs w:val="20"/>
        </w:rPr>
      </w:pPr>
    </w:p>
    <w:p w14:paraId="033DC81A" w14:textId="7AE6D28C" w:rsidR="009C37B3" w:rsidRDefault="00FD723E" w:rsidP="004C246C">
      <w:pPr>
        <w:spacing w:line="360" w:lineRule="auto"/>
        <w:jc w:val="both"/>
        <w:rPr>
          <w:sz w:val="20"/>
          <w:szCs w:val="20"/>
        </w:rPr>
      </w:pPr>
      <w:r w:rsidRPr="00FD723E">
        <w:rPr>
          <w:sz w:val="20"/>
          <w:szCs w:val="20"/>
        </w:rPr>
        <w:t>A continuación</w:t>
      </w:r>
      <w:r w:rsidR="00C642DB">
        <w:rPr>
          <w:sz w:val="20"/>
          <w:szCs w:val="20"/>
        </w:rPr>
        <w:t>,</w:t>
      </w:r>
      <w:r w:rsidRPr="00FD723E">
        <w:rPr>
          <w:sz w:val="20"/>
          <w:szCs w:val="20"/>
        </w:rPr>
        <w:t xml:space="preserve"> presentamos los Riesgos al escenario de pronósticos de las principales variables para 202</w:t>
      </w:r>
      <w:r w:rsidR="002F0324">
        <w:rPr>
          <w:sz w:val="20"/>
          <w:szCs w:val="20"/>
        </w:rPr>
        <w:t>7-</w:t>
      </w:r>
      <w:r w:rsidRPr="00FD723E">
        <w:rPr>
          <w:sz w:val="20"/>
          <w:szCs w:val="20"/>
        </w:rPr>
        <w:t>20</w:t>
      </w:r>
      <w:r w:rsidR="002F0324">
        <w:rPr>
          <w:sz w:val="20"/>
          <w:szCs w:val="20"/>
        </w:rPr>
        <w:t>30</w:t>
      </w:r>
      <w:r w:rsidRPr="00FD723E">
        <w:rPr>
          <w:sz w:val="20"/>
          <w:szCs w:val="20"/>
        </w:rPr>
        <w:t>.</w:t>
      </w:r>
    </w:p>
    <w:p w14:paraId="33262B6F" w14:textId="77777777" w:rsidR="009C37B3" w:rsidRDefault="009C37B3" w:rsidP="004C246C">
      <w:pPr>
        <w:spacing w:line="360" w:lineRule="auto"/>
        <w:jc w:val="both"/>
        <w:rPr>
          <w:rFonts w:eastAsia="Calibri"/>
          <w:color w:val="000000" w:themeColor="text1"/>
          <w:sz w:val="20"/>
          <w:szCs w:val="20"/>
        </w:rPr>
      </w:pPr>
    </w:p>
    <w:p w14:paraId="6DB0DF0B" w14:textId="4FB5F699" w:rsidR="00FD723E" w:rsidRDefault="002F0324" w:rsidP="004C246C">
      <w:pPr>
        <w:spacing w:line="360" w:lineRule="auto"/>
        <w:jc w:val="both"/>
        <w:rPr>
          <w:rFonts w:eastAsia="Calibri"/>
          <w:color w:val="000000" w:themeColor="text1"/>
          <w:sz w:val="20"/>
          <w:szCs w:val="20"/>
        </w:rPr>
      </w:pPr>
      <w:r w:rsidRPr="002F0324">
        <w:rPr>
          <w:rFonts w:eastAsia="Calibri"/>
          <w:noProof/>
          <w:color w:val="000000" w:themeColor="text1"/>
          <w:sz w:val="20"/>
          <w:szCs w:val="20"/>
        </w:rPr>
        <w:drawing>
          <wp:inline distT="0" distB="0" distL="0" distR="0" wp14:anchorId="12C22ECA" wp14:editId="4DEC78FE">
            <wp:extent cx="5179695" cy="296164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79695" cy="2961640"/>
                    </a:xfrm>
                    <a:prstGeom prst="rect">
                      <a:avLst/>
                    </a:prstGeom>
                  </pic:spPr>
                </pic:pic>
              </a:graphicData>
            </a:graphic>
          </wp:inline>
        </w:drawing>
      </w:r>
    </w:p>
    <w:p w14:paraId="69D8400E" w14:textId="7E74E350" w:rsidR="00FD723E" w:rsidRDefault="009E3280" w:rsidP="004C246C">
      <w:pPr>
        <w:spacing w:line="360" w:lineRule="auto"/>
        <w:jc w:val="both"/>
        <w:rPr>
          <w:bCs/>
          <w:sz w:val="12"/>
          <w:szCs w:val="12"/>
        </w:rPr>
      </w:pPr>
      <w:r w:rsidRPr="009E3280">
        <w:rPr>
          <w:b/>
          <w:sz w:val="12"/>
          <w:szCs w:val="12"/>
        </w:rPr>
        <w:t xml:space="preserve">Fuente: </w:t>
      </w:r>
      <w:r w:rsidRPr="009E3280">
        <w:rPr>
          <w:bCs/>
          <w:sz w:val="12"/>
          <w:szCs w:val="12"/>
        </w:rPr>
        <w:t xml:space="preserve">Criterios </w:t>
      </w:r>
      <w:r>
        <w:rPr>
          <w:bCs/>
          <w:sz w:val="12"/>
          <w:szCs w:val="12"/>
        </w:rPr>
        <w:t xml:space="preserve">Generales </w:t>
      </w:r>
      <w:r w:rsidRPr="009E3280">
        <w:rPr>
          <w:bCs/>
          <w:sz w:val="12"/>
          <w:szCs w:val="12"/>
        </w:rPr>
        <w:t>de Política Económica 2026</w:t>
      </w:r>
    </w:p>
    <w:p w14:paraId="785529B4" w14:textId="77777777" w:rsidR="009E3280" w:rsidRPr="009E3280" w:rsidRDefault="009E3280" w:rsidP="004C246C">
      <w:pPr>
        <w:spacing w:line="360" w:lineRule="auto"/>
        <w:jc w:val="both"/>
        <w:rPr>
          <w:b/>
          <w:sz w:val="12"/>
          <w:szCs w:val="12"/>
        </w:rPr>
      </w:pPr>
    </w:p>
    <w:p w14:paraId="5A5D1564" w14:textId="77777777" w:rsidR="009C37B3" w:rsidRDefault="009C37B3" w:rsidP="004C246C">
      <w:pPr>
        <w:spacing w:line="360" w:lineRule="auto"/>
        <w:jc w:val="both"/>
        <w:rPr>
          <w:b/>
          <w:sz w:val="20"/>
          <w:szCs w:val="20"/>
        </w:rPr>
      </w:pPr>
      <w:r>
        <w:rPr>
          <w:b/>
          <w:sz w:val="20"/>
          <w:szCs w:val="20"/>
        </w:rPr>
        <w:t>Pensiones y Jubilaciones</w:t>
      </w:r>
    </w:p>
    <w:p w14:paraId="400A95E3" w14:textId="77777777" w:rsidR="009C37B3" w:rsidRDefault="009C37B3" w:rsidP="004C246C">
      <w:pPr>
        <w:spacing w:line="360" w:lineRule="auto"/>
        <w:jc w:val="both"/>
        <w:rPr>
          <w:b/>
          <w:sz w:val="20"/>
          <w:szCs w:val="20"/>
        </w:rPr>
      </w:pPr>
    </w:p>
    <w:p w14:paraId="6394A5D6" w14:textId="440A674A" w:rsidR="00E1382D" w:rsidRPr="00E1382D" w:rsidRDefault="00E1382D" w:rsidP="004C246C">
      <w:pPr>
        <w:spacing w:line="360" w:lineRule="auto"/>
        <w:jc w:val="both"/>
        <w:rPr>
          <w:sz w:val="20"/>
          <w:szCs w:val="20"/>
        </w:rPr>
      </w:pPr>
      <w:r>
        <w:rPr>
          <w:sz w:val="20"/>
          <w:szCs w:val="20"/>
        </w:rPr>
        <w:t>El crecimiento continuo de afiliados y el ensanchamiento de la parte superior de la pirámide poblacional han incrementado las necesidades</w:t>
      </w:r>
      <w:r w:rsidR="00833E5C">
        <w:rPr>
          <w:sz w:val="20"/>
          <w:szCs w:val="20"/>
        </w:rPr>
        <w:t xml:space="preserve"> en el gasto en pensiones y en salud asociado al crecimiento de la población de mayor edad,</w:t>
      </w:r>
      <w:r>
        <w:rPr>
          <w:sz w:val="20"/>
          <w:szCs w:val="20"/>
        </w:rPr>
        <w:t xml:space="preserve"> lo que ha presionado aún más las finanzas</w:t>
      </w:r>
      <w:r w:rsidR="00833E5C">
        <w:rPr>
          <w:sz w:val="20"/>
          <w:szCs w:val="20"/>
        </w:rPr>
        <w:t xml:space="preserve"> públicas, convirtiéndose en un reto para la sostenibilidad. </w:t>
      </w:r>
    </w:p>
    <w:p w14:paraId="499C0E7A" w14:textId="77777777" w:rsidR="009C37B3" w:rsidRDefault="009C37B3" w:rsidP="004C246C">
      <w:pPr>
        <w:spacing w:line="360" w:lineRule="auto"/>
        <w:jc w:val="both"/>
        <w:rPr>
          <w:sz w:val="20"/>
          <w:szCs w:val="20"/>
        </w:rPr>
      </w:pPr>
    </w:p>
    <w:p w14:paraId="1EDE0F51" w14:textId="23DAE7D7" w:rsidR="009C37B3" w:rsidRPr="002C0C82" w:rsidRDefault="009C37B3" w:rsidP="004C246C">
      <w:pPr>
        <w:spacing w:line="360" w:lineRule="auto"/>
        <w:jc w:val="both"/>
        <w:rPr>
          <w:sz w:val="20"/>
          <w:szCs w:val="20"/>
        </w:rPr>
      </w:pPr>
      <w:r w:rsidRPr="002C0C82">
        <w:rPr>
          <w:sz w:val="20"/>
          <w:szCs w:val="20"/>
        </w:rPr>
        <w:t xml:space="preserve">Por todo lo anterior, para este Proyecto de </w:t>
      </w:r>
      <w:r w:rsidR="0094799F" w:rsidRPr="002C0C82">
        <w:rPr>
          <w:sz w:val="20"/>
          <w:szCs w:val="20"/>
        </w:rPr>
        <w:t xml:space="preserve">Decreto de </w:t>
      </w:r>
      <w:r w:rsidRPr="002C0C82">
        <w:rPr>
          <w:sz w:val="20"/>
          <w:szCs w:val="20"/>
        </w:rPr>
        <w:t xml:space="preserve">Presupuesto </w:t>
      </w:r>
      <w:r w:rsidR="0094799F" w:rsidRPr="002C0C82">
        <w:rPr>
          <w:sz w:val="20"/>
          <w:szCs w:val="20"/>
        </w:rPr>
        <w:t xml:space="preserve">de Egresos del Estado de Tlaxcala, para el Ejercicio Fiscal </w:t>
      </w:r>
      <w:r w:rsidRPr="002C0C82">
        <w:rPr>
          <w:sz w:val="20"/>
          <w:szCs w:val="20"/>
        </w:rPr>
        <w:t>202</w:t>
      </w:r>
      <w:r w:rsidR="0094799F" w:rsidRPr="002C0C82">
        <w:rPr>
          <w:sz w:val="20"/>
          <w:szCs w:val="20"/>
        </w:rPr>
        <w:t>6</w:t>
      </w:r>
      <w:r w:rsidRPr="002C0C82">
        <w:rPr>
          <w:sz w:val="20"/>
          <w:szCs w:val="20"/>
        </w:rPr>
        <w:t xml:space="preserve">, se considera un Fondo para el Fortalecimiento de Pensiones Civiles de </w:t>
      </w:r>
      <w:r w:rsidR="001A7C12" w:rsidRPr="002C0C82">
        <w:rPr>
          <w:sz w:val="20"/>
          <w:szCs w:val="20"/>
        </w:rPr>
        <w:t>30</w:t>
      </w:r>
      <w:r w:rsidRPr="002C0C82">
        <w:rPr>
          <w:sz w:val="20"/>
          <w:szCs w:val="20"/>
        </w:rPr>
        <w:t xml:space="preserve"> </w:t>
      </w:r>
      <w:proofErr w:type="spellStart"/>
      <w:r w:rsidRPr="002C0C82">
        <w:rPr>
          <w:sz w:val="20"/>
          <w:szCs w:val="20"/>
        </w:rPr>
        <w:t>mdp</w:t>
      </w:r>
      <w:proofErr w:type="spellEnd"/>
      <w:r w:rsidRPr="002C0C82">
        <w:rPr>
          <w:sz w:val="20"/>
          <w:szCs w:val="20"/>
        </w:rPr>
        <w:t xml:space="preserve"> a través de la Oficialía Mayor de Gobierno, dicho fondo estará sujeto a que se cumplan los pronósticos de ingresos y recaudación de la Secretaría de Hacienda y Crédito Público y el Estado reciba los recursos de participaciones federales.</w:t>
      </w:r>
    </w:p>
    <w:p w14:paraId="47FE69A9" w14:textId="77777777" w:rsidR="009C37B3" w:rsidRDefault="009C37B3" w:rsidP="004C246C">
      <w:pPr>
        <w:spacing w:line="360" w:lineRule="auto"/>
        <w:jc w:val="both"/>
        <w:rPr>
          <w:sz w:val="20"/>
          <w:szCs w:val="20"/>
        </w:rPr>
      </w:pPr>
    </w:p>
    <w:p w14:paraId="062861C9" w14:textId="5E295EA4" w:rsidR="009C37B3" w:rsidRDefault="00FD723E" w:rsidP="004C246C">
      <w:pPr>
        <w:spacing w:line="360" w:lineRule="auto"/>
        <w:jc w:val="both"/>
        <w:rPr>
          <w:sz w:val="20"/>
          <w:szCs w:val="20"/>
        </w:rPr>
      </w:pPr>
      <w:r w:rsidRPr="00FD723E">
        <w:rPr>
          <w:sz w:val="20"/>
          <w:szCs w:val="20"/>
        </w:rPr>
        <w:lastRenderedPageBreak/>
        <w:t>De acuerdo al último estudio actuarial de las pensiones del Estado de Tlaxcala, correspondiente al ejercicio fiscal 2024 y con una vigencia al ejercicio 2028 se tiene una reserva actuarial de 422.23 MDP, con una población afiliada activa de 9,149 trabajadores y 2,352 pensionados, como a continuación se presenta</w:t>
      </w:r>
      <w:r w:rsidR="009C37B3">
        <w:rPr>
          <w:sz w:val="20"/>
          <w:szCs w:val="20"/>
        </w:rPr>
        <w:t>:</w:t>
      </w:r>
    </w:p>
    <w:p w14:paraId="590BAE3B" w14:textId="77777777" w:rsidR="009C37B3" w:rsidRDefault="009C37B3" w:rsidP="004C246C">
      <w:pPr>
        <w:spacing w:line="360" w:lineRule="auto"/>
        <w:jc w:val="center"/>
        <w:rPr>
          <w:b/>
          <w:sz w:val="20"/>
          <w:szCs w:val="20"/>
        </w:rPr>
      </w:pPr>
      <w:r>
        <w:rPr>
          <w:b/>
          <w:sz w:val="20"/>
          <w:szCs w:val="20"/>
        </w:rPr>
        <w:t>Estudio Actuarial de Pensiones</w:t>
      </w:r>
    </w:p>
    <w:p w14:paraId="3027EDCB" w14:textId="69D6D879" w:rsidR="009C37B3" w:rsidRDefault="00FD723E" w:rsidP="004C246C">
      <w:pPr>
        <w:spacing w:line="360" w:lineRule="auto"/>
        <w:jc w:val="center"/>
        <w:rPr>
          <w:rFonts w:ascii="Arial" w:hAnsi="Arial" w:cs="Arial"/>
          <w:b/>
        </w:rPr>
      </w:pPr>
      <w:r>
        <w:rPr>
          <w:noProof/>
          <w:lang w:val="es-MX" w:eastAsia="es-MX"/>
        </w:rPr>
        <w:drawing>
          <wp:inline distT="0" distB="0" distL="0" distR="0" wp14:anchorId="723B92F7" wp14:editId="7281F4FB">
            <wp:extent cx="4616638" cy="3248167"/>
            <wp:effectExtent l="0" t="0" r="0" b="9525"/>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04185" name=""/>
                    <pic:cNvPicPr/>
                  </pic:nvPicPr>
                  <pic:blipFill rotWithShape="1">
                    <a:blip r:embed="rId32"/>
                    <a:srcRect l="26393" t="32857" r="32684" b="15952"/>
                    <a:stretch/>
                  </pic:blipFill>
                  <pic:spPr bwMode="auto">
                    <a:xfrm>
                      <a:off x="0" y="0"/>
                      <a:ext cx="4693625" cy="3302333"/>
                    </a:xfrm>
                    <a:prstGeom prst="rect">
                      <a:avLst/>
                    </a:prstGeom>
                    <a:ln>
                      <a:noFill/>
                    </a:ln>
                    <a:extLst>
                      <a:ext uri="{53640926-AAD7-44D8-BBD7-CCE9431645EC}">
                        <a14:shadowObscured xmlns:a14="http://schemas.microsoft.com/office/drawing/2010/main"/>
                      </a:ext>
                    </a:extLst>
                  </pic:spPr>
                </pic:pic>
              </a:graphicData>
            </a:graphic>
          </wp:inline>
        </w:drawing>
      </w:r>
    </w:p>
    <w:p w14:paraId="5B3FC067" w14:textId="260A425F" w:rsidR="00FD723E" w:rsidRDefault="00FD723E" w:rsidP="004C246C">
      <w:pPr>
        <w:spacing w:line="360" w:lineRule="auto"/>
        <w:jc w:val="center"/>
        <w:rPr>
          <w:rFonts w:ascii="Arial" w:hAnsi="Arial" w:cs="Arial"/>
          <w:b/>
        </w:rPr>
      </w:pPr>
      <w:r>
        <w:rPr>
          <w:noProof/>
          <w:lang w:val="es-MX" w:eastAsia="es-MX"/>
        </w:rPr>
        <w:drawing>
          <wp:inline distT="0" distB="0" distL="0" distR="0" wp14:anchorId="72A0F779" wp14:editId="2442C94E">
            <wp:extent cx="4618055" cy="2442950"/>
            <wp:effectExtent l="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64259" name=""/>
                    <pic:cNvPicPr/>
                  </pic:nvPicPr>
                  <pic:blipFill rotWithShape="1">
                    <a:blip r:embed="rId33"/>
                    <a:srcRect l="27583" t="31385" r="25616" b="23824"/>
                    <a:stretch/>
                  </pic:blipFill>
                  <pic:spPr bwMode="auto">
                    <a:xfrm>
                      <a:off x="0" y="0"/>
                      <a:ext cx="4647789" cy="2458679"/>
                    </a:xfrm>
                    <a:prstGeom prst="rect">
                      <a:avLst/>
                    </a:prstGeom>
                    <a:ln>
                      <a:noFill/>
                    </a:ln>
                    <a:extLst>
                      <a:ext uri="{53640926-AAD7-44D8-BBD7-CCE9431645EC}">
                        <a14:shadowObscured xmlns:a14="http://schemas.microsoft.com/office/drawing/2010/main"/>
                      </a:ext>
                    </a:extLst>
                  </pic:spPr>
                </pic:pic>
              </a:graphicData>
            </a:graphic>
          </wp:inline>
        </w:drawing>
      </w:r>
    </w:p>
    <w:p w14:paraId="5FF13C7E" w14:textId="28CACB4F" w:rsidR="00FD723E" w:rsidRDefault="00FD723E" w:rsidP="004C246C">
      <w:pPr>
        <w:spacing w:line="360" w:lineRule="auto"/>
        <w:jc w:val="center"/>
        <w:rPr>
          <w:rFonts w:ascii="Arial" w:hAnsi="Arial" w:cs="Arial"/>
          <w:b/>
        </w:rPr>
      </w:pPr>
      <w:r>
        <w:rPr>
          <w:noProof/>
          <w:lang w:val="es-MX" w:eastAsia="es-MX"/>
        </w:rPr>
        <w:lastRenderedPageBreak/>
        <w:drawing>
          <wp:inline distT="0" distB="0" distL="0" distR="0" wp14:anchorId="06E661FB" wp14:editId="4F498A36">
            <wp:extent cx="4901450" cy="2047164"/>
            <wp:effectExtent l="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85723" name=""/>
                    <pic:cNvPicPr/>
                  </pic:nvPicPr>
                  <pic:blipFill rotWithShape="1">
                    <a:blip r:embed="rId34"/>
                    <a:srcRect l="14326" t="31386" r="19367" b="26865"/>
                    <a:stretch/>
                  </pic:blipFill>
                  <pic:spPr bwMode="auto">
                    <a:xfrm>
                      <a:off x="0" y="0"/>
                      <a:ext cx="4941847" cy="2064037"/>
                    </a:xfrm>
                    <a:prstGeom prst="rect">
                      <a:avLst/>
                    </a:prstGeom>
                    <a:ln>
                      <a:noFill/>
                    </a:ln>
                    <a:extLst>
                      <a:ext uri="{53640926-AAD7-44D8-BBD7-CCE9431645EC}">
                        <a14:shadowObscured xmlns:a14="http://schemas.microsoft.com/office/drawing/2010/main"/>
                      </a:ext>
                    </a:extLst>
                  </pic:spPr>
                </pic:pic>
              </a:graphicData>
            </a:graphic>
          </wp:inline>
        </w:drawing>
      </w:r>
    </w:p>
    <w:p w14:paraId="77FA30D6" w14:textId="1C49F1B3" w:rsidR="00FD723E" w:rsidRDefault="00FD723E" w:rsidP="004C246C">
      <w:pPr>
        <w:spacing w:line="360" w:lineRule="auto"/>
        <w:jc w:val="center"/>
        <w:rPr>
          <w:rFonts w:ascii="Arial" w:hAnsi="Arial" w:cs="Arial"/>
          <w:b/>
        </w:rPr>
      </w:pPr>
      <w:r>
        <w:rPr>
          <w:noProof/>
          <w:lang w:val="es-MX" w:eastAsia="es-MX"/>
        </w:rPr>
        <w:drawing>
          <wp:inline distT="0" distB="0" distL="0" distR="0" wp14:anchorId="5BCA14C7" wp14:editId="728BEB55">
            <wp:extent cx="4824484" cy="1629157"/>
            <wp:effectExtent l="0" t="0" r="0" b="9525"/>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90796" name=""/>
                    <pic:cNvPicPr/>
                  </pic:nvPicPr>
                  <pic:blipFill rotWithShape="1">
                    <a:blip r:embed="rId35"/>
                    <a:srcRect l="14330" t="45895" r="36345" b="24491"/>
                    <a:stretch/>
                  </pic:blipFill>
                  <pic:spPr bwMode="auto">
                    <a:xfrm>
                      <a:off x="0" y="0"/>
                      <a:ext cx="4946339" cy="1670306"/>
                    </a:xfrm>
                    <a:prstGeom prst="rect">
                      <a:avLst/>
                    </a:prstGeom>
                    <a:ln>
                      <a:noFill/>
                    </a:ln>
                    <a:extLst>
                      <a:ext uri="{53640926-AAD7-44D8-BBD7-CCE9431645EC}">
                        <a14:shadowObscured xmlns:a14="http://schemas.microsoft.com/office/drawing/2010/main"/>
                      </a:ext>
                    </a:extLst>
                  </pic:spPr>
                </pic:pic>
              </a:graphicData>
            </a:graphic>
          </wp:inline>
        </w:drawing>
      </w:r>
    </w:p>
    <w:p w14:paraId="52794375" w14:textId="09017849" w:rsidR="009C37B3" w:rsidRDefault="00FD723E" w:rsidP="004C246C">
      <w:pPr>
        <w:spacing w:line="360" w:lineRule="auto"/>
        <w:jc w:val="both"/>
        <w:rPr>
          <w:sz w:val="20"/>
          <w:szCs w:val="20"/>
        </w:rPr>
      </w:pPr>
      <w:r w:rsidRPr="00FD723E">
        <w:rPr>
          <w:sz w:val="20"/>
          <w:szCs w:val="20"/>
        </w:rPr>
        <w:t xml:space="preserve">Con la finalidad de coadyuvar en el saneamiento de las Pensiones Civiles del Estado de Tlaxcala, el Ejecutivo del Estado ha otorgado del ejercicio 2017 a la fecha aportaciones extraordinarias a Pensiones Civiles del Estado por un importe de </w:t>
      </w:r>
      <w:r w:rsidR="002C0C82">
        <w:rPr>
          <w:sz w:val="20"/>
          <w:szCs w:val="20"/>
        </w:rPr>
        <w:t>500.6</w:t>
      </w:r>
      <w:r w:rsidRPr="00FD723E">
        <w:rPr>
          <w:sz w:val="20"/>
          <w:szCs w:val="20"/>
        </w:rPr>
        <w:t xml:space="preserve"> MDP al cierre del mes de septiembre de 202</w:t>
      </w:r>
      <w:r w:rsidR="002C0C82">
        <w:rPr>
          <w:sz w:val="20"/>
          <w:szCs w:val="20"/>
        </w:rPr>
        <w:t>5</w:t>
      </w:r>
      <w:r w:rsidR="009C37B3">
        <w:rPr>
          <w:sz w:val="20"/>
          <w:szCs w:val="20"/>
        </w:rPr>
        <w:t>.</w:t>
      </w:r>
    </w:p>
    <w:p w14:paraId="2506486D" w14:textId="77777777" w:rsidR="004C246C" w:rsidRDefault="004C246C" w:rsidP="004C246C">
      <w:pPr>
        <w:spacing w:line="360" w:lineRule="auto"/>
        <w:jc w:val="both"/>
        <w:rPr>
          <w:sz w:val="20"/>
          <w:szCs w:val="20"/>
        </w:rPr>
      </w:pPr>
    </w:p>
    <w:tbl>
      <w:tblPr>
        <w:tblW w:w="3863" w:type="dxa"/>
        <w:jc w:val="center"/>
        <w:tblCellMar>
          <w:left w:w="70" w:type="dxa"/>
          <w:right w:w="70" w:type="dxa"/>
        </w:tblCellMar>
        <w:tblLook w:val="04A0" w:firstRow="1" w:lastRow="0" w:firstColumn="1" w:lastColumn="0" w:noHBand="0" w:noVBand="1"/>
      </w:tblPr>
      <w:tblGrid>
        <w:gridCol w:w="1833"/>
        <w:gridCol w:w="2030"/>
      </w:tblGrid>
      <w:tr w:rsidR="005B6086" w14:paraId="48F0F5DA" w14:textId="77777777" w:rsidTr="002C0C82">
        <w:trPr>
          <w:trHeight w:val="585"/>
          <w:tblHeader/>
          <w:jc w:val="center"/>
        </w:trPr>
        <w:tc>
          <w:tcPr>
            <w:tcW w:w="1833"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730A743C" w14:textId="77777777" w:rsidR="005B6086" w:rsidRDefault="005B6086" w:rsidP="004C246C">
            <w:pPr>
              <w:spacing w:line="360" w:lineRule="auto"/>
              <w:jc w:val="center"/>
              <w:rPr>
                <w:b/>
                <w:bCs/>
                <w:color w:val="000000"/>
                <w:sz w:val="20"/>
                <w:szCs w:val="20"/>
                <w:lang w:val="es-MX" w:eastAsia="es-MX"/>
              </w:rPr>
            </w:pPr>
            <w:r>
              <w:rPr>
                <w:b/>
                <w:bCs/>
                <w:color w:val="000000"/>
                <w:sz w:val="20"/>
                <w:szCs w:val="20"/>
              </w:rPr>
              <w:t>AÑO</w:t>
            </w:r>
          </w:p>
        </w:tc>
        <w:tc>
          <w:tcPr>
            <w:tcW w:w="2030" w:type="dxa"/>
            <w:tcBorders>
              <w:top w:val="single" w:sz="8" w:space="0" w:color="auto"/>
              <w:left w:val="nil"/>
              <w:bottom w:val="nil"/>
              <w:right w:val="single" w:sz="8" w:space="0" w:color="auto"/>
            </w:tcBorders>
            <w:shd w:val="clear" w:color="000000" w:fill="BFBFBF"/>
            <w:vAlign w:val="center"/>
            <w:hideMark/>
          </w:tcPr>
          <w:p w14:paraId="731A09A5" w14:textId="77777777" w:rsidR="005B6086" w:rsidRDefault="005B6086" w:rsidP="004C246C">
            <w:pPr>
              <w:spacing w:line="360" w:lineRule="auto"/>
              <w:jc w:val="center"/>
              <w:rPr>
                <w:b/>
                <w:bCs/>
                <w:color w:val="000000"/>
                <w:sz w:val="20"/>
                <w:szCs w:val="20"/>
              </w:rPr>
            </w:pPr>
            <w:r>
              <w:rPr>
                <w:b/>
                <w:bCs/>
                <w:color w:val="000000"/>
                <w:sz w:val="20"/>
                <w:szCs w:val="20"/>
              </w:rPr>
              <w:t>APOYO ESTATAL EXTRAORDINARIO</w:t>
            </w:r>
          </w:p>
        </w:tc>
      </w:tr>
      <w:tr w:rsidR="005B6086" w14:paraId="6705B012" w14:textId="77777777" w:rsidTr="00D44BEC">
        <w:trPr>
          <w:trHeight w:val="46"/>
          <w:jc w:val="center"/>
        </w:trPr>
        <w:tc>
          <w:tcPr>
            <w:tcW w:w="1833" w:type="dxa"/>
            <w:vMerge/>
            <w:tcBorders>
              <w:top w:val="single" w:sz="8" w:space="0" w:color="auto"/>
              <w:left w:val="single" w:sz="8" w:space="0" w:color="auto"/>
              <w:bottom w:val="single" w:sz="8" w:space="0" w:color="000000"/>
              <w:right w:val="single" w:sz="8" w:space="0" w:color="auto"/>
            </w:tcBorders>
            <w:vAlign w:val="center"/>
            <w:hideMark/>
          </w:tcPr>
          <w:p w14:paraId="5F149039" w14:textId="77777777" w:rsidR="005B6086" w:rsidRDefault="005B6086" w:rsidP="004C246C">
            <w:pPr>
              <w:spacing w:line="360" w:lineRule="auto"/>
              <w:rPr>
                <w:b/>
                <w:bCs/>
                <w:color w:val="000000"/>
                <w:sz w:val="20"/>
                <w:szCs w:val="20"/>
              </w:rPr>
            </w:pPr>
          </w:p>
        </w:tc>
        <w:tc>
          <w:tcPr>
            <w:tcW w:w="2030" w:type="dxa"/>
            <w:tcBorders>
              <w:top w:val="nil"/>
              <w:left w:val="nil"/>
              <w:bottom w:val="single" w:sz="8" w:space="0" w:color="auto"/>
              <w:right w:val="single" w:sz="8" w:space="0" w:color="auto"/>
            </w:tcBorders>
            <w:shd w:val="clear" w:color="000000" w:fill="BFBFBF"/>
            <w:vAlign w:val="center"/>
            <w:hideMark/>
          </w:tcPr>
          <w:p w14:paraId="32EDC75B" w14:textId="77777777" w:rsidR="005B6086" w:rsidRDefault="005B6086" w:rsidP="004C246C">
            <w:pPr>
              <w:spacing w:line="360" w:lineRule="auto"/>
              <w:jc w:val="center"/>
              <w:rPr>
                <w:b/>
                <w:bCs/>
                <w:color w:val="000000"/>
                <w:sz w:val="20"/>
                <w:szCs w:val="20"/>
              </w:rPr>
            </w:pPr>
            <w:r>
              <w:rPr>
                <w:b/>
                <w:bCs/>
                <w:color w:val="000000"/>
                <w:sz w:val="20"/>
                <w:szCs w:val="20"/>
              </w:rPr>
              <w:t>(MDP)</w:t>
            </w:r>
          </w:p>
        </w:tc>
      </w:tr>
      <w:tr w:rsidR="00FD723E" w14:paraId="4F3C329D" w14:textId="77777777" w:rsidTr="00D44BEC">
        <w:trPr>
          <w:trHeight w:val="315"/>
          <w:jc w:val="center"/>
        </w:trPr>
        <w:tc>
          <w:tcPr>
            <w:tcW w:w="1833" w:type="dxa"/>
            <w:tcBorders>
              <w:top w:val="nil"/>
              <w:left w:val="single" w:sz="8" w:space="0" w:color="auto"/>
              <w:bottom w:val="single" w:sz="8" w:space="0" w:color="auto"/>
              <w:right w:val="single" w:sz="8" w:space="0" w:color="auto"/>
            </w:tcBorders>
            <w:noWrap/>
            <w:vAlign w:val="center"/>
            <w:hideMark/>
          </w:tcPr>
          <w:p w14:paraId="60407D5A" w14:textId="3477C7DA" w:rsidR="00FD723E" w:rsidRDefault="00FD723E" w:rsidP="004C246C">
            <w:pPr>
              <w:spacing w:line="360" w:lineRule="auto"/>
              <w:rPr>
                <w:b/>
                <w:bCs/>
                <w:color w:val="000000"/>
                <w:sz w:val="20"/>
                <w:szCs w:val="20"/>
              </w:rPr>
            </w:pPr>
            <w:r w:rsidRPr="00422B39">
              <w:rPr>
                <w:b/>
                <w:bCs/>
                <w:color w:val="000000"/>
                <w:sz w:val="22"/>
                <w:szCs w:val="22"/>
                <w:lang w:eastAsia="es-MX"/>
              </w:rPr>
              <w:t>Ejercicio 2017</w:t>
            </w:r>
          </w:p>
        </w:tc>
        <w:tc>
          <w:tcPr>
            <w:tcW w:w="2030" w:type="dxa"/>
            <w:tcBorders>
              <w:top w:val="nil"/>
              <w:left w:val="nil"/>
              <w:bottom w:val="single" w:sz="8" w:space="0" w:color="auto"/>
              <w:right w:val="single" w:sz="8" w:space="0" w:color="auto"/>
            </w:tcBorders>
            <w:noWrap/>
            <w:vAlign w:val="center"/>
            <w:hideMark/>
          </w:tcPr>
          <w:p w14:paraId="2515C53B" w14:textId="72660727" w:rsidR="00FD723E" w:rsidRDefault="00FD723E" w:rsidP="004C246C">
            <w:pPr>
              <w:spacing w:line="360" w:lineRule="auto"/>
              <w:jc w:val="right"/>
              <w:rPr>
                <w:color w:val="000000"/>
                <w:sz w:val="20"/>
                <w:szCs w:val="20"/>
              </w:rPr>
            </w:pPr>
            <w:r w:rsidRPr="00422B39">
              <w:rPr>
                <w:bCs/>
                <w:color w:val="000000"/>
                <w:sz w:val="22"/>
                <w:szCs w:val="22"/>
                <w:lang w:eastAsia="es-MX"/>
              </w:rPr>
              <w:t>26.6</w:t>
            </w:r>
          </w:p>
        </w:tc>
      </w:tr>
      <w:tr w:rsidR="00FD723E" w14:paraId="2C85BC97" w14:textId="77777777" w:rsidTr="00D44BEC">
        <w:trPr>
          <w:trHeight w:val="315"/>
          <w:jc w:val="center"/>
        </w:trPr>
        <w:tc>
          <w:tcPr>
            <w:tcW w:w="1833" w:type="dxa"/>
            <w:tcBorders>
              <w:top w:val="nil"/>
              <w:left w:val="single" w:sz="8" w:space="0" w:color="auto"/>
              <w:bottom w:val="single" w:sz="8" w:space="0" w:color="auto"/>
              <w:right w:val="single" w:sz="8" w:space="0" w:color="auto"/>
            </w:tcBorders>
            <w:noWrap/>
            <w:vAlign w:val="center"/>
            <w:hideMark/>
          </w:tcPr>
          <w:p w14:paraId="536E8421" w14:textId="54C1C126" w:rsidR="00FD723E" w:rsidRDefault="00FD723E" w:rsidP="004C246C">
            <w:pPr>
              <w:spacing w:line="360" w:lineRule="auto"/>
              <w:rPr>
                <w:b/>
                <w:bCs/>
                <w:color w:val="000000"/>
                <w:sz w:val="20"/>
                <w:szCs w:val="20"/>
              </w:rPr>
            </w:pPr>
            <w:r w:rsidRPr="00422B39">
              <w:rPr>
                <w:b/>
                <w:bCs/>
                <w:color w:val="000000"/>
                <w:sz w:val="22"/>
                <w:szCs w:val="22"/>
                <w:lang w:eastAsia="es-MX"/>
              </w:rPr>
              <w:t>Ejercicio 2018</w:t>
            </w:r>
          </w:p>
        </w:tc>
        <w:tc>
          <w:tcPr>
            <w:tcW w:w="2030" w:type="dxa"/>
            <w:tcBorders>
              <w:top w:val="nil"/>
              <w:left w:val="nil"/>
              <w:bottom w:val="single" w:sz="8" w:space="0" w:color="auto"/>
              <w:right w:val="single" w:sz="8" w:space="0" w:color="auto"/>
            </w:tcBorders>
            <w:noWrap/>
            <w:vAlign w:val="center"/>
            <w:hideMark/>
          </w:tcPr>
          <w:p w14:paraId="51CFD0AF" w14:textId="1BD3FF0E" w:rsidR="00FD723E" w:rsidRDefault="00FD723E" w:rsidP="004C246C">
            <w:pPr>
              <w:spacing w:line="360" w:lineRule="auto"/>
              <w:jc w:val="right"/>
              <w:rPr>
                <w:color w:val="000000"/>
                <w:sz w:val="20"/>
                <w:szCs w:val="20"/>
              </w:rPr>
            </w:pPr>
            <w:r w:rsidRPr="00422B39">
              <w:rPr>
                <w:bCs/>
                <w:color w:val="000000"/>
                <w:sz w:val="22"/>
                <w:szCs w:val="22"/>
                <w:lang w:eastAsia="es-MX"/>
              </w:rPr>
              <w:t>31.0</w:t>
            </w:r>
          </w:p>
        </w:tc>
      </w:tr>
      <w:tr w:rsidR="00FD723E" w14:paraId="18FB80CD" w14:textId="77777777" w:rsidTr="00D44BEC">
        <w:trPr>
          <w:trHeight w:val="315"/>
          <w:jc w:val="center"/>
        </w:trPr>
        <w:tc>
          <w:tcPr>
            <w:tcW w:w="1833" w:type="dxa"/>
            <w:tcBorders>
              <w:top w:val="nil"/>
              <w:left w:val="single" w:sz="8" w:space="0" w:color="auto"/>
              <w:bottom w:val="single" w:sz="8" w:space="0" w:color="auto"/>
              <w:right w:val="single" w:sz="8" w:space="0" w:color="auto"/>
            </w:tcBorders>
            <w:noWrap/>
            <w:vAlign w:val="center"/>
            <w:hideMark/>
          </w:tcPr>
          <w:p w14:paraId="21A0BFBA" w14:textId="48FC09C9" w:rsidR="00FD723E" w:rsidRDefault="00FD723E" w:rsidP="004C246C">
            <w:pPr>
              <w:spacing w:line="360" w:lineRule="auto"/>
              <w:rPr>
                <w:b/>
                <w:bCs/>
                <w:color w:val="000000"/>
                <w:sz w:val="20"/>
                <w:szCs w:val="20"/>
              </w:rPr>
            </w:pPr>
            <w:r w:rsidRPr="00422B39">
              <w:rPr>
                <w:b/>
                <w:bCs/>
                <w:color w:val="000000"/>
                <w:sz w:val="22"/>
                <w:szCs w:val="22"/>
                <w:lang w:eastAsia="es-MX"/>
              </w:rPr>
              <w:t>Ejercicio 2019</w:t>
            </w:r>
          </w:p>
        </w:tc>
        <w:tc>
          <w:tcPr>
            <w:tcW w:w="2030" w:type="dxa"/>
            <w:tcBorders>
              <w:top w:val="nil"/>
              <w:left w:val="nil"/>
              <w:bottom w:val="single" w:sz="8" w:space="0" w:color="auto"/>
              <w:right w:val="single" w:sz="8" w:space="0" w:color="auto"/>
            </w:tcBorders>
            <w:noWrap/>
            <w:vAlign w:val="center"/>
            <w:hideMark/>
          </w:tcPr>
          <w:p w14:paraId="2EE8185D" w14:textId="3F94D814" w:rsidR="00FD723E" w:rsidRDefault="00FD723E" w:rsidP="004C246C">
            <w:pPr>
              <w:spacing w:line="360" w:lineRule="auto"/>
              <w:jc w:val="right"/>
              <w:rPr>
                <w:color w:val="000000"/>
                <w:sz w:val="20"/>
                <w:szCs w:val="20"/>
              </w:rPr>
            </w:pPr>
            <w:r w:rsidRPr="00422B39">
              <w:rPr>
                <w:bCs/>
                <w:color w:val="000000"/>
                <w:sz w:val="22"/>
                <w:szCs w:val="22"/>
                <w:lang w:eastAsia="es-MX"/>
              </w:rPr>
              <w:t>55.0</w:t>
            </w:r>
          </w:p>
        </w:tc>
      </w:tr>
      <w:tr w:rsidR="00FD723E" w14:paraId="02F45180" w14:textId="77777777" w:rsidTr="00D44BEC">
        <w:trPr>
          <w:trHeight w:val="315"/>
          <w:jc w:val="center"/>
        </w:trPr>
        <w:tc>
          <w:tcPr>
            <w:tcW w:w="1833" w:type="dxa"/>
            <w:tcBorders>
              <w:top w:val="nil"/>
              <w:left w:val="single" w:sz="8" w:space="0" w:color="auto"/>
              <w:bottom w:val="single" w:sz="8" w:space="0" w:color="auto"/>
              <w:right w:val="single" w:sz="8" w:space="0" w:color="auto"/>
            </w:tcBorders>
            <w:noWrap/>
            <w:vAlign w:val="center"/>
            <w:hideMark/>
          </w:tcPr>
          <w:p w14:paraId="03890A39" w14:textId="711F3E3B" w:rsidR="00FD723E" w:rsidRDefault="00FD723E" w:rsidP="004C246C">
            <w:pPr>
              <w:spacing w:line="360" w:lineRule="auto"/>
              <w:rPr>
                <w:b/>
                <w:bCs/>
                <w:color w:val="000000"/>
                <w:sz w:val="20"/>
                <w:szCs w:val="20"/>
              </w:rPr>
            </w:pPr>
            <w:r w:rsidRPr="00422B39">
              <w:rPr>
                <w:b/>
                <w:bCs/>
                <w:color w:val="000000"/>
                <w:sz w:val="22"/>
                <w:szCs w:val="22"/>
                <w:lang w:eastAsia="es-MX"/>
              </w:rPr>
              <w:t>Ejercicio 2020</w:t>
            </w:r>
          </w:p>
        </w:tc>
        <w:tc>
          <w:tcPr>
            <w:tcW w:w="2030" w:type="dxa"/>
            <w:tcBorders>
              <w:top w:val="nil"/>
              <w:left w:val="nil"/>
              <w:bottom w:val="single" w:sz="8" w:space="0" w:color="auto"/>
              <w:right w:val="single" w:sz="8" w:space="0" w:color="auto"/>
            </w:tcBorders>
            <w:noWrap/>
            <w:vAlign w:val="center"/>
            <w:hideMark/>
          </w:tcPr>
          <w:p w14:paraId="3B59E6B4" w14:textId="42BA1AD5" w:rsidR="00FD723E" w:rsidRDefault="00FD723E" w:rsidP="004C246C">
            <w:pPr>
              <w:spacing w:line="360" w:lineRule="auto"/>
              <w:jc w:val="right"/>
              <w:rPr>
                <w:color w:val="000000"/>
                <w:sz w:val="20"/>
                <w:szCs w:val="20"/>
              </w:rPr>
            </w:pPr>
            <w:r w:rsidRPr="00422B39">
              <w:rPr>
                <w:bCs/>
                <w:color w:val="000000"/>
                <w:sz w:val="22"/>
                <w:szCs w:val="22"/>
                <w:lang w:eastAsia="es-MX"/>
              </w:rPr>
              <w:t>80.5</w:t>
            </w:r>
          </w:p>
        </w:tc>
      </w:tr>
      <w:tr w:rsidR="00FD723E" w14:paraId="03F0862E" w14:textId="77777777" w:rsidTr="00D44BEC">
        <w:trPr>
          <w:trHeight w:val="315"/>
          <w:jc w:val="center"/>
        </w:trPr>
        <w:tc>
          <w:tcPr>
            <w:tcW w:w="1833" w:type="dxa"/>
            <w:tcBorders>
              <w:top w:val="nil"/>
              <w:left w:val="single" w:sz="8" w:space="0" w:color="auto"/>
              <w:bottom w:val="single" w:sz="8" w:space="0" w:color="auto"/>
              <w:right w:val="single" w:sz="8" w:space="0" w:color="auto"/>
            </w:tcBorders>
            <w:noWrap/>
            <w:vAlign w:val="center"/>
            <w:hideMark/>
          </w:tcPr>
          <w:p w14:paraId="71E74143" w14:textId="52521EB9" w:rsidR="00FD723E" w:rsidRDefault="00FD723E" w:rsidP="004C246C">
            <w:pPr>
              <w:spacing w:line="360" w:lineRule="auto"/>
              <w:rPr>
                <w:b/>
                <w:bCs/>
                <w:color w:val="000000"/>
                <w:sz w:val="20"/>
                <w:szCs w:val="20"/>
              </w:rPr>
            </w:pPr>
            <w:r w:rsidRPr="00422B39">
              <w:rPr>
                <w:b/>
                <w:bCs/>
                <w:color w:val="000000"/>
                <w:sz w:val="22"/>
                <w:szCs w:val="22"/>
                <w:lang w:eastAsia="es-MX"/>
              </w:rPr>
              <w:t>Ejercicio 2021</w:t>
            </w:r>
          </w:p>
        </w:tc>
        <w:tc>
          <w:tcPr>
            <w:tcW w:w="2030" w:type="dxa"/>
            <w:tcBorders>
              <w:top w:val="nil"/>
              <w:left w:val="nil"/>
              <w:bottom w:val="single" w:sz="8" w:space="0" w:color="auto"/>
              <w:right w:val="single" w:sz="8" w:space="0" w:color="auto"/>
            </w:tcBorders>
            <w:noWrap/>
            <w:vAlign w:val="center"/>
            <w:hideMark/>
          </w:tcPr>
          <w:p w14:paraId="4FBF9629" w14:textId="4ED8D1A9" w:rsidR="00FD723E" w:rsidRDefault="00FD723E" w:rsidP="004C246C">
            <w:pPr>
              <w:spacing w:line="360" w:lineRule="auto"/>
              <w:jc w:val="right"/>
              <w:rPr>
                <w:color w:val="000000"/>
                <w:sz w:val="20"/>
                <w:szCs w:val="20"/>
              </w:rPr>
            </w:pPr>
            <w:r w:rsidRPr="00422B39">
              <w:rPr>
                <w:bCs/>
                <w:color w:val="000000"/>
                <w:sz w:val="22"/>
                <w:szCs w:val="22"/>
                <w:lang w:eastAsia="es-MX"/>
              </w:rPr>
              <w:t>49.6</w:t>
            </w:r>
          </w:p>
        </w:tc>
      </w:tr>
      <w:tr w:rsidR="00FD723E" w14:paraId="09D604D3" w14:textId="77777777" w:rsidTr="00D44BEC">
        <w:trPr>
          <w:trHeight w:val="315"/>
          <w:jc w:val="center"/>
        </w:trPr>
        <w:tc>
          <w:tcPr>
            <w:tcW w:w="1833" w:type="dxa"/>
            <w:tcBorders>
              <w:top w:val="nil"/>
              <w:left w:val="single" w:sz="8" w:space="0" w:color="auto"/>
              <w:bottom w:val="single" w:sz="8" w:space="0" w:color="auto"/>
              <w:right w:val="single" w:sz="8" w:space="0" w:color="auto"/>
            </w:tcBorders>
            <w:noWrap/>
            <w:vAlign w:val="center"/>
            <w:hideMark/>
          </w:tcPr>
          <w:p w14:paraId="3D5839AD" w14:textId="23ADADFD" w:rsidR="00FD723E" w:rsidRDefault="00FD723E" w:rsidP="004C246C">
            <w:pPr>
              <w:spacing w:line="360" w:lineRule="auto"/>
              <w:rPr>
                <w:b/>
                <w:bCs/>
                <w:color w:val="000000"/>
                <w:sz w:val="20"/>
                <w:szCs w:val="20"/>
              </w:rPr>
            </w:pPr>
            <w:r w:rsidRPr="00422B39">
              <w:rPr>
                <w:b/>
                <w:bCs/>
                <w:color w:val="000000"/>
                <w:sz w:val="22"/>
                <w:szCs w:val="22"/>
                <w:lang w:eastAsia="es-MX"/>
              </w:rPr>
              <w:t>Ejercicio 2022</w:t>
            </w:r>
          </w:p>
        </w:tc>
        <w:tc>
          <w:tcPr>
            <w:tcW w:w="2030" w:type="dxa"/>
            <w:tcBorders>
              <w:top w:val="nil"/>
              <w:left w:val="nil"/>
              <w:bottom w:val="single" w:sz="8" w:space="0" w:color="auto"/>
              <w:right w:val="single" w:sz="8" w:space="0" w:color="auto"/>
            </w:tcBorders>
            <w:noWrap/>
            <w:vAlign w:val="center"/>
            <w:hideMark/>
          </w:tcPr>
          <w:p w14:paraId="7CA966B4" w14:textId="0F335E8E" w:rsidR="00FD723E" w:rsidRDefault="00FD723E" w:rsidP="004C246C">
            <w:pPr>
              <w:spacing w:line="360" w:lineRule="auto"/>
              <w:jc w:val="right"/>
              <w:rPr>
                <w:color w:val="000000"/>
                <w:sz w:val="20"/>
                <w:szCs w:val="20"/>
              </w:rPr>
            </w:pPr>
            <w:r w:rsidRPr="00422B39">
              <w:rPr>
                <w:color w:val="000000"/>
                <w:sz w:val="22"/>
                <w:szCs w:val="22"/>
                <w:lang w:eastAsia="es-MX"/>
              </w:rPr>
              <w:t>77.6</w:t>
            </w:r>
          </w:p>
        </w:tc>
      </w:tr>
      <w:tr w:rsidR="00FD723E" w14:paraId="02175E00" w14:textId="77777777" w:rsidTr="00D44BEC">
        <w:trPr>
          <w:trHeight w:val="315"/>
          <w:jc w:val="center"/>
        </w:trPr>
        <w:tc>
          <w:tcPr>
            <w:tcW w:w="1833" w:type="dxa"/>
            <w:tcBorders>
              <w:top w:val="nil"/>
              <w:left w:val="single" w:sz="8" w:space="0" w:color="auto"/>
              <w:bottom w:val="single" w:sz="8" w:space="0" w:color="auto"/>
              <w:right w:val="single" w:sz="8" w:space="0" w:color="auto"/>
            </w:tcBorders>
            <w:noWrap/>
            <w:vAlign w:val="center"/>
            <w:hideMark/>
          </w:tcPr>
          <w:p w14:paraId="7283C8D3" w14:textId="537A30BE" w:rsidR="00FD723E" w:rsidRDefault="00FD723E" w:rsidP="004C246C">
            <w:pPr>
              <w:spacing w:line="360" w:lineRule="auto"/>
              <w:rPr>
                <w:b/>
                <w:bCs/>
                <w:color w:val="000000"/>
                <w:sz w:val="20"/>
                <w:szCs w:val="20"/>
              </w:rPr>
            </w:pPr>
            <w:r w:rsidRPr="00422B39">
              <w:rPr>
                <w:b/>
                <w:bCs/>
                <w:color w:val="000000"/>
                <w:sz w:val="22"/>
                <w:szCs w:val="22"/>
                <w:lang w:eastAsia="es-MX"/>
              </w:rPr>
              <w:t>Ejercicio 2023</w:t>
            </w:r>
          </w:p>
        </w:tc>
        <w:tc>
          <w:tcPr>
            <w:tcW w:w="2030" w:type="dxa"/>
            <w:tcBorders>
              <w:top w:val="nil"/>
              <w:left w:val="nil"/>
              <w:bottom w:val="single" w:sz="8" w:space="0" w:color="auto"/>
              <w:right w:val="single" w:sz="8" w:space="0" w:color="auto"/>
            </w:tcBorders>
            <w:noWrap/>
            <w:vAlign w:val="center"/>
            <w:hideMark/>
          </w:tcPr>
          <w:p w14:paraId="44BC2D01" w14:textId="7F4D3584" w:rsidR="00FD723E" w:rsidRDefault="00FD723E" w:rsidP="004C246C">
            <w:pPr>
              <w:spacing w:line="360" w:lineRule="auto"/>
              <w:jc w:val="right"/>
              <w:rPr>
                <w:b/>
                <w:bCs/>
                <w:color w:val="000000"/>
                <w:sz w:val="20"/>
                <w:szCs w:val="20"/>
              </w:rPr>
            </w:pPr>
            <w:r w:rsidRPr="00422B39">
              <w:rPr>
                <w:color w:val="000000"/>
                <w:sz w:val="22"/>
                <w:szCs w:val="22"/>
                <w:lang w:eastAsia="es-MX"/>
              </w:rPr>
              <w:t>60.0</w:t>
            </w:r>
          </w:p>
        </w:tc>
      </w:tr>
      <w:tr w:rsidR="00FD723E" w14:paraId="705510EC" w14:textId="77777777" w:rsidTr="00D44BEC">
        <w:trPr>
          <w:trHeight w:val="315"/>
          <w:jc w:val="center"/>
        </w:trPr>
        <w:tc>
          <w:tcPr>
            <w:tcW w:w="1833" w:type="dxa"/>
            <w:tcBorders>
              <w:top w:val="nil"/>
              <w:left w:val="single" w:sz="8" w:space="0" w:color="auto"/>
              <w:bottom w:val="single" w:sz="8" w:space="0" w:color="auto"/>
              <w:right w:val="single" w:sz="8" w:space="0" w:color="auto"/>
            </w:tcBorders>
            <w:noWrap/>
            <w:vAlign w:val="center"/>
          </w:tcPr>
          <w:p w14:paraId="6A9432FD" w14:textId="4D850D0E" w:rsidR="00FD723E" w:rsidRDefault="00FD723E" w:rsidP="004C246C">
            <w:pPr>
              <w:spacing w:line="360" w:lineRule="auto"/>
              <w:rPr>
                <w:b/>
                <w:bCs/>
                <w:color w:val="000000"/>
                <w:sz w:val="20"/>
                <w:szCs w:val="20"/>
              </w:rPr>
            </w:pPr>
            <w:r w:rsidRPr="00422B39">
              <w:rPr>
                <w:b/>
                <w:bCs/>
                <w:color w:val="000000"/>
                <w:sz w:val="22"/>
                <w:szCs w:val="22"/>
                <w:lang w:eastAsia="es-MX"/>
              </w:rPr>
              <w:lastRenderedPageBreak/>
              <w:t>Ejercicio 2024</w:t>
            </w:r>
          </w:p>
        </w:tc>
        <w:tc>
          <w:tcPr>
            <w:tcW w:w="2030" w:type="dxa"/>
            <w:tcBorders>
              <w:top w:val="nil"/>
              <w:left w:val="nil"/>
              <w:bottom w:val="single" w:sz="8" w:space="0" w:color="auto"/>
              <w:right w:val="single" w:sz="8" w:space="0" w:color="auto"/>
            </w:tcBorders>
            <w:noWrap/>
            <w:vAlign w:val="center"/>
          </w:tcPr>
          <w:p w14:paraId="5275128A" w14:textId="2E09DBC5" w:rsidR="00FD723E" w:rsidRPr="00D44BEC" w:rsidRDefault="00D44BEC" w:rsidP="004C246C">
            <w:pPr>
              <w:spacing w:line="360" w:lineRule="auto"/>
              <w:jc w:val="right"/>
              <w:rPr>
                <w:color w:val="000000"/>
                <w:sz w:val="20"/>
                <w:szCs w:val="20"/>
              </w:rPr>
            </w:pPr>
            <w:r>
              <w:rPr>
                <w:color w:val="000000"/>
                <w:sz w:val="22"/>
                <w:szCs w:val="22"/>
                <w:lang w:eastAsia="es-MX"/>
              </w:rPr>
              <w:t>79.3</w:t>
            </w:r>
          </w:p>
        </w:tc>
      </w:tr>
      <w:tr w:rsidR="00EB7803" w14:paraId="0F52A181" w14:textId="77777777" w:rsidTr="00D44BEC">
        <w:trPr>
          <w:trHeight w:val="315"/>
          <w:jc w:val="center"/>
        </w:trPr>
        <w:tc>
          <w:tcPr>
            <w:tcW w:w="1833" w:type="dxa"/>
            <w:tcBorders>
              <w:top w:val="nil"/>
              <w:left w:val="single" w:sz="8" w:space="0" w:color="auto"/>
              <w:bottom w:val="single" w:sz="8" w:space="0" w:color="auto"/>
              <w:right w:val="single" w:sz="8" w:space="0" w:color="auto"/>
            </w:tcBorders>
            <w:noWrap/>
            <w:vAlign w:val="center"/>
          </w:tcPr>
          <w:p w14:paraId="6359F04E" w14:textId="668F51E0" w:rsidR="00EB7803" w:rsidRPr="00D44BEC" w:rsidRDefault="00EB7803" w:rsidP="004C246C">
            <w:pPr>
              <w:spacing w:line="360" w:lineRule="auto"/>
              <w:rPr>
                <w:b/>
                <w:bCs/>
                <w:color w:val="FF0000"/>
                <w:sz w:val="22"/>
                <w:szCs w:val="22"/>
                <w:lang w:eastAsia="es-MX"/>
              </w:rPr>
            </w:pPr>
            <w:r w:rsidRPr="00150387">
              <w:rPr>
                <w:b/>
                <w:bCs/>
                <w:sz w:val="22"/>
                <w:szCs w:val="22"/>
                <w:lang w:eastAsia="es-MX"/>
              </w:rPr>
              <w:t>*Ejercicio 2025</w:t>
            </w:r>
          </w:p>
        </w:tc>
        <w:tc>
          <w:tcPr>
            <w:tcW w:w="2030" w:type="dxa"/>
            <w:tcBorders>
              <w:top w:val="nil"/>
              <w:left w:val="nil"/>
              <w:bottom w:val="single" w:sz="8" w:space="0" w:color="auto"/>
              <w:right w:val="single" w:sz="8" w:space="0" w:color="auto"/>
            </w:tcBorders>
            <w:noWrap/>
            <w:vAlign w:val="center"/>
          </w:tcPr>
          <w:p w14:paraId="0C64BA7A" w14:textId="2344E82D" w:rsidR="00EB7803" w:rsidRPr="00D44BEC" w:rsidRDefault="00EB7803" w:rsidP="004C246C">
            <w:pPr>
              <w:spacing w:line="360" w:lineRule="auto"/>
              <w:jc w:val="right"/>
              <w:rPr>
                <w:b/>
                <w:bCs/>
                <w:color w:val="FF0000"/>
                <w:sz w:val="22"/>
                <w:szCs w:val="22"/>
                <w:lang w:eastAsia="es-MX"/>
              </w:rPr>
            </w:pPr>
            <w:r w:rsidRPr="00150387">
              <w:rPr>
                <w:b/>
                <w:bCs/>
                <w:sz w:val="22"/>
                <w:szCs w:val="22"/>
                <w:lang w:eastAsia="es-MX"/>
              </w:rPr>
              <w:t>41.0</w:t>
            </w:r>
          </w:p>
        </w:tc>
      </w:tr>
      <w:tr w:rsidR="00EB7803" w14:paraId="6742BD98" w14:textId="77777777" w:rsidTr="00D44BEC">
        <w:trPr>
          <w:trHeight w:val="315"/>
          <w:jc w:val="center"/>
        </w:trPr>
        <w:tc>
          <w:tcPr>
            <w:tcW w:w="1833" w:type="dxa"/>
            <w:tcBorders>
              <w:top w:val="nil"/>
              <w:left w:val="single" w:sz="8" w:space="0" w:color="auto"/>
              <w:bottom w:val="single" w:sz="8" w:space="0" w:color="auto"/>
              <w:right w:val="single" w:sz="8" w:space="0" w:color="auto"/>
            </w:tcBorders>
            <w:noWrap/>
            <w:vAlign w:val="center"/>
            <w:hideMark/>
          </w:tcPr>
          <w:p w14:paraId="557DE949" w14:textId="1A29B571" w:rsidR="00EB7803" w:rsidRDefault="00EB7803" w:rsidP="004C246C">
            <w:pPr>
              <w:spacing w:line="360" w:lineRule="auto"/>
              <w:jc w:val="center"/>
              <w:rPr>
                <w:b/>
                <w:bCs/>
                <w:color w:val="000000"/>
                <w:sz w:val="20"/>
                <w:szCs w:val="20"/>
              </w:rPr>
            </w:pPr>
            <w:r>
              <w:rPr>
                <w:b/>
                <w:bCs/>
                <w:color w:val="000000"/>
                <w:sz w:val="20"/>
                <w:szCs w:val="20"/>
              </w:rPr>
              <w:t>SUMA</w:t>
            </w:r>
          </w:p>
        </w:tc>
        <w:tc>
          <w:tcPr>
            <w:tcW w:w="2030" w:type="dxa"/>
            <w:tcBorders>
              <w:top w:val="nil"/>
              <w:left w:val="nil"/>
              <w:bottom w:val="single" w:sz="8" w:space="0" w:color="auto"/>
              <w:right w:val="single" w:sz="8" w:space="0" w:color="auto"/>
            </w:tcBorders>
            <w:noWrap/>
            <w:vAlign w:val="center"/>
            <w:hideMark/>
          </w:tcPr>
          <w:p w14:paraId="5A6B73B5" w14:textId="3E5C00AB" w:rsidR="00EB7803" w:rsidRDefault="00EB7803" w:rsidP="004C246C">
            <w:pPr>
              <w:spacing w:line="360" w:lineRule="auto"/>
              <w:jc w:val="right"/>
              <w:rPr>
                <w:b/>
                <w:bCs/>
                <w:color w:val="000000"/>
                <w:sz w:val="20"/>
                <w:szCs w:val="20"/>
              </w:rPr>
            </w:pPr>
            <w:r>
              <w:rPr>
                <w:b/>
                <w:bCs/>
                <w:color w:val="000000"/>
                <w:sz w:val="22"/>
                <w:szCs w:val="22"/>
                <w:lang w:eastAsia="es-MX"/>
              </w:rPr>
              <w:t>500.6</w:t>
            </w:r>
          </w:p>
        </w:tc>
      </w:tr>
    </w:tbl>
    <w:p w14:paraId="220328FE" w14:textId="1AA75EA9" w:rsidR="009C37B3" w:rsidRPr="004C246C" w:rsidRDefault="00FD723E" w:rsidP="004C246C">
      <w:pPr>
        <w:spacing w:line="360" w:lineRule="auto"/>
        <w:ind w:left="2127"/>
        <w:rPr>
          <w:b/>
          <w:sz w:val="16"/>
          <w:szCs w:val="16"/>
        </w:rPr>
      </w:pPr>
      <w:r w:rsidRPr="004C246C">
        <w:rPr>
          <w:b/>
          <w:sz w:val="16"/>
          <w:szCs w:val="16"/>
        </w:rPr>
        <w:t>* Cifra estimada al cierre 202</w:t>
      </w:r>
      <w:r w:rsidR="00AD21F5" w:rsidRPr="004C246C">
        <w:rPr>
          <w:b/>
          <w:sz w:val="16"/>
          <w:szCs w:val="16"/>
        </w:rPr>
        <w:t>5</w:t>
      </w:r>
    </w:p>
    <w:p w14:paraId="6E486213" w14:textId="77777777" w:rsidR="009C37B3" w:rsidRDefault="009C37B3" w:rsidP="004C246C">
      <w:pPr>
        <w:spacing w:line="360" w:lineRule="auto"/>
        <w:jc w:val="both"/>
        <w:rPr>
          <w:sz w:val="20"/>
          <w:szCs w:val="20"/>
        </w:rPr>
      </w:pPr>
    </w:p>
    <w:p w14:paraId="69E76FE1" w14:textId="4C42733E" w:rsidR="009C37B3" w:rsidRDefault="00FD723E" w:rsidP="004C246C">
      <w:pPr>
        <w:spacing w:line="360" w:lineRule="auto"/>
        <w:jc w:val="both"/>
        <w:rPr>
          <w:sz w:val="20"/>
          <w:szCs w:val="20"/>
        </w:rPr>
      </w:pPr>
      <w:r w:rsidRPr="00FD723E">
        <w:rPr>
          <w:sz w:val="20"/>
          <w:szCs w:val="20"/>
        </w:rPr>
        <w:t>Los ingresos propios de Pensiones Civiles del Estado de Tlaxcala, se han visto incrementados, a partir, de la reforma, como a continuación se observa:</w:t>
      </w:r>
    </w:p>
    <w:p w14:paraId="6EBC0A0A" w14:textId="77777777" w:rsidR="009C37B3" w:rsidRDefault="009C37B3" w:rsidP="004C246C">
      <w:pPr>
        <w:spacing w:line="360" w:lineRule="auto"/>
        <w:jc w:val="both"/>
        <w:rPr>
          <w:sz w:val="20"/>
          <w:szCs w:val="20"/>
        </w:rPr>
      </w:pPr>
    </w:p>
    <w:tbl>
      <w:tblPr>
        <w:tblW w:w="4000" w:type="dxa"/>
        <w:jc w:val="center"/>
        <w:tblCellMar>
          <w:left w:w="70" w:type="dxa"/>
          <w:right w:w="70" w:type="dxa"/>
        </w:tblCellMar>
        <w:tblLook w:val="04A0" w:firstRow="1" w:lastRow="0" w:firstColumn="1" w:lastColumn="0" w:noHBand="0" w:noVBand="1"/>
      </w:tblPr>
      <w:tblGrid>
        <w:gridCol w:w="2100"/>
        <w:gridCol w:w="1900"/>
      </w:tblGrid>
      <w:tr w:rsidR="005B6086" w14:paraId="0D208965" w14:textId="77777777" w:rsidTr="005B6086">
        <w:trPr>
          <w:trHeight w:val="510"/>
          <w:jc w:val="center"/>
        </w:trPr>
        <w:tc>
          <w:tcPr>
            <w:tcW w:w="210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15F146A2" w14:textId="77777777" w:rsidR="005B6086" w:rsidRDefault="005B6086" w:rsidP="004C246C">
            <w:pPr>
              <w:spacing w:line="360" w:lineRule="auto"/>
              <w:jc w:val="center"/>
              <w:rPr>
                <w:b/>
                <w:bCs/>
                <w:color w:val="000000"/>
                <w:sz w:val="20"/>
                <w:szCs w:val="20"/>
                <w:lang w:val="es-MX" w:eastAsia="es-MX"/>
              </w:rPr>
            </w:pPr>
            <w:r>
              <w:rPr>
                <w:b/>
                <w:bCs/>
                <w:color w:val="000000"/>
                <w:sz w:val="20"/>
                <w:szCs w:val="20"/>
              </w:rPr>
              <w:t>AÑO</w:t>
            </w:r>
          </w:p>
        </w:tc>
        <w:tc>
          <w:tcPr>
            <w:tcW w:w="1900" w:type="dxa"/>
            <w:tcBorders>
              <w:top w:val="single" w:sz="8" w:space="0" w:color="auto"/>
              <w:left w:val="nil"/>
              <w:bottom w:val="nil"/>
              <w:right w:val="single" w:sz="8" w:space="0" w:color="auto"/>
            </w:tcBorders>
            <w:shd w:val="clear" w:color="000000" w:fill="BFBFBF"/>
            <w:vAlign w:val="center"/>
            <w:hideMark/>
          </w:tcPr>
          <w:p w14:paraId="642F7ECE" w14:textId="77777777" w:rsidR="005B6086" w:rsidRDefault="005B6086" w:rsidP="004C246C">
            <w:pPr>
              <w:spacing w:line="360" w:lineRule="auto"/>
              <w:jc w:val="center"/>
              <w:rPr>
                <w:b/>
                <w:bCs/>
                <w:color w:val="000000"/>
                <w:sz w:val="20"/>
                <w:szCs w:val="20"/>
              </w:rPr>
            </w:pPr>
            <w:r>
              <w:rPr>
                <w:b/>
                <w:bCs/>
                <w:color w:val="000000"/>
                <w:sz w:val="20"/>
                <w:szCs w:val="20"/>
              </w:rPr>
              <w:t>APORTACIONES Y RETENCIONES</w:t>
            </w:r>
          </w:p>
        </w:tc>
      </w:tr>
      <w:tr w:rsidR="005B6086" w14:paraId="56FEA9F9" w14:textId="77777777" w:rsidTr="005B6086">
        <w:trPr>
          <w:trHeight w:val="315"/>
          <w:jc w:val="center"/>
        </w:trPr>
        <w:tc>
          <w:tcPr>
            <w:tcW w:w="2100" w:type="dxa"/>
            <w:vMerge/>
            <w:tcBorders>
              <w:top w:val="single" w:sz="8" w:space="0" w:color="auto"/>
              <w:left w:val="single" w:sz="8" w:space="0" w:color="auto"/>
              <w:bottom w:val="single" w:sz="8" w:space="0" w:color="000000"/>
              <w:right w:val="single" w:sz="8" w:space="0" w:color="auto"/>
            </w:tcBorders>
            <w:vAlign w:val="center"/>
            <w:hideMark/>
          </w:tcPr>
          <w:p w14:paraId="34439207" w14:textId="77777777" w:rsidR="005B6086" w:rsidRDefault="005B6086" w:rsidP="004C246C">
            <w:pPr>
              <w:spacing w:line="360" w:lineRule="auto"/>
              <w:rPr>
                <w:b/>
                <w:bCs/>
                <w:color w:val="000000"/>
                <w:sz w:val="20"/>
                <w:szCs w:val="20"/>
              </w:rPr>
            </w:pPr>
          </w:p>
        </w:tc>
        <w:tc>
          <w:tcPr>
            <w:tcW w:w="1900" w:type="dxa"/>
            <w:tcBorders>
              <w:top w:val="nil"/>
              <w:left w:val="nil"/>
              <w:bottom w:val="single" w:sz="8" w:space="0" w:color="auto"/>
              <w:right w:val="single" w:sz="8" w:space="0" w:color="auto"/>
            </w:tcBorders>
            <w:shd w:val="clear" w:color="000000" w:fill="BFBFBF"/>
            <w:vAlign w:val="center"/>
            <w:hideMark/>
          </w:tcPr>
          <w:p w14:paraId="1F45E213" w14:textId="77777777" w:rsidR="005B6086" w:rsidRDefault="005B6086" w:rsidP="004C246C">
            <w:pPr>
              <w:spacing w:line="360" w:lineRule="auto"/>
              <w:jc w:val="center"/>
              <w:rPr>
                <w:b/>
                <w:bCs/>
                <w:color w:val="000000"/>
                <w:sz w:val="20"/>
                <w:szCs w:val="20"/>
              </w:rPr>
            </w:pPr>
            <w:r>
              <w:rPr>
                <w:b/>
                <w:bCs/>
                <w:color w:val="000000"/>
                <w:sz w:val="20"/>
                <w:szCs w:val="20"/>
              </w:rPr>
              <w:t>(MDP)</w:t>
            </w:r>
          </w:p>
        </w:tc>
      </w:tr>
      <w:tr w:rsidR="00FD723E" w14:paraId="47644D3B" w14:textId="77777777" w:rsidTr="00201309">
        <w:trPr>
          <w:trHeight w:val="315"/>
          <w:jc w:val="center"/>
        </w:trPr>
        <w:tc>
          <w:tcPr>
            <w:tcW w:w="2100" w:type="dxa"/>
            <w:tcBorders>
              <w:top w:val="nil"/>
              <w:left w:val="single" w:sz="8" w:space="0" w:color="auto"/>
              <w:bottom w:val="single" w:sz="8" w:space="0" w:color="auto"/>
              <w:right w:val="single" w:sz="8" w:space="0" w:color="auto"/>
            </w:tcBorders>
            <w:noWrap/>
            <w:vAlign w:val="center"/>
            <w:hideMark/>
          </w:tcPr>
          <w:p w14:paraId="02CBA2B5" w14:textId="55A40EE0" w:rsidR="00FD723E" w:rsidRDefault="00FD723E" w:rsidP="004C246C">
            <w:pPr>
              <w:spacing w:line="360" w:lineRule="auto"/>
              <w:rPr>
                <w:b/>
                <w:bCs/>
                <w:color w:val="000000"/>
                <w:sz w:val="20"/>
                <w:szCs w:val="20"/>
              </w:rPr>
            </w:pPr>
            <w:r w:rsidRPr="00422B39">
              <w:rPr>
                <w:b/>
                <w:bCs/>
                <w:color w:val="000000"/>
                <w:sz w:val="22"/>
                <w:szCs w:val="22"/>
                <w:lang w:eastAsia="es-MX"/>
              </w:rPr>
              <w:t>Ejercicio 2017</w:t>
            </w:r>
          </w:p>
        </w:tc>
        <w:tc>
          <w:tcPr>
            <w:tcW w:w="1900" w:type="dxa"/>
            <w:tcBorders>
              <w:top w:val="nil"/>
              <w:left w:val="nil"/>
              <w:bottom w:val="single" w:sz="8" w:space="0" w:color="auto"/>
              <w:right w:val="single" w:sz="8" w:space="0" w:color="auto"/>
            </w:tcBorders>
            <w:noWrap/>
            <w:vAlign w:val="bottom"/>
            <w:hideMark/>
          </w:tcPr>
          <w:p w14:paraId="592DA6C9" w14:textId="2F127478" w:rsidR="00FD723E" w:rsidRDefault="00FD723E" w:rsidP="004C246C">
            <w:pPr>
              <w:spacing w:line="360" w:lineRule="auto"/>
              <w:jc w:val="right"/>
              <w:rPr>
                <w:color w:val="000000"/>
                <w:sz w:val="20"/>
                <w:szCs w:val="20"/>
              </w:rPr>
            </w:pPr>
            <w:r w:rsidRPr="00422B39">
              <w:rPr>
                <w:bCs/>
                <w:color w:val="000000"/>
                <w:sz w:val="22"/>
                <w:szCs w:val="22"/>
                <w:lang w:eastAsia="es-MX"/>
              </w:rPr>
              <w:t>275.2</w:t>
            </w:r>
          </w:p>
        </w:tc>
      </w:tr>
      <w:tr w:rsidR="00FD723E" w14:paraId="209A1BA5" w14:textId="77777777" w:rsidTr="00201309">
        <w:trPr>
          <w:trHeight w:val="315"/>
          <w:jc w:val="center"/>
        </w:trPr>
        <w:tc>
          <w:tcPr>
            <w:tcW w:w="2100" w:type="dxa"/>
            <w:tcBorders>
              <w:top w:val="nil"/>
              <w:left w:val="single" w:sz="8" w:space="0" w:color="auto"/>
              <w:bottom w:val="single" w:sz="8" w:space="0" w:color="auto"/>
              <w:right w:val="single" w:sz="8" w:space="0" w:color="auto"/>
            </w:tcBorders>
            <w:noWrap/>
            <w:vAlign w:val="center"/>
            <w:hideMark/>
          </w:tcPr>
          <w:p w14:paraId="6DF3A39A" w14:textId="297D4F98" w:rsidR="00FD723E" w:rsidRDefault="00FD723E" w:rsidP="004C246C">
            <w:pPr>
              <w:spacing w:line="360" w:lineRule="auto"/>
              <w:rPr>
                <w:b/>
                <w:bCs/>
                <w:color w:val="000000"/>
                <w:sz w:val="20"/>
                <w:szCs w:val="20"/>
              </w:rPr>
            </w:pPr>
            <w:r w:rsidRPr="00422B39">
              <w:rPr>
                <w:b/>
                <w:bCs/>
                <w:color w:val="000000"/>
                <w:sz w:val="22"/>
                <w:szCs w:val="22"/>
                <w:lang w:eastAsia="es-MX"/>
              </w:rPr>
              <w:t>Ejercicio 2018</w:t>
            </w:r>
          </w:p>
        </w:tc>
        <w:tc>
          <w:tcPr>
            <w:tcW w:w="1900" w:type="dxa"/>
            <w:tcBorders>
              <w:top w:val="nil"/>
              <w:left w:val="nil"/>
              <w:bottom w:val="single" w:sz="8" w:space="0" w:color="auto"/>
              <w:right w:val="single" w:sz="8" w:space="0" w:color="auto"/>
            </w:tcBorders>
            <w:noWrap/>
            <w:vAlign w:val="bottom"/>
            <w:hideMark/>
          </w:tcPr>
          <w:p w14:paraId="36D83C9D" w14:textId="458EB84C" w:rsidR="00FD723E" w:rsidRDefault="00FD723E" w:rsidP="004C246C">
            <w:pPr>
              <w:spacing w:line="360" w:lineRule="auto"/>
              <w:jc w:val="right"/>
              <w:rPr>
                <w:color w:val="000000"/>
                <w:sz w:val="20"/>
                <w:szCs w:val="20"/>
              </w:rPr>
            </w:pPr>
            <w:r w:rsidRPr="00422B39">
              <w:rPr>
                <w:bCs/>
                <w:color w:val="000000"/>
                <w:sz w:val="22"/>
                <w:szCs w:val="22"/>
                <w:lang w:eastAsia="es-MX"/>
              </w:rPr>
              <w:t>267.1</w:t>
            </w:r>
          </w:p>
        </w:tc>
      </w:tr>
      <w:tr w:rsidR="00FD723E" w14:paraId="724F0D56" w14:textId="77777777" w:rsidTr="00201309">
        <w:trPr>
          <w:trHeight w:val="315"/>
          <w:jc w:val="center"/>
        </w:trPr>
        <w:tc>
          <w:tcPr>
            <w:tcW w:w="2100" w:type="dxa"/>
            <w:tcBorders>
              <w:top w:val="nil"/>
              <w:left w:val="single" w:sz="8" w:space="0" w:color="auto"/>
              <w:bottom w:val="single" w:sz="8" w:space="0" w:color="auto"/>
              <w:right w:val="single" w:sz="8" w:space="0" w:color="auto"/>
            </w:tcBorders>
            <w:noWrap/>
            <w:vAlign w:val="center"/>
            <w:hideMark/>
          </w:tcPr>
          <w:p w14:paraId="53233CCA" w14:textId="501160BD" w:rsidR="00FD723E" w:rsidRDefault="00FD723E" w:rsidP="004C246C">
            <w:pPr>
              <w:spacing w:line="360" w:lineRule="auto"/>
              <w:rPr>
                <w:b/>
                <w:bCs/>
                <w:color w:val="000000"/>
                <w:sz w:val="20"/>
                <w:szCs w:val="20"/>
              </w:rPr>
            </w:pPr>
            <w:r w:rsidRPr="00422B39">
              <w:rPr>
                <w:b/>
                <w:bCs/>
                <w:color w:val="000000"/>
                <w:sz w:val="22"/>
                <w:szCs w:val="22"/>
                <w:lang w:eastAsia="es-MX"/>
              </w:rPr>
              <w:t>Ejercicio 2019</w:t>
            </w:r>
          </w:p>
        </w:tc>
        <w:tc>
          <w:tcPr>
            <w:tcW w:w="1900" w:type="dxa"/>
            <w:tcBorders>
              <w:top w:val="nil"/>
              <w:left w:val="nil"/>
              <w:bottom w:val="single" w:sz="8" w:space="0" w:color="auto"/>
              <w:right w:val="single" w:sz="8" w:space="0" w:color="auto"/>
            </w:tcBorders>
            <w:noWrap/>
            <w:vAlign w:val="bottom"/>
            <w:hideMark/>
          </w:tcPr>
          <w:p w14:paraId="09E005E6" w14:textId="6A96B456" w:rsidR="00FD723E" w:rsidRDefault="00FD723E" w:rsidP="004C246C">
            <w:pPr>
              <w:spacing w:line="360" w:lineRule="auto"/>
              <w:jc w:val="right"/>
              <w:rPr>
                <w:color w:val="000000"/>
                <w:sz w:val="20"/>
                <w:szCs w:val="20"/>
              </w:rPr>
            </w:pPr>
            <w:r w:rsidRPr="00422B39">
              <w:rPr>
                <w:bCs/>
                <w:color w:val="000000"/>
                <w:sz w:val="22"/>
                <w:szCs w:val="22"/>
                <w:lang w:eastAsia="es-MX"/>
              </w:rPr>
              <w:t>290.9</w:t>
            </w:r>
          </w:p>
        </w:tc>
      </w:tr>
      <w:tr w:rsidR="00FD723E" w14:paraId="5B15A677" w14:textId="77777777" w:rsidTr="00201309">
        <w:trPr>
          <w:trHeight w:val="315"/>
          <w:jc w:val="center"/>
        </w:trPr>
        <w:tc>
          <w:tcPr>
            <w:tcW w:w="2100" w:type="dxa"/>
            <w:tcBorders>
              <w:top w:val="nil"/>
              <w:left w:val="single" w:sz="8" w:space="0" w:color="auto"/>
              <w:bottom w:val="single" w:sz="8" w:space="0" w:color="auto"/>
              <w:right w:val="single" w:sz="8" w:space="0" w:color="auto"/>
            </w:tcBorders>
            <w:noWrap/>
            <w:vAlign w:val="center"/>
            <w:hideMark/>
          </w:tcPr>
          <w:p w14:paraId="5DBF92B4" w14:textId="09DEF88E" w:rsidR="00FD723E" w:rsidRDefault="00FD723E" w:rsidP="004C246C">
            <w:pPr>
              <w:spacing w:line="360" w:lineRule="auto"/>
              <w:rPr>
                <w:b/>
                <w:bCs/>
                <w:color w:val="000000"/>
                <w:sz w:val="20"/>
                <w:szCs w:val="20"/>
              </w:rPr>
            </w:pPr>
            <w:r w:rsidRPr="00422B39">
              <w:rPr>
                <w:b/>
                <w:bCs/>
                <w:color w:val="000000"/>
                <w:sz w:val="22"/>
                <w:szCs w:val="22"/>
                <w:lang w:eastAsia="es-MX"/>
              </w:rPr>
              <w:t>Ejercicio 2020</w:t>
            </w:r>
          </w:p>
        </w:tc>
        <w:tc>
          <w:tcPr>
            <w:tcW w:w="1900" w:type="dxa"/>
            <w:tcBorders>
              <w:top w:val="nil"/>
              <w:left w:val="nil"/>
              <w:bottom w:val="single" w:sz="8" w:space="0" w:color="auto"/>
              <w:right w:val="single" w:sz="8" w:space="0" w:color="auto"/>
            </w:tcBorders>
            <w:noWrap/>
            <w:vAlign w:val="bottom"/>
            <w:hideMark/>
          </w:tcPr>
          <w:p w14:paraId="196BE3FA" w14:textId="68E306B0" w:rsidR="00FD723E" w:rsidRDefault="00FD723E" w:rsidP="004C246C">
            <w:pPr>
              <w:spacing w:line="360" w:lineRule="auto"/>
              <w:jc w:val="right"/>
              <w:rPr>
                <w:color w:val="000000"/>
                <w:sz w:val="20"/>
                <w:szCs w:val="20"/>
              </w:rPr>
            </w:pPr>
            <w:r w:rsidRPr="00422B39">
              <w:rPr>
                <w:bCs/>
                <w:color w:val="000000"/>
                <w:sz w:val="22"/>
                <w:szCs w:val="22"/>
                <w:lang w:eastAsia="es-MX"/>
              </w:rPr>
              <w:t>364.2</w:t>
            </w:r>
          </w:p>
        </w:tc>
      </w:tr>
      <w:tr w:rsidR="00FD723E" w14:paraId="68D26013" w14:textId="77777777" w:rsidTr="00201309">
        <w:trPr>
          <w:trHeight w:val="315"/>
          <w:jc w:val="center"/>
        </w:trPr>
        <w:tc>
          <w:tcPr>
            <w:tcW w:w="2100" w:type="dxa"/>
            <w:tcBorders>
              <w:top w:val="nil"/>
              <w:left w:val="single" w:sz="8" w:space="0" w:color="auto"/>
              <w:bottom w:val="single" w:sz="8" w:space="0" w:color="auto"/>
              <w:right w:val="single" w:sz="8" w:space="0" w:color="auto"/>
            </w:tcBorders>
            <w:noWrap/>
            <w:vAlign w:val="center"/>
            <w:hideMark/>
          </w:tcPr>
          <w:p w14:paraId="68A0095B" w14:textId="3BD5C039" w:rsidR="00FD723E" w:rsidRDefault="00FD723E" w:rsidP="004C246C">
            <w:pPr>
              <w:spacing w:line="360" w:lineRule="auto"/>
              <w:rPr>
                <w:b/>
                <w:bCs/>
                <w:color w:val="000000"/>
                <w:sz w:val="20"/>
                <w:szCs w:val="20"/>
              </w:rPr>
            </w:pPr>
            <w:r w:rsidRPr="00422B39">
              <w:rPr>
                <w:b/>
                <w:bCs/>
                <w:color w:val="000000"/>
                <w:sz w:val="22"/>
                <w:szCs w:val="22"/>
                <w:lang w:eastAsia="es-MX"/>
              </w:rPr>
              <w:t>Ejercicio 2021</w:t>
            </w:r>
          </w:p>
        </w:tc>
        <w:tc>
          <w:tcPr>
            <w:tcW w:w="1900" w:type="dxa"/>
            <w:tcBorders>
              <w:top w:val="nil"/>
              <w:left w:val="nil"/>
              <w:bottom w:val="single" w:sz="8" w:space="0" w:color="auto"/>
              <w:right w:val="single" w:sz="8" w:space="0" w:color="auto"/>
            </w:tcBorders>
            <w:noWrap/>
            <w:vAlign w:val="bottom"/>
            <w:hideMark/>
          </w:tcPr>
          <w:p w14:paraId="5E93D800" w14:textId="26D7719B" w:rsidR="00FD723E" w:rsidRDefault="00FD723E" w:rsidP="004C246C">
            <w:pPr>
              <w:spacing w:line="360" w:lineRule="auto"/>
              <w:jc w:val="right"/>
              <w:rPr>
                <w:color w:val="000000"/>
                <w:sz w:val="20"/>
                <w:szCs w:val="20"/>
              </w:rPr>
            </w:pPr>
            <w:r w:rsidRPr="00422B39">
              <w:rPr>
                <w:bCs/>
                <w:color w:val="000000"/>
                <w:sz w:val="22"/>
                <w:szCs w:val="22"/>
                <w:lang w:eastAsia="es-MX"/>
              </w:rPr>
              <w:t>351.6</w:t>
            </w:r>
          </w:p>
        </w:tc>
      </w:tr>
      <w:tr w:rsidR="00FD723E" w14:paraId="2D115354" w14:textId="77777777" w:rsidTr="00201309">
        <w:trPr>
          <w:trHeight w:val="315"/>
          <w:jc w:val="center"/>
        </w:trPr>
        <w:tc>
          <w:tcPr>
            <w:tcW w:w="2100" w:type="dxa"/>
            <w:tcBorders>
              <w:top w:val="nil"/>
              <w:left w:val="single" w:sz="8" w:space="0" w:color="auto"/>
              <w:bottom w:val="single" w:sz="8" w:space="0" w:color="auto"/>
              <w:right w:val="single" w:sz="8" w:space="0" w:color="auto"/>
            </w:tcBorders>
            <w:noWrap/>
            <w:vAlign w:val="center"/>
            <w:hideMark/>
          </w:tcPr>
          <w:p w14:paraId="69BC9E34" w14:textId="29F1F792" w:rsidR="00FD723E" w:rsidRDefault="00FD723E" w:rsidP="004C246C">
            <w:pPr>
              <w:spacing w:line="360" w:lineRule="auto"/>
              <w:rPr>
                <w:b/>
                <w:bCs/>
                <w:color w:val="000000"/>
                <w:sz w:val="20"/>
                <w:szCs w:val="20"/>
              </w:rPr>
            </w:pPr>
            <w:r w:rsidRPr="00422B39">
              <w:rPr>
                <w:b/>
                <w:bCs/>
                <w:color w:val="000000"/>
                <w:sz w:val="22"/>
                <w:szCs w:val="22"/>
                <w:lang w:eastAsia="es-MX"/>
              </w:rPr>
              <w:t>Ejercicio 2022</w:t>
            </w:r>
          </w:p>
        </w:tc>
        <w:tc>
          <w:tcPr>
            <w:tcW w:w="1900" w:type="dxa"/>
            <w:tcBorders>
              <w:top w:val="nil"/>
              <w:left w:val="nil"/>
              <w:bottom w:val="single" w:sz="8" w:space="0" w:color="auto"/>
              <w:right w:val="single" w:sz="8" w:space="0" w:color="auto"/>
            </w:tcBorders>
            <w:noWrap/>
            <w:vAlign w:val="bottom"/>
            <w:hideMark/>
          </w:tcPr>
          <w:p w14:paraId="040E20EA" w14:textId="784E1AF6" w:rsidR="00FD723E" w:rsidRDefault="00FD723E" w:rsidP="004C246C">
            <w:pPr>
              <w:spacing w:line="360" w:lineRule="auto"/>
              <w:jc w:val="right"/>
              <w:rPr>
                <w:color w:val="000000"/>
                <w:sz w:val="20"/>
                <w:szCs w:val="20"/>
              </w:rPr>
            </w:pPr>
            <w:r w:rsidRPr="00422B39">
              <w:rPr>
                <w:color w:val="000000"/>
                <w:sz w:val="22"/>
                <w:szCs w:val="22"/>
                <w:lang w:eastAsia="es-MX"/>
              </w:rPr>
              <w:t>377.9</w:t>
            </w:r>
          </w:p>
        </w:tc>
      </w:tr>
      <w:tr w:rsidR="00FD723E" w14:paraId="7CF55396" w14:textId="77777777" w:rsidTr="00201309">
        <w:trPr>
          <w:trHeight w:val="315"/>
          <w:jc w:val="center"/>
        </w:trPr>
        <w:tc>
          <w:tcPr>
            <w:tcW w:w="2100" w:type="dxa"/>
            <w:tcBorders>
              <w:top w:val="nil"/>
              <w:left w:val="single" w:sz="8" w:space="0" w:color="auto"/>
              <w:bottom w:val="single" w:sz="8" w:space="0" w:color="auto"/>
              <w:right w:val="single" w:sz="8" w:space="0" w:color="auto"/>
            </w:tcBorders>
            <w:noWrap/>
            <w:vAlign w:val="center"/>
            <w:hideMark/>
          </w:tcPr>
          <w:p w14:paraId="0CB67856" w14:textId="6611371D" w:rsidR="00FD723E" w:rsidRDefault="00FD723E" w:rsidP="004C246C">
            <w:pPr>
              <w:spacing w:line="360" w:lineRule="auto"/>
              <w:rPr>
                <w:b/>
                <w:bCs/>
                <w:color w:val="000000"/>
                <w:sz w:val="20"/>
                <w:szCs w:val="20"/>
              </w:rPr>
            </w:pPr>
            <w:r w:rsidRPr="00422B39">
              <w:rPr>
                <w:b/>
                <w:bCs/>
                <w:color w:val="000000"/>
                <w:sz w:val="22"/>
                <w:szCs w:val="22"/>
                <w:lang w:eastAsia="es-MX"/>
              </w:rPr>
              <w:t>Ejercicio 2023</w:t>
            </w:r>
          </w:p>
        </w:tc>
        <w:tc>
          <w:tcPr>
            <w:tcW w:w="1900" w:type="dxa"/>
            <w:tcBorders>
              <w:top w:val="nil"/>
              <w:left w:val="nil"/>
              <w:bottom w:val="single" w:sz="8" w:space="0" w:color="auto"/>
              <w:right w:val="single" w:sz="8" w:space="0" w:color="auto"/>
            </w:tcBorders>
            <w:noWrap/>
            <w:vAlign w:val="bottom"/>
            <w:hideMark/>
          </w:tcPr>
          <w:p w14:paraId="4F334545" w14:textId="6324482B" w:rsidR="00FD723E" w:rsidRDefault="00FD723E" w:rsidP="004C246C">
            <w:pPr>
              <w:spacing w:line="360" w:lineRule="auto"/>
              <w:jc w:val="right"/>
              <w:rPr>
                <w:color w:val="000000"/>
                <w:sz w:val="20"/>
                <w:szCs w:val="20"/>
              </w:rPr>
            </w:pPr>
            <w:r w:rsidRPr="00422B39">
              <w:rPr>
                <w:color w:val="000000"/>
                <w:sz w:val="22"/>
                <w:szCs w:val="22"/>
                <w:lang w:eastAsia="es-MX"/>
              </w:rPr>
              <w:t>413.2</w:t>
            </w:r>
          </w:p>
        </w:tc>
      </w:tr>
      <w:tr w:rsidR="00FD723E" w14:paraId="07BE2D70" w14:textId="77777777" w:rsidTr="00201309">
        <w:trPr>
          <w:trHeight w:val="315"/>
          <w:jc w:val="center"/>
        </w:trPr>
        <w:tc>
          <w:tcPr>
            <w:tcW w:w="2100" w:type="dxa"/>
            <w:tcBorders>
              <w:top w:val="nil"/>
              <w:left w:val="single" w:sz="8" w:space="0" w:color="auto"/>
              <w:bottom w:val="single" w:sz="8" w:space="0" w:color="auto"/>
              <w:right w:val="single" w:sz="8" w:space="0" w:color="auto"/>
            </w:tcBorders>
            <w:noWrap/>
            <w:vAlign w:val="center"/>
          </w:tcPr>
          <w:p w14:paraId="4B211B8B" w14:textId="6ED6807C" w:rsidR="00FD723E" w:rsidRDefault="00AD21F5" w:rsidP="004C246C">
            <w:pPr>
              <w:spacing w:line="360" w:lineRule="auto"/>
              <w:rPr>
                <w:b/>
                <w:bCs/>
                <w:color w:val="000000"/>
                <w:sz w:val="20"/>
                <w:szCs w:val="20"/>
              </w:rPr>
            </w:pPr>
            <w:r w:rsidRPr="00422B39">
              <w:rPr>
                <w:b/>
                <w:bCs/>
                <w:color w:val="000000"/>
                <w:sz w:val="22"/>
                <w:szCs w:val="22"/>
                <w:lang w:eastAsia="es-MX"/>
              </w:rPr>
              <w:t>Ejercicio 2024</w:t>
            </w:r>
          </w:p>
        </w:tc>
        <w:tc>
          <w:tcPr>
            <w:tcW w:w="1900" w:type="dxa"/>
            <w:tcBorders>
              <w:top w:val="nil"/>
              <w:left w:val="nil"/>
              <w:bottom w:val="single" w:sz="8" w:space="0" w:color="auto"/>
              <w:right w:val="single" w:sz="8" w:space="0" w:color="auto"/>
            </w:tcBorders>
            <w:noWrap/>
            <w:vAlign w:val="bottom"/>
          </w:tcPr>
          <w:p w14:paraId="502A7458" w14:textId="17DBD7D6" w:rsidR="00FD723E" w:rsidRPr="00AD21F5" w:rsidRDefault="00AD21F5" w:rsidP="004C246C">
            <w:pPr>
              <w:spacing w:line="360" w:lineRule="auto"/>
              <w:jc w:val="right"/>
              <w:rPr>
                <w:color w:val="000000"/>
                <w:sz w:val="20"/>
                <w:szCs w:val="20"/>
              </w:rPr>
            </w:pPr>
            <w:r w:rsidRPr="00AD21F5">
              <w:rPr>
                <w:color w:val="000000"/>
                <w:sz w:val="22"/>
                <w:szCs w:val="22"/>
                <w:lang w:eastAsia="es-MX"/>
              </w:rPr>
              <w:t>438.9</w:t>
            </w:r>
          </w:p>
        </w:tc>
      </w:tr>
      <w:tr w:rsidR="00AD21F5" w14:paraId="798903A0" w14:textId="77777777" w:rsidTr="00201309">
        <w:trPr>
          <w:trHeight w:val="315"/>
          <w:jc w:val="center"/>
        </w:trPr>
        <w:tc>
          <w:tcPr>
            <w:tcW w:w="2100" w:type="dxa"/>
            <w:tcBorders>
              <w:top w:val="nil"/>
              <w:left w:val="single" w:sz="8" w:space="0" w:color="auto"/>
              <w:bottom w:val="single" w:sz="8" w:space="0" w:color="auto"/>
              <w:right w:val="single" w:sz="8" w:space="0" w:color="auto"/>
            </w:tcBorders>
            <w:noWrap/>
            <w:vAlign w:val="center"/>
          </w:tcPr>
          <w:p w14:paraId="30DFA693" w14:textId="34D2A4F3" w:rsidR="00AD21F5" w:rsidRPr="00422B39" w:rsidRDefault="00AD21F5" w:rsidP="004C246C">
            <w:pPr>
              <w:spacing w:line="360" w:lineRule="auto"/>
              <w:rPr>
                <w:b/>
                <w:bCs/>
                <w:color w:val="000000"/>
                <w:sz w:val="22"/>
                <w:szCs w:val="22"/>
                <w:lang w:eastAsia="es-MX"/>
              </w:rPr>
            </w:pPr>
            <w:r>
              <w:rPr>
                <w:b/>
                <w:bCs/>
                <w:color w:val="000000"/>
                <w:sz w:val="22"/>
                <w:szCs w:val="22"/>
                <w:lang w:eastAsia="es-MX"/>
              </w:rPr>
              <w:t>*</w:t>
            </w:r>
            <w:r w:rsidRPr="00422B39">
              <w:rPr>
                <w:b/>
                <w:bCs/>
                <w:color w:val="000000"/>
                <w:sz w:val="22"/>
                <w:szCs w:val="22"/>
                <w:lang w:eastAsia="es-MX"/>
              </w:rPr>
              <w:t>Ejercicio 202</w:t>
            </w:r>
            <w:r>
              <w:rPr>
                <w:b/>
                <w:bCs/>
                <w:color w:val="000000"/>
                <w:sz w:val="22"/>
                <w:szCs w:val="22"/>
                <w:lang w:eastAsia="es-MX"/>
              </w:rPr>
              <w:t>5</w:t>
            </w:r>
          </w:p>
        </w:tc>
        <w:tc>
          <w:tcPr>
            <w:tcW w:w="1900" w:type="dxa"/>
            <w:tcBorders>
              <w:top w:val="nil"/>
              <w:left w:val="nil"/>
              <w:bottom w:val="single" w:sz="8" w:space="0" w:color="auto"/>
              <w:right w:val="single" w:sz="8" w:space="0" w:color="auto"/>
            </w:tcBorders>
            <w:noWrap/>
            <w:vAlign w:val="bottom"/>
          </w:tcPr>
          <w:p w14:paraId="0F062368" w14:textId="0B89B8C9" w:rsidR="00AD21F5" w:rsidRPr="00422B39" w:rsidRDefault="00AD21F5" w:rsidP="004C246C">
            <w:pPr>
              <w:spacing w:line="360" w:lineRule="auto"/>
              <w:jc w:val="right"/>
              <w:rPr>
                <w:b/>
                <w:bCs/>
                <w:color w:val="000000"/>
                <w:sz w:val="22"/>
                <w:szCs w:val="22"/>
                <w:lang w:eastAsia="es-MX"/>
              </w:rPr>
            </w:pPr>
            <w:r>
              <w:rPr>
                <w:b/>
                <w:bCs/>
                <w:color w:val="000000"/>
                <w:sz w:val="22"/>
                <w:szCs w:val="22"/>
                <w:lang w:eastAsia="es-MX"/>
              </w:rPr>
              <w:t>388.6</w:t>
            </w:r>
          </w:p>
        </w:tc>
      </w:tr>
      <w:tr w:rsidR="00FD723E" w14:paraId="1F0C74BA" w14:textId="77777777" w:rsidTr="00201309">
        <w:trPr>
          <w:trHeight w:val="315"/>
          <w:jc w:val="center"/>
        </w:trPr>
        <w:tc>
          <w:tcPr>
            <w:tcW w:w="2100" w:type="dxa"/>
            <w:tcBorders>
              <w:top w:val="nil"/>
              <w:left w:val="single" w:sz="8" w:space="0" w:color="auto"/>
              <w:bottom w:val="single" w:sz="8" w:space="0" w:color="auto"/>
              <w:right w:val="single" w:sz="8" w:space="0" w:color="auto"/>
            </w:tcBorders>
            <w:noWrap/>
            <w:vAlign w:val="center"/>
            <w:hideMark/>
          </w:tcPr>
          <w:p w14:paraId="6A94946E" w14:textId="6D5615D7" w:rsidR="00FD723E" w:rsidRDefault="00FD723E" w:rsidP="004C246C">
            <w:pPr>
              <w:spacing w:line="360" w:lineRule="auto"/>
              <w:jc w:val="center"/>
              <w:rPr>
                <w:b/>
                <w:bCs/>
                <w:color w:val="000000"/>
                <w:sz w:val="20"/>
                <w:szCs w:val="20"/>
              </w:rPr>
            </w:pPr>
            <w:r w:rsidRPr="00422B39">
              <w:rPr>
                <w:b/>
                <w:bCs/>
                <w:color w:val="000000"/>
                <w:sz w:val="22"/>
                <w:szCs w:val="22"/>
                <w:lang w:eastAsia="es-MX"/>
              </w:rPr>
              <w:t>SUMA</w:t>
            </w:r>
          </w:p>
        </w:tc>
        <w:tc>
          <w:tcPr>
            <w:tcW w:w="1900" w:type="dxa"/>
            <w:tcBorders>
              <w:top w:val="nil"/>
              <w:left w:val="nil"/>
              <w:bottom w:val="single" w:sz="8" w:space="0" w:color="auto"/>
              <w:right w:val="single" w:sz="8" w:space="0" w:color="auto"/>
            </w:tcBorders>
            <w:noWrap/>
            <w:vAlign w:val="bottom"/>
            <w:hideMark/>
          </w:tcPr>
          <w:p w14:paraId="610F3260" w14:textId="1E2769DC" w:rsidR="00FD723E" w:rsidRDefault="00AD21F5" w:rsidP="004C246C">
            <w:pPr>
              <w:spacing w:line="360" w:lineRule="auto"/>
              <w:jc w:val="right"/>
              <w:rPr>
                <w:b/>
                <w:bCs/>
                <w:color w:val="000000"/>
                <w:sz w:val="20"/>
                <w:szCs w:val="20"/>
              </w:rPr>
            </w:pPr>
            <w:r>
              <w:rPr>
                <w:b/>
                <w:bCs/>
                <w:color w:val="000000"/>
                <w:sz w:val="22"/>
                <w:szCs w:val="22"/>
                <w:lang w:eastAsia="es-MX"/>
              </w:rPr>
              <w:t>3,167.6</w:t>
            </w:r>
            <w:r w:rsidR="00FD723E" w:rsidRPr="00422B39">
              <w:rPr>
                <w:b/>
                <w:bCs/>
                <w:color w:val="000000"/>
                <w:sz w:val="22"/>
                <w:szCs w:val="22"/>
                <w:lang w:eastAsia="es-MX"/>
              </w:rPr>
              <w:t xml:space="preserve"> </w:t>
            </w:r>
          </w:p>
        </w:tc>
      </w:tr>
    </w:tbl>
    <w:p w14:paraId="403F6572" w14:textId="4A022E42" w:rsidR="009C37B3" w:rsidRPr="004C246C" w:rsidRDefault="009C37B3" w:rsidP="004C246C">
      <w:pPr>
        <w:spacing w:line="360" w:lineRule="auto"/>
        <w:ind w:left="2127"/>
        <w:rPr>
          <w:b/>
          <w:sz w:val="16"/>
          <w:szCs w:val="16"/>
        </w:rPr>
      </w:pPr>
      <w:r w:rsidRPr="004C246C">
        <w:rPr>
          <w:b/>
          <w:sz w:val="16"/>
          <w:szCs w:val="16"/>
        </w:rPr>
        <w:t>* Cifras al Cierre del mes de septiembre de 202</w:t>
      </w:r>
      <w:r w:rsidR="00AD21F5" w:rsidRPr="004C246C">
        <w:rPr>
          <w:b/>
          <w:sz w:val="16"/>
          <w:szCs w:val="16"/>
        </w:rPr>
        <w:t>5.</w:t>
      </w:r>
    </w:p>
    <w:p w14:paraId="5B238C52" w14:textId="77777777" w:rsidR="009C37B3" w:rsidRDefault="009C37B3" w:rsidP="004C246C">
      <w:pPr>
        <w:spacing w:line="360" w:lineRule="auto"/>
        <w:jc w:val="both"/>
        <w:rPr>
          <w:sz w:val="20"/>
          <w:szCs w:val="20"/>
        </w:rPr>
      </w:pPr>
    </w:p>
    <w:p w14:paraId="7DCB11AF" w14:textId="1D0C60C2" w:rsidR="009C37B3" w:rsidRDefault="00FD723E" w:rsidP="004C246C">
      <w:pPr>
        <w:spacing w:line="360" w:lineRule="auto"/>
        <w:jc w:val="both"/>
        <w:rPr>
          <w:sz w:val="20"/>
          <w:szCs w:val="20"/>
        </w:rPr>
      </w:pPr>
      <w:r w:rsidRPr="00FD723E">
        <w:rPr>
          <w:sz w:val="20"/>
          <w:szCs w:val="20"/>
        </w:rPr>
        <w:t>El Gobierno del Estado, tiene como prioridad sanear el Sistema Estatal de Pensiones garantizando la solvencia de la Institución e impulsando el otorgamiento y recuperación de créditos. En los últimos años se han realizado las aportaciones al Fondo de Créditos por 150 Millones de pesos</w:t>
      </w:r>
      <w:r>
        <w:rPr>
          <w:sz w:val="20"/>
          <w:szCs w:val="20"/>
        </w:rPr>
        <w:t>.</w:t>
      </w:r>
    </w:p>
    <w:p w14:paraId="72937DB3" w14:textId="77777777" w:rsidR="00FD723E" w:rsidRDefault="00FD723E" w:rsidP="004C246C">
      <w:pPr>
        <w:spacing w:line="360" w:lineRule="auto"/>
        <w:jc w:val="both"/>
        <w:rPr>
          <w:sz w:val="20"/>
          <w:szCs w:val="20"/>
        </w:rPr>
      </w:pPr>
    </w:p>
    <w:p w14:paraId="1F4A31F8" w14:textId="7C6BA6F8" w:rsidR="00FD723E" w:rsidRDefault="00FD723E" w:rsidP="004C246C">
      <w:pPr>
        <w:spacing w:line="360" w:lineRule="auto"/>
        <w:jc w:val="center"/>
        <w:rPr>
          <w:sz w:val="20"/>
          <w:szCs w:val="20"/>
        </w:rPr>
      </w:pPr>
      <w:r>
        <w:rPr>
          <w:rFonts w:ascii="Arial" w:hAnsi="Arial" w:cs="Arial"/>
          <w:noProof/>
          <w:lang w:val="es-MX" w:eastAsia="es-MX"/>
        </w:rPr>
        <w:lastRenderedPageBreak/>
        <w:drawing>
          <wp:inline distT="0" distB="0" distL="0" distR="0" wp14:anchorId="48F17AEB" wp14:editId="730568E7">
            <wp:extent cx="4230093" cy="2567544"/>
            <wp:effectExtent l="0" t="0" r="0" b="4445"/>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49356" cy="2579236"/>
                    </a:xfrm>
                    <a:prstGeom prst="rect">
                      <a:avLst/>
                    </a:prstGeom>
                    <a:noFill/>
                  </pic:spPr>
                </pic:pic>
              </a:graphicData>
            </a:graphic>
          </wp:inline>
        </w:drawing>
      </w:r>
    </w:p>
    <w:p w14:paraId="4C96D3BC" w14:textId="6EFAF99A" w:rsidR="00A34161" w:rsidRDefault="00A34161" w:rsidP="00A34161">
      <w:pPr>
        <w:spacing w:line="360" w:lineRule="auto"/>
        <w:ind w:left="1416"/>
        <w:rPr>
          <w:sz w:val="12"/>
          <w:szCs w:val="12"/>
        </w:rPr>
      </w:pPr>
      <w:r>
        <w:rPr>
          <w:sz w:val="20"/>
          <w:szCs w:val="20"/>
        </w:rPr>
        <w:t>*</w:t>
      </w:r>
      <w:r w:rsidRPr="00A34161">
        <w:rPr>
          <w:sz w:val="12"/>
          <w:szCs w:val="12"/>
        </w:rPr>
        <w:t>Cifra Estimada al Cierre de 2025.</w:t>
      </w:r>
    </w:p>
    <w:p w14:paraId="6D369BE7" w14:textId="77777777" w:rsidR="00A34161" w:rsidRDefault="00A34161" w:rsidP="00A34161">
      <w:pPr>
        <w:spacing w:line="360" w:lineRule="auto"/>
        <w:ind w:left="1416"/>
        <w:rPr>
          <w:sz w:val="20"/>
          <w:szCs w:val="20"/>
        </w:rPr>
      </w:pPr>
    </w:p>
    <w:p w14:paraId="31856B55" w14:textId="77777777" w:rsidR="009C37B3" w:rsidRPr="00EB7803" w:rsidRDefault="009C37B3" w:rsidP="004C246C">
      <w:pPr>
        <w:spacing w:line="360" w:lineRule="auto"/>
        <w:jc w:val="both"/>
        <w:rPr>
          <w:b/>
          <w:sz w:val="20"/>
          <w:szCs w:val="20"/>
        </w:rPr>
      </w:pPr>
      <w:r w:rsidRPr="00EB7803">
        <w:rPr>
          <w:b/>
          <w:sz w:val="20"/>
          <w:szCs w:val="20"/>
        </w:rPr>
        <w:t>Deuda Pública</w:t>
      </w:r>
    </w:p>
    <w:p w14:paraId="66736861" w14:textId="77777777" w:rsidR="009C37B3" w:rsidRPr="00EB7803" w:rsidRDefault="009C37B3" w:rsidP="004C246C">
      <w:pPr>
        <w:spacing w:line="360" w:lineRule="auto"/>
        <w:jc w:val="both"/>
        <w:rPr>
          <w:b/>
          <w:sz w:val="20"/>
          <w:szCs w:val="20"/>
        </w:rPr>
      </w:pPr>
    </w:p>
    <w:p w14:paraId="0A3356BC" w14:textId="1684551E" w:rsidR="00201309" w:rsidRPr="00EB7803" w:rsidRDefault="0043720D" w:rsidP="004C246C">
      <w:pPr>
        <w:spacing w:line="360" w:lineRule="auto"/>
        <w:jc w:val="both"/>
        <w:rPr>
          <w:sz w:val="20"/>
          <w:szCs w:val="20"/>
          <w:lang w:val="es-ES_tradnl"/>
        </w:rPr>
      </w:pPr>
      <w:r w:rsidRPr="00EB7803">
        <w:rPr>
          <w:sz w:val="20"/>
          <w:szCs w:val="20"/>
          <w:lang w:val="es-ES_tradnl"/>
        </w:rPr>
        <w:t xml:space="preserve">Una de las políticas de esta Administración ha sido continuar con </w:t>
      </w:r>
      <w:proofErr w:type="gramStart"/>
      <w:r w:rsidRPr="00EB7803">
        <w:rPr>
          <w:sz w:val="20"/>
          <w:szCs w:val="20"/>
          <w:lang w:val="es-ES_tradnl"/>
        </w:rPr>
        <w:t>cero deuda</w:t>
      </w:r>
      <w:proofErr w:type="gramEnd"/>
      <w:r w:rsidRPr="00EB7803">
        <w:rPr>
          <w:sz w:val="20"/>
          <w:szCs w:val="20"/>
          <w:lang w:val="es-ES_tradnl"/>
        </w:rPr>
        <w:t xml:space="preserve">, para el mantenimiento de finanzas públicas sanas, lo cual ha sido reconocido a nivel nacional por parte del Gobierno Federal en ser el único Estado que hasta el momento no </w:t>
      </w:r>
      <w:r w:rsidR="0094799F">
        <w:rPr>
          <w:sz w:val="20"/>
          <w:szCs w:val="20"/>
          <w:lang w:val="es-ES_tradnl"/>
        </w:rPr>
        <w:t xml:space="preserve">ha </w:t>
      </w:r>
      <w:r w:rsidRPr="00EB7803">
        <w:rPr>
          <w:sz w:val="20"/>
          <w:szCs w:val="20"/>
          <w:lang w:val="es-ES_tradnl"/>
        </w:rPr>
        <w:t>contra</w:t>
      </w:r>
      <w:r w:rsidR="0094799F">
        <w:rPr>
          <w:sz w:val="20"/>
          <w:szCs w:val="20"/>
          <w:lang w:val="es-ES_tradnl"/>
        </w:rPr>
        <w:t>tado</w:t>
      </w:r>
      <w:r w:rsidRPr="00EB7803">
        <w:rPr>
          <w:sz w:val="20"/>
          <w:szCs w:val="20"/>
          <w:lang w:val="es-ES_tradnl"/>
        </w:rPr>
        <w:t xml:space="preserve"> deuda, todo ello a pesar de la situación actual a nivel Nacional e Internacional.</w:t>
      </w:r>
    </w:p>
    <w:p w14:paraId="2B9271B9" w14:textId="77777777" w:rsidR="0043720D" w:rsidRPr="00EB7803" w:rsidRDefault="0043720D" w:rsidP="004C246C">
      <w:pPr>
        <w:spacing w:line="360" w:lineRule="auto"/>
        <w:jc w:val="both"/>
        <w:rPr>
          <w:sz w:val="20"/>
          <w:szCs w:val="20"/>
        </w:rPr>
      </w:pPr>
    </w:p>
    <w:p w14:paraId="65FE842D" w14:textId="77777777" w:rsidR="009C37B3" w:rsidRPr="00EB7803" w:rsidRDefault="009C37B3" w:rsidP="004C246C">
      <w:pPr>
        <w:spacing w:line="360" w:lineRule="auto"/>
        <w:jc w:val="both"/>
        <w:rPr>
          <w:b/>
          <w:sz w:val="20"/>
          <w:szCs w:val="20"/>
        </w:rPr>
      </w:pPr>
      <w:r w:rsidRPr="00EB7803">
        <w:rPr>
          <w:b/>
          <w:sz w:val="20"/>
          <w:szCs w:val="20"/>
        </w:rPr>
        <w:t>Menor crecimiento económico</w:t>
      </w:r>
    </w:p>
    <w:p w14:paraId="7021921A" w14:textId="77777777" w:rsidR="009C37B3" w:rsidRPr="00EB7803" w:rsidRDefault="009C37B3" w:rsidP="004C246C">
      <w:pPr>
        <w:spacing w:line="360" w:lineRule="auto"/>
        <w:jc w:val="both"/>
        <w:rPr>
          <w:b/>
          <w:sz w:val="20"/>
          <w:szCs w:val="20"/>
        </w:rPr>
      </w:pPr>
    </w:p>
    <w:p w14:paraId="4B311205" w14:textId="7CC8BC8F" w:rsidR="0043720D" w:rsidRPr="00EB7803" w:rsidRDefault="0043720D" w:rsidP="004C246C">
      <w:pPr>
        <w:spacing w:line="360" w:lineRule="auto"/>
        <w:jc w:val="both"/>
        <w:rPr>
          <w:sz w:val="20"/>
          <w:szCs w:val="20"/>
        </w:rPr>
      </w:pPr>
      <w:r w:rsidRPr="00EB7803">
        <w:rPr>
          <w:sz w:val="20"/>
          <w:szCs w:val="20"/>
        </w:rPr>
        <w:t>La actividad económica de Tlaxcala tuvo un crecimiento de 1.1% en el primer trimestre de 2025 frente al trimestre inmediato anterior, mientras que en su comparación con el periodo enero a marzo de 2024 registró un retroceso de 0.1%, según informe del INEGI.</w:t>
      </w:r>
    </w:p>
    <w:p w14:paraId="348D2DB3" w14:textId="77777777" w:rsidR="0043720D" w:rsidRPr="00EB7803" w:rsidRDefault="0043720D" w:rsidP="004C246C">
      <w:pPr>
        <w:spacing w:line="360" w:lineRule="auto"/>
        <w:jc w:val="both"/>
        <w:rPr>
          <w:sz w:val="20"/>
          <w:szCs w:val="20"/>
        </w:rPr>
      </w:pPr>
    </w:p>
    <w:p w14:paraId="04CB83BB" w14:textId="00F5600C" w:rsidR="0012773A" w:rsidRPr="00EB7803" w:rsidRDefault="0043720D" w:rsidP="004C246C">
      <w:pPr>
        <w:spacing w:line="360" w:lineRule="auto"/>
        <w:jc w:val="both"/>
        <w:rPr>
          <w:sz w:val="20"/>
          <w:szCs w:val="20"/>
        </w:rPr>
      </w:pPr>
      <w:r w:rsidRPr="00EB7803">
        <w:rPr>
          <w:sz w:val="20"/>
          <w:szCs w:val="20"/>
        </w:rPr>
        <w:t>El Indicador Trimestral de la Actividad Económica Estatal (ITAEE) es un indicador de coyuntura que ofrece un panorama sobre la evolución económica de las entidades federativas del país, durante el primer trimestre de 2025 Tlaxcala mostró un incremento en las actividades Primarias, Secundarias y Terciarias de 1.3%, 0.4% y 1.5%, respectivamente.</w:t>
      </w:r>
    </w:p>
    <w:p w14:paraId="60726BD2" w14:textId="77777777" w:rsidR="0043720D" w:rsidRDefault="0043720D" w:rsidP="004C246C">
      <w:pPr>
        <w:spacing w:line="360" w:lineRule="auto"/>
        <w:jc w:val="both"/>
        <w:rPr>
          <w:b/>
          <w:sz w:val="20"/>
          <w:szCs w:val="20"/>
        </w:rPr>
      </w:pPr>
    </w:p>
    <w:p w14:paraId="5FFB9E90" w14:textId="77777777" w:rsidR="004C246C" w:rsidRDefault="004C246C" w:rsidP="004C246C">
      <w:pPr>
        <w:spacing w:line="360" w:lineRule="auto"/>
        <w:jc w:val="both"/>
        <w:rPr>
          <w:b/>
          <w:sz w:val="20"/>
          <w:szCs w:val="20"/>
        </w:rPr>
      </w:pPr>
    </w:p>
    <w:p w14:paraId="15150E3B" w14:textId="77777777" w:rsidR="004C246C" w:rsidRDefault="004C246C" w:rsidP="004C246C">
      <w:pPr>
        <w:spacing w:line="360" w:lineRule="auto"/>
        <w:jc w:val="both"/>
        <w:rPr>
          <w:b/>
          <w:sz w:val="20"/>
          <w:szCs w:val="20"/>
        </w:rPr>
      </w:pPr>
    </w:p>
    <w:p w14:paraId="3125E7C1" w14:textId="77777777" w:rsidR="004C246C" w:rsidRDefault="004C246C" w:rsidP="004C246C">
      <w:pPr>
        <w:spacing w:line="360" w:lineRule="auto"/>
        <w:jc w:val="both"/>
        <w:rPr>
          <w:b/>
          <w:sz w:val="20"/>
          <w:szCs w:val="20"/>
        </w:rPr>
      </w:pPr>
    </w:p>
    <w:p w14:paraId="17623865" w14:textId="77777777" w:rsidR="004C246C" w:rsidRPr="00EB7803" w:rsidRDefault="004C246C" w:rsidP="004C246C">
      <w:pPr>
        <w:spacing w:line="360" w:lineRule="auto"/>
        <w:jc w:val="both"/>
        <w:rPr>
          <w:b/>
          <w:sz w:val="20"/>
          <w:szCs w:val="20"/>
        </w:rPr>
      </w:pPr>
    </w:p>
    <w:p w14:paraId="77F8DC80" w14:textId="77777777" w:rsidR="009C37B3" w:rsidRPr="00EB7803" w:rsidRDefault="009C37B3" w:rsidP="004C246C">
      <w:pPr>
        <w:spacing w:line="360" w:lineRule="auto"/>
        <w:jc w:val="both"/>
        <w:rPr>
          <w:b/>
          <w:sz w:val="20"/>
          <w:szCs w:val="20"/>
        </w:rPr>
      </w:pPr>
      <w:r w:rsidRPr="00EB7803">
        <w:rPr>
          <w:b/>
          <w:sz w:val="20"/>
          <w:szCs w:val="20"/>
        </w:rPr>
        <w:t>Actividades Primarias</w:t>
      </w:r>
    </w:p>
    <w:p w14:paraId="21301D2D" w14:textId="77777777" w:rsidR="009C37B3" w:rsidRPr="00EB7803" w:rsidRDefault="009C37B3" w:rsidP="004C246C">
      <w:pPr>
        <w:spacing w:line="360" w:lineRule="auto"/>
        <w:jc w:val="both"/>
        <w:rPr>
          <w:b/>
          <w:sz w:val="20"/>
          <w:szCs w:val="20"/>
        </w:rPr>
      </w:pPr>
    </w:p>
    <w:p w14:paraId="0A9B20FF" w14:textId="5C158737" w:rsidR="0012773A" w:rsidRDefault="0043720D" w:rsidP="004C246C">
      <w:pPr>
        <w:spacing w:line="360" w:lineRule="auto"/>
        <w:jc w:val="both"/>
        <w:rPr>
          <w:sz w:val="20"/>
          <w:szCs w:val="20"/>
        </w:rPr>
      </w:pPr>
      <w:r w:rsidRPr="00EB7803">
        <w:rPr>
          <w:sz w:val="20"/>
          <w:szCs w:val="20"/>
        </w:rPr>
        <w:t>Incluyen agricultura, cría y explotación de animales, aprovechamiento forestal, pesca y caza, reportaron una variación anual de 1.3% en el primer trimestre de 2025, debido, sobre todo, al comportamiento de la agricultura.</w:t>
      </w:r>
    </w:p>
    <w:p w14:paraId="565F7233" w14:textId="36B7A470" w:rsidR="00201309" w:rsidRDefault="0043720D" w:rsidP="004C246C">
      <w:pPr>
        <w:spacing w:line="360" w:lineRule="auto"/>
        <w:jc w:val="center"/>
        <w:rPr>
          <w:sz w:val="20"/>
          <w:szCs w:val="20"/>
        </w:rPr>
      </w:pPr>
      <w:r>
        <w:rPr>
          <w:noProof/>
          <w:lang w:val="es-MX" w:eastAsia="es-MX"/>
        </w:rPr>
        <mc:AlternateContent>
          <mc:Choice Requires="wps">
            <w:drawing>
              <wp:anchor distT="0" distB="0" distL="114300" distR="114300" simplePos="0" relativeHeight="251730944" behindDoc="0" locked="0" layoutInCell="1" allowOverlap="1" wp14:anchorId="28CCE2BE" wp14:editId="79D476A7">
                <wp:simplePos x="0" y="0"/>
                <wp:positionH relativeFrom="column">
                  <wp:posOffset>3571240</wp:posOffset>
                </wp:positionH>
                <wp:positionV relativeFrom="paragraph">
                  <wp:posOffset>3617595</wp:posOffset>
                </wp:positionV>
                <wp:extent cx="762000" cy="76200"/>
                <wp:effectExtent l="19050" t="19050" r="19050" b="38100"/>
                <wp:wrapNone/>
                <wp:docPr id="2" name="Flecha derecha 2"/>
                <wp:cNvGraphicFramePr/>
                <a:graphic xmlns:a="http://schemas.openxmlformats.org/drawingml/2006/main">
                  <a:graphicData uri="http://schemas.microsoft.com/office/word/2010/wordprocessingShape">
                    <wps:wsp>
                      <wps:cNvSpPr/>
                      <wps:spPr>
                        <a:xfrm flipH="1">
                          <a:off x="0" y="0"/>
                          <a:ext cx="762000" cy="762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type w14:anchorId="362F2C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281.2pt;margin-top:284.85pt;width:60pt;height:6pt;flip:x;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" adj="20520" fillcolor="#c00000" strokecolor="#c00000" strokeweight="1pt"/>
            </w:pict>
          </mc:Fallback>
        </mc:AlternateContent>
      </w:r>
      <w:r>
        <w:rPr>
          <w:noProof/>
          <w:lang w:val="es-MX" w:eastAsia="es-MX"/>
        </w:rPr>
        <w:drawing>
          <wp:inline distT="0" distB="0" distL="0" distR="0" wp14:anchorId="5A6C33C1" wp14:editId="5E83440A">
            <wp:extent cx="3741251" cy="54781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7174" t="24231" r="38678" b="12903"/>
                    <a:stretch/>
                  </pic:blipFill>
                  <pic:spPr bwMode="auto">
                    <a:xfrm>
                      <a:off x="0" y="0"/>
                      <a:ext cx="3770715" cy="5521288"/>
                    </a:xfrm>
                    <a:prstGeom prst="rect">
                      <a:avLst/>
                    </a:prstGeom>
                    <a:ln>
                      <a:noFill/>
                    </a:ln>
                    <a:extLst>
                      <a:ext uri="{53640926-AAD7-44D8-BBD7-CCE9431645EC}">
                        <a14:shadowObscured xmlns:a14="http://schemas.microsoft.com/office/drawing/2010/main"/>
                      </a:ext>
                    </a:extLst>
                  </pic:spPr>
                </pic:pic>
              </a:graphicData>
            </a:graphic>
          </wp:inline>
        </w:drawing>
      </w:r>
    </w:p>
    <w:p w14:paraId="3DA096D6" w14:textId="77777777" w:rsidR="004C246C" w:rsidRDefault="004C246C" w:rsidP="004C246C">
      <w:pPr>
        <w:spacing w:line="360" w:lineRule="auto"/>
        <w:jc w:val="both"/>
        <w:rPr>
          <w:b/>
          <w:sz w:val="20"/>
          <w:szCs w:val="20"/>
        </w:rPr>
      </w:pPr>
    </w:p>
    <w:p w14:paraId="00DCAE4C" w14:textId="77777777" w:rsidR="004C246C" w:rsidRDefault="004C246C" w:rsidP="004C246C">
      <w:pPr>
        <w:spacing w:line="360" w:lineRule="auto"/>
        <w:jc w:val="both"/>
        <w:rPr>
          <w:b/>
          <w:sz w:val="20"/>
          <w:szCs w:val="20"/>
        </w:rPr>
      </w:pPr>
    </w:p>
    <w:p w14:paraId="71513E09" w14:textId="77777777" w:rsidR="004C246C" w:rsidRDefault="004C246C" w:rsidP="004C246C">
      <w:pPr>
        <w:spacing w:line="360" w:lineRule="auto"/>
        <w:jc w:val="both"/>
        <w:rPr>
          <w:b/>
          <w:sz w:val="20"/>
          <w:szCs w:val="20"/>
        </w:rPr>
      </w:pPr>
    </w:p>
    <w:p w14:paraId="7E944AD3" w14:textId="2D1748D1" w:rsidR="009C37B3" w:rsidRPr="009962A5" w:rsidRDefault="009C37B3" w:rsidP="004C246C">
      <w:pPr>
        <w:spacing w:line="360" w:lineRule="auto"/>
        <w:jc w:val="both"/>
        <w:rPr>
          <w:b/>
          <w:sz w:val="20"/>
          <w:szCs w:val="20"/>
        </w:rPr>
      </w:pPr>
      <w:r w:rsidRPr="009962A5">
        <w:rPr>
          <w:b/>
          <w:sz w:val="20"/>
          <w:szCs w:val="20"/>
        </w:rPr>
        <w:t>Actividades Secundarias</w:t>
      </w:r>
    </w:p>
    <w:p w14:paraId="1A077D8F" w14:textId="77777777" w:rsidR="009C37B3" w:rsidRPr="009962A5" w:rsidRDefault="009C37B3" w:rsidP="004C246C">
      <w:pPr>
        <w:spacing w:line="360" w:lineRule="auto"/>
        <w:jc w:val="both"/>
        <w:rPr>
          <w:b/>
          <w:sz w:val="20"/>
          <w:szCs w:val="20"/>
        </w:rPr>
      </w:pPr>
    </w:p>
    <w:p w14:paraId="049B9AD4" w14:textId="3782F1E8" w:rsidR="00564518" w:rsidRDefault="0043720D" w:rsidP="004C246C">
      <w:pPr>
        <w:spacing w:line="360" w:lineRule="auto"/>
        <w:jc w:val="both"/>
        <w:rPr>
          <w:sz w:val="20"/>
          <w:szCs w:val="20"/>
        </w:rPr>
      </w:pPr>
      <w:r w:rsidRPr="009962A5">
        <w:rPr>
          <w:sz w:val="20"/>
          <w:szCs w:val="20"/>
        </w:rPr>
        <w:t>Corresponden a los sectores dedicados a la industria de la minería, manufacturas, construcción y electricidad, que en su conjunto reflejaron un incremento a la tasa anual de 0.4% en el primer trimestre de 2025, debido, en mayor medida a la construcción y a las industrias manufactureras.</w:t>
      </w:r>
    </w:p>
    <w:p w14:paraId="608F6180" w14:textId="53D0E040" w:rsidR="00564518" w:rsidRDefault="0043720D" w:rsidP="004C246C">
      <w:pPr>
        <w:spacing w:line="360" w:lineRule="auto"/>
        <w:jc w:val="center"/>
        <w:rPr>
          <w:sz w:val="20"/>
          <w:szCs w:val="20"/>
        </w:rPr>
      </w:pPr>
      <w:r>
        <w:rPr>
          <w:noProof/>
          <w:lang w:val="es-MX" w:eastAsia="es-MX"/>
        </w:rPr>
        <mc:AlternateContent>
          <mc:Choice Requires="wps">
            <w:drawing>
              <wp:anchor distT="0" distB="0" distL="114300" distR="114300" simplePos="0" relativeHeight="251732992" behindDoc="0" locked="0" layoutInCell="1" allowOverlap="1" wp14:anchorId="4C9FA3AB" wp14:editId="0B2177E5">
                <wp:simplePos x="0" y="0"/>
                <wp:positionH relativeFrom="column">
                  <wp:posOffset>4069080</wp:posOffset>
                </wp:positionH>
                <wp:positionV relativeFrom="paragraph">
                  <wp:posOffset>3058795</wp:posOffset>
                </wp:positionV>
                <wp:extent cx="762000" cy="76200"/>
                <wp:effectExtent l="19050" t="19050" r="19050" b="38100"/>
                <wp:wrapNone/>
                <wp:docPr id="7" name="Flecha derecha 7"/>
                <wp:cNvGraphicFramePr/>
                <a:graphic xmlns:a="http://schemas.openxmlformats.org/drawingml/2006/main">
                  <a:graphicData uri="http://schemas.microsoft.com/office/word/2010/wordprocessingShape">
                    <wps:wsp>
                      <wps:cNvSpPr/>
                      <wps:spPr>
                        <a:xfrm flipH="1">
                          <a:off x="0" y="0"/>
                          <a:ext cx="762000" cy="762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1ABBAF7B" id="Flecha derecha 7" o:spid="_x0000_s1026" type="#_x0000_t13" style="position:absolute;margin-left:320.4pt;margin-top:240.85pt;width:60pt;height:6pt;flip:x;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" adj="20520" fillcolor="#c00000" strokecolor="#c00000" strokeweight="1pt"/>
            </w:pict>
          </mc:Fallback>
        </mc:AlternateContent>
      </w:r>
      <w:r>
        <w:rPr>
          <w:noProof/>
          <w:lang w:val="es-MX" w:eastAsia="es-MX"/>
        </w:rPr>
        <w:drawing>
          <wp:inline distT="0" distB="0" distL="0" distR="0" wp14:anchorId="3C7FE3ED" wp14:editId="4512A2B4">
            <wp:extent cx="3615828" cy="5479200"/>
            <wp:effectExtent l="0" t="0" r="381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7220" t="25370" r="38801" b="10026"/>
                    <a:stretch/>
                  </pic:blipFill>
                  <pic:spPr bwMode="auto">
                    <a:xfrm>
                      <a:off x="0" y="0"/>
                      <a:ext cx="3615828" cy="5479200"/>
                    </a:xfrm>
                    <a:prstGeom prst="rect">
                      <a:avLst/>
                    </a:prstGeom>
                    <a:ln>
                      <a:noFill/>
                    </a:ln>
                    <a:extLst>
                      <a:ext uri="{53640926-AAD7-44D8-BBD7-CCE9431645EC}">
                        <a14:shadowObscured xmlns:a14="http://schemas.microsoft.com/office/drawing/2010/main"/>
                      </a:ext>
                    </a:extLst>
                  </pic:spPr>
                </pic:pic>
              </a:graphicData>
            </a:graphic>
          </wp:inline>
        </w:drawing>
      </w:r>
    </w:p>
    <w:p w14:paraId="6E84B7E5" w14:textId="77777777" w:rsidR="0043720D" w:rsidRDefault="0043720D" w:rsidP="004C246C">
      <w:pPr>
        <w:spacing w:line="360" w:lineRule="auto"/>
        <w:jc w:val="both"/>
        <w:rPr>
          <w:sz w:val="20"/>
          <w:szCs w:val="20"/>
        </w:rPr>
      </w:pPr>
    </w:p>
    <w:p w14:paraId="42B84DA9" w14:textId="77777777" w:rsidR="004C246C" w:rsidRDefault="004C246C" w:rsidP="004C246C">
      <w:pPr>
        <w:spacing w:line="360" w:lineRule="auto"/>
        <w:jc w:val="both"/>
        <w:rPr>
          <w:sz w:val="20"/>
          <w:szCs w:val="20"/>
        </w:rPr>
      </w:pPr>
    </w:p>
    <w:p w14:paraId="061EE0C7" w14:textId="77777777" w:rsidR="004C246C" w:rsidRDefault="004C246C" w:rsidP="004C246C">
      <w:pPr>
        <w:spacing w:line="360" w:lineRule="auto"/>
        <w:jc w:val="both"/>
        <w:rPr>
          <w:sz w:val="20"/>
          <w:szCs w:val="20"/>
        </w:rPr>
      </w:pPr>
    </w:p>
    <w:p w14:paraId="3DD66B3D" w14:textId="72D9B9BB" w:rsidR="009C37B3" w:rsidRPr="009962A5" w:rsidRDefault="009C37B3" w:rsidP="004C246C">
      <w:pPr>
        <w:spacing w:line="360" w:lineRule="auto"/>
        <w:jc w:val="both"/>
        <w:rPr>
          <w:b/>
          <w:sz w:val="20"/>
          <w:szCs w:val="20"/>
        </w:rPr>
      </w:pPr>
      <w:r w:rsidRPr="009962A5">
        <w:rPr>
          <w:b/>
          <w:sz w:val="20"/>
          <w:szCs w:val="20"/>
        </w:rPr>
        <w:t>Actividades Terciarias</w:t>
      </w:r>
    </w:p>
    <w:p w14:paraId="65DCC9BE" w14:textId="77777777" w:rsidR="009C37B3" w:rsidRPr="009962A5" w:rsidRDefault="009C37B3" w:rsidP="004C246C">
      <w:pPr>
        <w:spacing w:line="360" w:lineRule="auto"/>
        <w:jc w:val="both"/>
        <w:rPr>
          <w:b/>
          <w:sz w:val="20"/>
          <w:szCs w:val="20"/>
        </w:rPr>
      </w:pPr>
    </w:p>
    <w:p w14:paraId="002C5A5A" w14:textId="2C48C38F" w:rsidR="0043720D" w:rsidRDefault="00D7018E" w:rsidP="004C246C">
      <w:pPr>
        <w:spacing w:line="360" w:lineRule="auto"/>
        <w:jc w:val="both"/>
        <w:rPr>
          <w:sz w:val="20"/>
          <w:szCs w:val="20"/>
        </w:rPr>
      </w:pPr>
      <w:r w:rsidRPr="009962A5">
        <w:rPr>
          <w:sz w:val="20"/>
          <w:szCs w:val="20"/>
        </w:rPr>
        <w:t>De igual manera la Entidad en estas actividades mostró un incremento de 1.5%, en el primer trimestre de 2025; que incluye los sectores dedicados a la distribución de bienes y aquellas actividades relativas a operaciones con información o con activos, así como a servicios cuyo insumo principal es el conocimiento y la experiencia de personal.</w:t>
      </w:r>
    </w:p>
    <w:p w14:paraId="3DEB4F97" w14:textId="305FE385" w:rsidR="00564518" w:rsidRDefault="00D7018E" w:rsidP="004C246C">
      <w:pPr>
        <w:spacing w:line="360" w:lineRule="auto"/>
        <w:jc w:val="center"/>
        <w:rPr>
          <w:sz w:val="20"/>
          <w:szCs w:val="20"/>
        </w:rPr>
      </w:pPr>
      <w:r>
        <w:rPr>
          <w:noProof/>
          <w:lang w:val="es-MX" w:eastAsia="es-MX"/>
        </w:rPr>
        <mc:AlternateContent>
          <mc:Choice Requires="wps">
            <w:drawing>
              <wp:anchor distT="0" distB="0" distL="114300" distR="114300" simplePos="0" relativeHeight="251735040" behindDoc="0" locked="0" layoutInCell="1" allowOverlap="1" wp14:anchorId="1E7470E7" wp14:editId="12D05179">
                <wp:simplePos x="0" y="0"/>
                <wp:positionH relativeFrom="column">
                  <wp:posOffset>3375660</wp:posOffset>
                </wp:positionH>
                <wp:positionV relativeFrom="paragraph">
                  <wp:posOffset>2022475</wp:posOffset>
                </wp:positionV>
                <wp:extent cx="762000" cy="76200"/>
                <wp:effectExtent l="19050" t="19050" r="19050" b="38100"/>
                <wp:wrapNone/>
                <wp:docPr id="13" name="Flecha derecha 13"/>
                <wp:cNvGraphicFramePr/>
                <a:graphic xmlns:a="http://schemas.openxmlformats.org/drawingml/2006/main">
                  <a:graphicData uri="http://schemas.microsoft.com/office/word/2010/wordprocessingShape">
                    <wps:wsp>
                      <wps:cNvSpPr/>
                      <wps:spPr>
                        <a:xfrm flipH="1">
                          <a:off x="0" y="0"/>
                          <a:ext cx="762000" cy="762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281F8747" id="Flecha derecha 13" o:spid="_x0000_s1026" type="#_x0000_t13" style="position:absolute;margin-left:265.8pt;margin-top:159.25pt;width:60pt;height:6pt;flip:x;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" adj="20520" fillcolor="#c00000" strokecolor="#c00000" strokeweight="1pt"/>
            </w:pict>
          </mc:Fallback>
        </mc:AlternateContent>
      </w:r>
      <w:r>
        <w:rPr>
          <w:noProof/>
          <w:lang w:val="es-MX" w:eastAsia="es-MX"/>
        </w:rPr>
        <w:drawing>
          <wp:inline distT="0" distB="0" distL="0" distR="0" wp14:anchorId="1908300E" wp14:editId="23B7EB0D">
            <wp:extent cx="3607704" cy="547920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7514" t="28509" r="38948" b="7934"/>
                    <a:stretch/>
                  </pic:blipFill>
                  <pic:spPr bwMode="auto">
                    <a:xfrm>
                      <a:off x="0" y="0"/>
                      <a:ext cx="3607704" cy="5479200"/>
                    </a:xfrm>
                    <a:prstGeom prst="rect">
                      <a:avLst/>
                    </a:prstGeom>
                    <a:ln>
                      <a:noFill/>
                    </a:ln>
                    <a:extLst>
                      <a:ext uri="{53640926-AAD7-44D8-BBD7-CCE9431645EC}">
                        <a14:shadowObscured xmlns:a14="http://schemas.microsoft.com/office/drawing/2010/main"/>
                      </a:ext>
                    </a:extLst>
                  </pic:spPr>
                </pic:pic>
              </a:graphicData>
            </a:graphic>
          </wp:inline>
        </w:drawing>
      </w:r>
    </w:p>
    <w:p w14:paraId="02A9E5AE" w14:textId="1429DEC3" w:rsidR="00564518" w:rsidRDefault="00564518" w:rsidP="004C246C">
      <w:pPr>
        <w:spacing w:line="360" w:lineRule="auto"/>
        <w:jc w:val="both"/>
        <w:rPr>
          <w:sz w:val="20"/>
          <w:szCs w:val="20"/>
        </w:rPr>
      </w:pPr>
    </w:p>
    <w:p w14:paraId="3E771B2C" w14:textId="632C870C" w:rsidR="008A2E1E" w:rsidRDefault="00D7018E" w:rsidP="004C246C">
      <w:pPr>
        <w:spacing w:line="360" w:lineRule="auto"/>
        <w:jc w:val="both"/>
        <w:rPr>
          <w:sz w:val="20"/>
          <w:szCs w:val="20"/>
        </w:rPr>
      </w:pPr>
      <w:r w:rsidRPr="009962A5">
        <w:rPr>
          <w:sz w:val="20"/>
          <w:szCs w:val="20"/>
        </w:rPr>
        <w:t>Finalmente, cabe mencionar que, en el primer trimestre de 2025, la actividad económica reportada en Tlaxcala ubicó a la entidad en el lugar 20 a nivel nacional y contribuyo con 0.01 puntos porcentuales a la variación anual.</w:t>
      </w:r>
    </w:p>
    <w:p w14:paraId="04A7C998" w14:textId="283DDAC2" w:rsidR="00D7018E" w:rsidRDefault="00D7018E" w:rsidP="004C246C">
      <w:pPr>
        <w:spacing w:line="360" w:lineRule="auto"/>
        <w:jc w:val="center"/>
        <w:rPr>
          <w:sz w:val="20"/>
          <w:szCs w:val="20"/>
        </w:rPr>
      </w:pPr>
      <w:r>
        <w:rPr>
          <w:noProof/>
          <w:lang w:val="es-MX" w:eastAsia="es-MX"/>
        </w:rPr>
        <mc:AlternateContent>
          <mc:Choice Requires="wps">
            <w:drawing>
              <wp:anchor distT="0" distB="0" distL="114300" distR="114300" simplePos="0" relativeHeight="251739136" behindDoc="0" locked="0" layoutInCell="1" allowOverlap="1" wp14:anchorId="67FE10E7" wp14:editId="171C64D0">
                <wp:simplePos x="0" y="0"/>
                <wp:positionH relativeFrom="margin">
                  <wp:posOffset>2428240</wp:posOffset>
                </wp:positionH>
                <wp:positionV relativeFrom="paragraph">
                  <wp:posOffset>2769870</wp:posOffset>
                </wp:positionV>
                <wp:extent cx="396000" cy="76200"/>
                <wp:effectExtent l="19050" t="19050" r="23495" b="38100"/>
                <wp:wrapNone/>
                <wp:docPr id="16" name="Flecha derecha 16"/>
                <wp:cNvGraphicFramePr/>
                <a:graphic xmlns:a="http://schemas.openxmlformats.org/drawingml/2006/main">
                  <a:graphicData uri="http://schemas.microsoft.com/office/word/2010/wordprocessingShape">
                    <wps:wsp>
                      <wps:cNvSpPr/>
                      <wps:spPr>
                        <a:xfrm flipH="1">
                          <a:off x="0" y="0"/>
                          <a:ext cx="396000" cy="762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C453554" id="Flecha derecha 16" o:spid="_x0000_s1026" type="#_x0000_t13" style="position:absolute;margin-left:191.2pt;margin-top:218.1pt;width:31.2pt;height:6pt;flip:x;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" adj="19522" fillcolor="#c00000" strokecolor="#c00000" strokeweight="1pt">
                <w10:wrap anchorx="margin"/>
              </v:shape>
            </w:pict>
          </mc:Fallback>
        </mc:AlternateContent>
      </w:r>
      <w:r>
        <w:rPr>
          <w:noProof/>
          <w:lang w:val="es-MX" w:eastAsia="es-MX"/>
        </w:rPr>
        <mc:AlternateContent>
          <mc:Choice Requires="wps">
            <w:drawing>
              <wp:anchor distT="0" distB="0" distL="114300" distR="114300" simplePos="0" relativeHeight="251737088" behindDoc="0" locked="0" layoutInCell="1" allowOverlap="1" wp14:anchorId="6901C500" wp14:editId="20723D57">
                <wp:simplePos x="0" y="0"/>
                <wp:positionH relativeFrom="margin">
                  <wp:posOffset>4455795</wp:posOffset>
                </wp:positionH>
                <wp:positionV relativeFrom="paragraph">
                  <wp:posOffset>3371850</wp:posOffset>
                </wp:positionV>
                <wp:extent cx="396000" cy="76200"/>
                <wp:effectExtent l="19050" t="19050" r="23495" b="38100"/>
                <wp:wrapNone/>
                <wp:docPr id="15" name="Flecha derecha 15"/>
                <wp:cNvGraphicFramePr/>
                <a:graphic xmlns:a="http://schemas.openxmlformats.org/drawingml/2006/main">
                  <a:graphicData uri="http://schemas.microsoft.com/office/word/2010/wordprocessingShape">
                    <wps:wsp>
                      <wps:cNvSpPr/>
                      <wps:spPr>
                        <a:xfrm flipH="1">
                          <a:off x="0" y="0"/>
                          <a:ext cx="396000" cy="762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49CE9FD" id="Flecha derecha 15" o:spid="_x0000_s1026" type="#_x0000_t13" style="position:absolute;margin-left:350.85pt;margin-top:265.5pt;width:31.2pt;height:6pt;flip:x;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" adj="19522" fillcolor="#c00000" strokecolor="#c00000" strokeweight="1pt">
                <w10:wrap anchorx="margin"/>
              </v:shape>
            </w:pict>
          </mc:Fallback>
        </mc:AlternateContent>
      </w:r>
      <w:r>
        <w:rPr>
          <w:noProof/>
          <w:lang w:val="es-MX" w:eastAsia="es-MX"/>
        </w:rPr>
        <w:drawing>
          <wp:inline distT="0" distB="0" distL="0" distR="0" wp14:anchorId="22699810" wp14:editId="1EC71C83">
            <wp:extent cx="4450080" cy="4715191"/>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1924" t="23539" r="33505" b="11334"/>
                    <a:stretch/>
                  </pic:blipFill>
                  <pic:spPr bwMode="auto">
                    <a:xfrm>
                      <a:off x="0" y="0"/>
                      <a:ext cx="4459513" cy="4725186"/>
                    </a:xfrm>
                    <a:prstGeom prst="rect">
                      <a:avLst/>
                    </a:prstGeom>
                    <a:ln>
                      <a:noFill/>
                    </a:ln>
                    <a:extLst>
                      <a:ext uri="{53640926-AAD7-44D8-BBD7-CCE9431645EC}">
                        <a14:shadowObscured xmlns:a14="http://schemas.microsoft.com/office/drawing/2010/main"/>
                      </a:ext>
                    </a:extLst>
                  </pic:spPr>
                </pic:pic>
              </a:graphicData>
            </a:graphic>
          </wp:inline>
        </w:drawing>
      </w:r>
    </w:p>
    <w:p w14:paraId="0284B52C" w14:textId="498558F4" w:rsidR="009C37B3" w:rsidRDefault="009C37B3" w:rsidP="004C246C">
      <w:pPr>
        <w:spacing w:line="360" w:lineRule="auto"/>
        <w:jc w:val="center"/>
        <w:rPr>
          <w:b/>
          <w:bCs/>
          <w:sz w:val="20"/>
          <w:szCs w:val="20"/>
        </w:rPr>
      </w:pPr>
    </w:p>
    <w:p w14:paraId="38270F62" w14:textId="2B7DFDC0" w:rsidR="009C37B3" w:rsidRPr="00FD1A45" w:rsidRDefault="00FD1A45" w:rsidP="004C246C">
      <w:pPr>
        <w:spacing w:line="360" w:lineRule="auto"/>
        <w:jc w:val="both"/>
        <w:rPr>
          <w:b/>
          <w:bCs/>
          <w:sz w:val="20"/>
          <w:szCs w:val="20"/>
        </w:rPr>
      </w:pPr>
      <w:r w:rsidRPr="00FD1A45">
        <w:rPr>
          <w:b/>
          <w:bCs/>
          <w:sz w:val="20"/>
          <w:szCs w:val="20"/>
        </w:rPr>
        <w:t xml:space="preserve">III.6. </w:t>
      </w:r>
      <w:r w:rsidR="009C37B3" w:rsidRPr="00FD1A45">
        <w:rPr>
          <w:b/>
          <w:bCs/>
          <w:sz w:val="20"/>
          <w:szCs w:val="20"/>
        </w:rPr>
        <w:t>EVOLUCIÓN DE LAS FINANZAS PÚBLICAS 20</w:t>
      </w:r>
      <w:r w:rsidR="0040371C">
        <w:rPr>
          <w:b/>
          <w:bCs/>
          <w:sz w:val="20"/>
          <w:szCs w:val="20"/>
        </w:rPr>
        <w:t>20</w:t>
      </w:r>
      <w:r w:rsidR="009C37B3" w:rsidRPr="00FD1A45">
        <w:rPr>
          <w:b/>
          <w:bCs/>
          <w:sz w:val="20"/>
          <w:szCs w:val="20"/>
        </w:rPr>
        <w:t>-202</w:t>
      </w:r>
      <w:r w:rsidR="00231D85">
        <w:rPr>
          <w:b/>
          <w:bCs/>
          <w:sz w:val="20"/>
          <w:szCs w:val="20"/>
        </w:rPr>
        <w:t>5</w:t>
      </w:r>
    </w:p>
    <w:p w14:paraId="4D85F77F" w14:textId="77777777" w:rsidR="009C37B3" w:rsidRDefault="009C37B3" w:rsidP="004C246C">
      <w:pPr>
        <w:spacing w:line="360" w:lineRule="auto"/>
        <w:jc w:val="both"/>
        <w:rPr>
          <w:b/>
          <w:bCs/>
          <w:sz w:val="20"/>
          <w:szCs w:val="20"/>
        </w:rPr>
      </w:pPr>
    </w:p>
    <w:p w14:paraId="6911DC9C" w14:textId="5FF82626" w:rsidR="009C37B3" w:rsidRDefault="009C37B3" w:rsidP="004C246C">
      <w:pPr>
        <w:pStyle w:val="PRIMERAPLANA"/>
        <w:spacing w:line="360" w:lineRule="auto"/>
        <w:rPr>
          <w:rFonts w:ascii="Times New Roman" w:hAnsi="Times New Roman"/>
          <w:iCs/>
          <w:lang w:val="es-ES"/>
        </w:rPr>
      </w:pPr>
      <w:r>
        <w:rPr>
          <w:rFonts w:ascii="Times New Roman" w:hAnsi="Times New Roman"/>
          <w:iCs/>
          <w:lang w:val="es-ES"/>
        </w:rPr>
        <w:t>A continuación, se presenta el comportamiento en la ejecución del gasto público etiquetado y no etiquetado en los últimos cinco años y el pronóstico de cierre 202</w:t>
      </w:r>
      <w:r w:rsidR="0075503A">
        <w:rPr>
          <w:rFonts w:ascii="Times New Roman" w:hAnsi="Times New Roman"/>
          <w:iCs/>
          <w:lang w:val="es-ES"/>
        </w:rPr>
        <w:t>5</w:t>
      </w:r>
      <w:r>
        <w:rPr>
          <w:rFonts w:ascii="Times New Roman" w:hAnsi="Times New Roman"/>
          <w:iCs/>
          <w:lang w:val="es-ES"/>
        </w:rPr>
        <w:t>.</w:t>
      </w:r>
    </w:p>
    <w:p w14:paraId="6D493319" w14:textId="0EAE4467" w:rsidR="009C37B3" w:rsidRDefault="0075503A" w:rsidP="004C246C">
      <w:pPr>
        <w:pStyle w:val="PRIMERAPLANA"/>
        <w:spacing w:line="360" w:lineRule="auto"/>
        <w:rPr>
          <w:rFonts w:ascii="Times New Roman" w:hAnsi="Times New Roman"/>
          <w:iCs/>
          <w:lang w:val="es-ES"/>
        </w:rPr>
      </w:pPr>
      <w:r w:rsidRPr="0075503A">
        <w:rPr>
          <w:noProof/>
        </w:rPr>
        <w:lastRenderedPageBreak/>
        <w:drawing>
          <wp:inline distT="0" distB="0" distL="0" distR="0" wp14:anchorId="659AECFB" wp14:editId="1A4A1C59">
            <wp:extent cx="5179695" cy="701294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79695" cy="7012940"/>
                    </a:xfrm>
                    <a:prstGeom prst="rect">
                      <a:avLst/>
                    </a:prstGeom>
                    <a:noFill/>
                    <a:ln>
                      <a:noFill/>
                    </a:ln>
                  </pic:spPr>
                </pic:pic>
              </a:graphicData>
            </a:graphic>
          </wp:inline>
        </w:drawing>
      </w:r>
    </w:p>
    <w:p w14:paraId="2AC4B5F7" w14:textId="77777777" w:rsidR="009C37B3" w:rsidRDefault="009C37B3" w:rsidP="004C246C">
      <w:pPr>
        <w:pStyle w:val="Prrafodelista"/>
        <w:spacing w:line="360" w:lineRule="auto"/>
        <w:ind w:left="0"/>
        <w:jc w:val="both"/>
        <w:rPr>
          <w:b/>
          <w:sz w:val="20"/>
          <w:szCs w:val="20"/>
        </w:rPr>
      </w:pPr>
    </w:p>
    <w:p w14:paraId="231F49C1" w14:textId="77777777" w:rsidR="0075503A" w:rsidRDefault="0075503A" w:rsidP="004C246C">
      <w:pPr>
        <w:pStyle w:val="Prrafodelista"/>
        <w:spacing w:line="360" w:lineRule="auto"/>
        <w:ind w:left="0"/>
        <w:jc w:val="both"/>
        <w:rPr>
          <w:b/>
          <w:sz w:val="20"/>
          <w:szCs w:val="20"/>
        </w:rPr>
      </w:pPr>
    </w:p>
    <w:p w14:paraId="57859E6B" w14:textId="27AE0D0C" w:rsidR="009C37B3" w:rsidRPr="00FD1A45" w:rsidRDefault="00FD1A45" w:rsidP="004C246C">
      <w:pPr>
        <w:spacing w:line="360" w:lineRule="auto"/>
        <w:jc w:val="both"/>
        <w:rPr>
          <w:b/>
          <w:sz w:val="20"/>
          <w:szCs w:val="20"/>
        </w:rPr>
      </w:pPr>
      <w:r w:rsidRPr="00FD1A45">
        <w:rPr>
          <w:b/>
          <w:sz w:val="20"/>
          <w:szCs w:val="20"/>
        </w:rPr>
        <w:lastRenderedPageBreak/>
        <w:t xml:space="preserve">III.7. </w:t>
      </w:r>
      <w:r w:rsidR="009C37B3" w:rsidRPr="00FD1A45">
        <w:rPr>
          <w:b/>
          <w:sz w:val="20"/>
          <w:szCs w:val="20"/>
        </w:rPr>
        <w:t xml:space="preserve">DISCIPLINA PRESUPUESTAL </w:t>
      </w:r>
    </w:p>
    <w:p w14:paraId="3C1B58F8" w14:textId="77777777" w:rsidR="009C37B3" w:rsidRDefault="009C37B3" w:rsidP="004C246C">
      <w:pPr>
        <w:spacing w:line="360" w:lineRule="auto"/>
        <w:jc w:val="both"/>
        <w:rPr>
          <w:sz w:val="20"/>
          <w:szCs w:val="20"/>
        </w:rPr>
      </w:pPr>
    </w:p>
    <w:p w14:paraId="003103BB" w14:textId="77777777" w:rsidR="009C37B3" w:rsidRDefault="009C37B3" w:rsidP="004C246C">
      <w:pPr>
        <w:spacing w:line="360" w:lineRule="auto"/>
        <w:jc w:val="both"/>
        <w:rPr>
          <w:sz w:val="20"/>
          <w:szCs w:val="20"/>
        </w:rPr>
      </w:pPr>
      <w:r>
        <w:rPr>
          <w:sz w:val="20"/>
          <w:szCs w:val="20"/>
        </w:rPr>
        <w:t>La Disciplina es una directriz o política de gasto que obliga a las dependencias del sector público, a ejercer los recursos en los montos, estructuras y plazos previamente fijados por la programación del presupuesto que se autoriza, con apego a la normatividad vigente aplicable.</w:t>
      </w:r>
    </w:p>
    <w:p w14:paraId="7368C40B" w14:textId="77777777" w:rsidR="009C37B3" w:rsidRDefault="009C37B3" w:rsidP="004C246C">
      <w:pPr>
        <w:spacing w:line="360" w:lineRule="auto"/>
        <w:jc w:val="both"/>
        <w:rPr>
          <w:sz w:val="20"/>
          <w:szCs w:val="20"/>
        </w:rPr>
      </w:pPr>
    </w:p>
    <w:p w14:paraId="1535D329" w14:textId="0F95C4F0" w:rsidR="009C37B3" w:rsidRDefault="009C37B3" w:rsidP="004C246C">
      <w:pPr>
        <w:spacing w:line="360" w:lineRule="auto"/>
        <w:jc w:val="both"/>
        <w:rPr>
          <w:sz w:val="20"/>
          <w:szCs w:val="20"/>
        </w:rPr>
      </w:pPr>
      <w:r>
        <w:rPr>
          <w:sz w:val="20"/>
          <w:szCs w:val="20"/>
        </w:rPr>
        <w:t>El objetivo de la política económica no es producir cifras y estadísticas armoniosas</w:t>
      </w:r>
      <w:r w:rsidR="00BB7519">
        <w:rPr>
          <w:sz w:val="20"/>
          <w:szCs w:val="20"/>
        </w:rPr>
        <w:t>,</w:t>
      </w:r>
      <w:r>
        <w:rPr>
          <w:sz w:val="20"/>
          <w:szCs w:val="20"/>
        </w:rPr>
        <w:t xml:space="preserve"> sino generar bienestar para la población. Los macro indicadores son un instrumento de medición, no un fin en sí, retomar el camino del crecimiento con austeridad y sin corrupción.</w:t>
      </w:r>
    </w:p>
    <w:p w14:paraId="4CF282D1" w14:textId="77777777" w:rsidR="009C37B3" w:rsidRDefault="009C37B3" w:rsidP="004C246C">
      <w:pPr>
        <w:spacing w:line="360" w:lineRule="auto"/>
        <w:jc w:val="both"/>
        <w:rPr>
          <w:sz w:val="20"/>
          <w:szCs w:val="20"/>
        </w:rPr>
      </w:pPr>
    </w:p>
    <w:p w14:paraId="0E916B3D" w14:textId="77777777" w:rsidR="009C37B3" w:rsidRDefault="009C37B3" w:rsidP="004C246C">
      <w:pPr>
        <w:spacing w:line="360" w:lineRule="auto"/>
        <w:jc w:val="both"/>
        <w:rPr>
          <w:sz w:val="20"/>
          <w:szCs w:val="20"/>
        </w:rPr>
      </w:pPr>
      <w:r>
        <w:rPr>
          <w:sz w:val="20"/>
          <w:szCs w:val="20"/>
        </w:rPr>
        <w:t>Los recursos financieros que dispone el Gobierno del Estado son escasos ante necesidades sociales y públicas, toda vez que la principal fuente de recursos la constituyen las transferencias del Gobierno Federal, las cuales provienen de contribuciones federales, es por ello, que el Gobierno del Estado, ha implementado diversas medidas encaminadas a racionalizar el gasto público y a la elaboración de presupuestos realistas en un ámbito de racionalidad, austeridad y disciplina presupuestal, alineadas a las políticas establecidas por el Gobierno Federal.</w:t>
      </w:r>
    </w:p>
    <w:p w14:paraId="7BCBB86E" w14:textId="77777777" w:rsidR="009C37B3" w:rsidRDefault="009C37B3" w:rsidP="004C246C">
      <w:pPr>
        <w:spacing w:line="360" w:lineRule="auto"/>
        <w:jc w:val="both"/>
        <w:rPr>
          <w:sz w:val="20"/>
          <w:szCs w:val="20"/>
        </w:rPr>
      </w:pPr>
    </w:p>
    <w:p w14:paraId="516F59C8" w14:textId="77777777" w:rsidR="009C37B3" w:rsidRDefault="009C37B3" w:rsidP="004C246C">
      <w:pPr>
        <w:spacing w:line="360" w:lineRule="auto"/>
        <w:jc w:val="both"/>
        <w:rPr>
          <w:sz w:val="20"/>
          <w:szCs w:val="20"/>
        </w:rPr>
      </w:pPr>
      <w:r>
        <w:rPr>
          <w:sz w:val="20"/>
          <w:szCs w:val="20"/>
        </w:rPr>
        <w:t>De acuerdo al Plan Estatal de Desarrollo 2021-2027 de Tlaxcala, ofrece la construcción de un Gobierno fundamentado en el interés del pueblo y para el pueblo, por lo que se atiene a sus designios y al planteamiento de sus necesidades. Propone, por ello, ir a las causas de los problemas y enlazar cada acción con el resto, en un planteamiento integral y ordenado, de manera que sea posible llevar a cabo un ejercicio sistematizado y basado en la interdependencia, el análisis multidisciplinario y transdisciplinario.</w:t>
      </w:r>
    </w:p>
    <w:p w14:paraId="37D43762" w14:textId="77777777" w:rsidR="009C37B3" w:rsidRDefault="009C37B3" w:rsidP="004C246C">
      <w:pPr>
        <w:spacing w:line="360" w:lineRule="auto"/>
        <w:jc w:val="both"/>
        <w:rPr>
          <w:sz w:val="20"/>
          <w:szCs w:val="20"/>
        </w:rPr>
      </w:pPr>
    </w:p>
    <w:p w14:paraId="635D6964" w14:textId="308C7EAB" w:rsidR="009C37B3" w:rsidRDefault="009C37B3" w:rsidP="004C246C">
      <w:pPr>
        <w:spacing w:line="360" w:lineRule="auto"/>
        <w:jc w:val="both"/>
        <w:rPr>
          <w:sz w:val="20"/>
          <w:szCs w:val="20"/>
        </w:rPr>
      </w:pPr>
      <w:r>
        <w:rPr>
          <w:sz w:val="20"/>
          <w:szCs w:val="20"/>
        </w:rPr>
        <w:t>En la elaboración de la Iniciativa</w:t>
      </w:r>
      <w:r>
        <w:rPr>
          <w:rFonts w:eastAsia="Calibri"/>
          <w:sz w:val="20"/>
          <w:szCs w:val="20"/>
        </w:rPr>
        <w:t xml:space="preserve"> de Decreto de Presupuesto de Egresos del Estado de Tlaxca</w:t>
      </w:r>
      <w:r w:rsidR="00234E40">
        <w:rPr>
          <w:rFonts w:eastAsia="Calibri"/>
          <w:sz w:val="20"/>
          <w:szCs w:val="20"/>
        </w:rPr>
        <w:t>la</w:t>
      </w:r>
      <w:r w:rsidR="002E0576">
        <w:rPr>
          <w:rFonts w:eastAsia="Calibri"/>
          <w:sz w:val="20"/>
          <w:szCs w:val="20"/>
        </w:rPr>
        <w:t>,</w:t>
      </w:r>
      <w:r w:rsidR="00234E40">
        <w:rPr>
          <w:rFonts w:eastAsia="Calibri"/>
          <w:sz w:val="20"/>
          <w:szCs w:val="20"/>
        </w:rPr>
        <w:t xml:space="preserve"> para el Ejercicio Fiscal 202</w:t>
      </w:r>
      <w:r w:rsidR="0075503A">
        <w:rPr>
          <w:rFonts w:eastAsia="Calibri"/>
          <w:sz w:val="20"/>
          <w:szCs w:val="20"/>
        </w:rPr>
        <w:t>6</w:t>
      </w:r>
      <w:r>
        <w:rPr>
          <w:sz w:val="20"/>
          <w:szCs w:val="20"/>
        </w:rPr>
        <w:t xml:space="preserve">, para evitar un desfasamiento del gasto en relación con los ingresos, que pudiese derivar en resultados deficitarios, los ejecutores de gasto en el ejercicio de sus respectivos presupuestos, consideraron medidas para racionalizar el gasto destinado a las actividades administrativas y de apoyo, con la finalidad de no afectar el cumplimiento de las metas de los programas presupuestarios considerados para su ejecución, procurando el uso de los recursos públicos con la mayor eficiencia, eficacia, transparencia y austeridad, fortaleciendo las acciones tendientes a lograr ahorros y economías, sin disminución de los resultados, y reorientarlos al gasto social, permitiendo a las Dependencias y Entidades contar con una operación administrativa eficiente, acorde al marco normativo y a los sistemas de registro y control del gasto. </w:t>
      </w:r>
    </w:p>
    <w:p w14:paraId="690CA411" w14:textId="214EAAFC" w:rsidR="009C37B3" w:rsidRDefault="009C37B3" w:rsidP="004C246C">
      <w:pPr>
        <w:spacing w:line="360" w:lineRule="auto"/>
        <w:jc w:val="both"/>
        <w:rPr>
          <w:sz w:val="20"/>
          <w:szCs w:val="20"/>
        </w:rPr>
      </w:pPr>
      <w:r>
        <w:rPr>
          <w:sz w:val="20"/>
          <w:szCs w:val="20"/>
        </w:rPr>
        <w:lastRenderedPageBreak/>
        <w:t>Entre las acciones de disciplina presupuestaria en el ejercicio del gasto público propuestas, se considera la contención de los recursos destinados a servicios personales, esta tendrá como límite, el producto que resulte de aplicar al monto aprobado en el Presupuesto de Egresos del ejercicio inmediato anterior, una tasa de crecimiento equivalente al valor que resulte menor entre: a) El 3 por ciento de crecimiento real; y b) El crecimiento real del Producto Interno Bruto señalado en los Criterios Generales de Política Económica para el ejercicio que se está presupuestando. En caso de que el Producto Interno Bruto presente una variación real negativa para el ejercicio que se está presupuestando, se deberá considerar un crecimiento real igual a cero; además de la reducción del gasto corriente de operación, y la reorientación del presupuesto a los programas sociales de mayor impacto e inclusión social.</w:t>
      </w:r>
    </w:p>
    <w:p w14:paraId="24FF009C" w14:textId="77777777" w:rsidR="009C37B3" w:rsidRDefault="009C37B3" w:rsidP="004C246C">
      <w:pPr>
        <w:spacing w:line="360" w:lineRule="auto"/>
        <w:jc w:val="both"/>
        <w:rPr>
          <w:sz w:val="20"/>
          <w:szCs w:val="20"/>
        </w:rPr>
      </w:pPr>
    </w:p>
    <w:p w14:paraId="65C731BE" w14:textId="5F4664ED" w:rsidR="009C37B3" w:rsidRDefault="00FD1A45" w:rsidP="004C246C">
      <w:pPr>
        <w:spacing w:line="360" w:lineRule="auto"/>
        <w:jc w:val="both"/>
        <w:rPr>
          <w:b/>
          <w:sz w:val="20"/>
          <w:szCs w:val="20"/>
        </w:rPr>
      </w:pPr>
      <w:r>
        <w:rPr>
          <w:b/>
          <w:sz w:val="20"/>
          <w:szCs w:val="20"/>
        </w:rPr>
        <w:t xml:space="preserve">III.8. </w:t>
      </w:r>
      <w:r w:rsidR="009C37B3">
        <w:rPr>
          <w:b/>
          <w:sz w:val="20"/>
          <w:szCs w:val="20"/>
        </w:rPr>
        <w:t>TRANSPARENCIA Y RENDICIÓN DE CUENTAS</w:t>
      </w:r>
    </w:p>
    <w:p w14:paraId="25CC3465" w14:textId="77777777" w:rsidR="009C37B3" w:rsidRDefault="009C37B3" w:rsidP="004C246C">
      <w:pPr>
        <w:spacing w:line="360" w:lineRule="auto"/>
        <w:jc w:val="both"/>
        <w:rPr>
          <w:b/>
          <w:sz w:val="20"/>
          <w:szCs w:val="20"/>
        </w:rPr>
      </w:pPr>
    </w:p>
    <w:p w14:paraId="2602CF86" w14:textId="77777777" w:rsidR="009C37B3" w:rsidRDefault="009C37B3" w:rsidP="004C246C">
      <w:pPr>
        <w:spacing w:line="360" w:lineRule="auto"/>
        <w:jc w:val="both"/>
        <w:rPr>
          <w:sz w:val="20"/>
          <w:szCs w:val="20"/>
        </w:rPr>
      </w:pPr>
      <w:r>
        <w:rPr>
          <w:sz w:val="20"/>
          <w:szCs w:val="20"/>
        </w:rPr>
        <w:t>En México la transparencia y la rendición de cuentas son pilares imprescindibles de la gestión pública, toda vez que las decisiones que se tomen por parte del Gobierno forzosamente deben estar al alcance de los ciudadanos de una manera accesible, clara y veraz, lo que coadyuva y favorece a la constante vigilancia de los recursos públicos y que estos se ejerzan en estricto apego a la ley.</w:t>
      </w:r>
    </w:p>
    <w:p w14:paraId="54E0106F" w14:textId="77777777" w:rsidR="009C37B3" w:rsidRDefault="009C37B3" w:rsidP="004C246C">
      <w:pPr>
        <w:spacing w:line="360" w:lineRule="auto"/>
        <w:jc w:val="both"/>
        <w:rPr>
          <w:sz w:val="20"/>
          <w:szCs w:val="20"/>
        </w:rPr>
      </w:pPr>
    </w:p>
    <w:p w14:paraId="32E35A7A" w14:textId="590F3809" w:rsidR="009C37B3" w:rsidRDefault="009C37B3" w:rsidP="004C246C">
      <w:pPr>
        <w:spacing w:line="360" w:lineRule="auto"/>
        <w:jc w:val="both"/>
        <w:rPr>
          <w:sz w:val="20"/>
          <w:szCs w:val="20"/>
        </w:rPr>
      </w:pPr>
      <w:r>
        <w:rPr>
          <w:sz w:val="20"/>
          <w:szCs w:val="20"/>
        </w:rPr>
        <w:t>La principal diferencia entre la transparencia y la rendición de cuentas es que la transparencia es una parte de la rendición de cuentas, pues mientras que transparentar significa que la información se encuentra publicada en una vitrina a la vista de todos, la rendición de cuentas va más allá, es un proceso</w:t>
      </w:r>
      <w:r w:rsidR="00D37A11">
        <w:rPr>
          <w:sz w:val="20"/>
          <w:szCs w:val="20"/>
        </w:rPr>
        <w:t xml:space="preserve"> </w:t>
      </w:r>
      <w:r>
        <w:rPr>
          <w:sz w:val="20"/>
          <w:szCs w:val="20"/>
        </w:rPr>
        <w:t>que tiene una metodología obligatoria para el manejo y administración del erario, y su incumplimiento conllevará a un castigo. Transparencia significa que las razones de toda decisión gubernamental y administrativa, así como los costos y recursos comprometidos en la aplicación de esa decisión son accesibles, claros y se comunican al público en general.</w:t>
      </w:r>
    </w:p>
    <w:p w14:paraId="5712C03A" w14:textId="77777777" w:rsidR="009C37B3" w:rsidRDefault="009C37B3" w:rsidP="004C246C">
      <w:pPr>
        <w:spacing w:line="360" w:lineRule="auto"/>
        <w:jc w:val="both"/>
        <w:rPr>
          <w:sz w:val="20"/>
          <w:szCs w:val="20"/>
        </w:rPr>
      </w:pPr>
    </w:p>
    <w:p w14:paraId="05655CF9" w14:textId="77777777" w:rsidR="009C37B3" w:rsidRDefault="009C37B3" w:rsidP="004C246C">
      <w:pPr>
        <w:spacing w:line="360" w:lineRule="auto"/>
        <w:jc w:val="both"/>
        <w:rPr>
          <w:sz w:val="20"/>
          <w:szCs w:val="20"/>
        </w:rPr>
      </w:pPr>
      <w:r>
        <w:rPr>
          <w:sz w:val="20"/>
          <w:szCs w:val="20"/>
        </w:rPr>
        <w:t xml:space="preserve">El funcionamiento eficiente y eficaz de las instituciones del Estado y el ejercicio ético en la gestión pública, así como el fortalecimiento de los valores que dan sustento a la democracia para alcanzar el pleno respeto de las diferencias de cualquier índole y del derecho de cada quien, a decidir su forma de vida, resultan pilares fundamentales para la consolidación de un sistema democrático. </w:t>
      </w:r>
    </w:p>
    <w:p w14:paraId="1CAC5F27" w14:textId="77777777" w:rsidR="009C37B3" w:rsidRDefault="009C37B3" w:rsidP="004C246C">
      <w:pPr>
        <w:spacing w:line="360" w:lineRule="auto"/>
        <w:jc w:val="both"/>
        <w:rPr>
          <w:sz w:val="20"/>
          <w:szCs w:val="20"/>
        </w:rPr>
      </w:pPr>
    </w:p>
    <w:p w14:paraId="1BCB1278" w14:textId="77777777" w:rsidR="009C37B3" w:rsidRDefault="009C37B3" w:rsidP="004C246C">
      <w:pPr>
        <w:spacing w:line="360" w:lineRule="auto"/>
        <w:jc w:val="both"/>
        <w:rPr>
          <w:sz w:val="20"/>
          <w:szCs w:val="20"/>
        </w:rPr>
      </w:pPr>
      <w:r>
        <w:rPr>
          <w:sz w:val="20"/>
          <w:szCs w:val="20"/>
        </w:rPr>
        <w:t>Construir un gobierno transparente y de rendición de cuentas, como principal medida para transformar las condiciones de desarrollo de Tlaxcala, a través de acciones contundentes que consoliden las bases de un Estado sólido.</w:t>
      </w:r>
    </w:p>
    <w:p w14:paraId="752A8E39" w14:textId="77777777" w:rsidR="009C37B3" w:rsidRDefault="009C37B3" w:rsidP="004C246C">
      <w:pPr>
        <w:spacing w:line="360" w:lineRule="auto"/>
        <w:jc w:val="both"/>
        <w:rPr>
          <w:sz w:val="20"/>
          <w:szCs w:val="20"/>
        </w:rPr>
      </w:pPr>
      <w:r>
        <w:rPr>
          <w:sz w:val="20"/>
          <w:szCs w:val="20"/>
        </w:rPr>
        <w:lastRenderedPageBreak/>
        <w:t>La transparencia y la rendición de cuentas en la gestión pública en el Estado se perfilan hacia una nueva cultura política en la cual la participación ciudadana conlleva la existencia de una sociedad más equitativa y justa, de este modo la gobernabilidad democrática dependerá de que los intereses sociales se vean reflejados en acciones de gobierno transparente.</w:t>
      </w:r>
    </w:p>
    <w:p w14:paraId="7C9F0422" w14:textId="77777777" w:rsidR="009C37B3" w:rsidRDefault="009C37B3" w:rsidP="004C246C">
      <w:pPr>
        <w:spacing w:line="360" w:lineRule="auto"/>
        <w:jc w:val="both"/>
        <w:rPr>
          <w:sz w:val="20"/>
          <w:szCs w:val="20"/>
        </w:rPr>
      </w:pPr>
    </w:p>
    <w:p w14:paraId="7B6E8E0D" w14:textId="77777777" w:rsidR="009C37B3" w:rsidRDefault="009C37B3" w:rsidP="004C246C">
      <w:pPr>
        <w:spacing w:line="360" w:lineRule="auto"/>
        <w:jc w:val="both"/>
        <w:rPr>
          <w:sz w:val="20"/>
          <w:szCs w:val="20"/>
        </w:rPr>
      </w:pPr>
      <w:r>
        <w:rPr>
          <w:sz w:val="20"/>
          <w:szCs w:val="20"/>
        </w:rPr>
        <w:t>Garantizar una adecuada y oportuna rendición de cuentas de los sujetos obligados a través de la generación y publicación de información sobre el ejercicio de los recursos públicos de manera completa, veraz y oportuna.</w:t>
      </w:r>
    </w:p>
    <w:p w14:paraId="5B4C72BF" w14:textId="30789304" w:rsidR="009C37B3" w:rsidRDefault="009C37B3" w:rsidP="004C246C">
      <w:pPr>
        <w:spacing w:line="360" w:lineRule="auto"/>
        <w:jc w:val="both"/>
        <w:rPr>
          <w:sz w:val="20"/>
          <w:szCs w:val="20"/>
        </w:rPr>
      </w:pPr>
    </w:p>
    <w:p w14:paraId="1EDAE421" w14:textId="5F679E91" w:rsidR="009C37B3" w:rsidRDefault="00FD1A45" w:rsidP="004C246C">
      <w:pPr>
        <w:spacing w:line="360" w:lineRule="auto"/>
        <w:jc w:val="both"/>
        <w:rPr>
          <w:b/>
          <w:sz w:val="20"/>
          <w:szCs w:val="20"/>
        </w:rPr>
      </w:pPr>
      <w:r>
        <w:rPr>
          <w:b/>
          <w:sz w:val="20"/>
          <w:szCs w:val="20"/>
        </w:rPr>
        <w:t xml:space="preserve">III.9. </w:t>
      </w:r>
      <w:r w:rsidR="009C37B3">
        <w:rPr>
          <w:b/>
          <w:sz w:val="20"/>
          <w:szCs w:val="20"/>
        </w:rPr>
        <w:t>CRITERIOS GENERALES DE PRESUPUESTO Y GASTO ESTATAL</w:t>
      </w:r>
    </w:p>
    <w:p w14:paraId="1BE5B6B2" w14:textId="569E9358" w:rsidR="00B76E04" w:rsidRDefault="00B76E04" w:rsidP="004C246C">
      <w:pPr>
        <w:spacing w:line="360" w:lineRule="auto"/>
        <w:jc w:val="both"/>
        <w:rPr>
          <w:b/>
          <w:sz w:val="20"/>
          <w:szCs w:val="20"/>
        </w:rPr>
      </w:pPr>
    </w:p>
    <w:p w14:paraId="14193A33" w14:textId="18E42C42" w:rsidR="00B76E04" w:rsidRDefault="00B76E04" w:rsidP="004C246C">
      <w:pPr>
        <w:spacing w:line="360" w:lineRule="auto"/>
        <w:jc w:val="both"/>
        <w:rPr>
          <w:sz w:val="20"/>
          <w:szCs w:val="20"/>
        </w:rPr>
      </w:pPr>
      <w:r>
        <w:rPr>
          <w:sz w:val="20"/>
          <w:szCs w:val="20"/>
        </w:rPr>
        <w:t>En congruencia con lo anterior, las políticas presupuestarias y de gasto del Estado, para el próximo ejercicio fiscal, son de prudencia, austeridad y estricta racionalidad en el ejercicio del gasto, focalizándose a los programas y proyectos prioritarios de mayor impacto social.</w:t>
      </w:r>
    </w:p>
    <w:p w14:paraId="26DA7BB0" w14:textId="77777777" w:rsidR="00B76E04" w:rsidRDefault="00B76E04" w:rsidP="004C246C">
      <w:pPr>
        <w:spacing w:line="360" w:lineRule="auto"/>
        <w:jc w:val="both"/>
        <w:rPr>
          <w:sz w:val="20"/>
          <w:szCs w:val="20"/>
        </w:rPr>
      </w:pPr>
    </w:p>
    <w:p w14:paraId="26C7DB84" w14:textId="77777777" w:rsidR="00B76E04" w:rsidRPr="009962A5" w:rsidRDefault="00B76E04" w:rsidP="004C246C">
      <w:pPr>
        <w:spacing w:line="360" w:lineRule="auto"/>
        <w:jc w:val="both"/>
        <w:rPr>
          <w:sz w:val="20"/>
          <w:szCs w:val="20"/>
        </w:rPr>
      </w:pPr>
      <w:r w:rsidRPr="00BD30ED">
        <w:rPr>
          <w:sz w:val="20"/>
          <w:szCs w:val="20"/>
        </w:rPr>
        <w:t xml:space="preserve">Este Proyecto de Decreto de Presupuesto de Egresos del Estado de Tlaxcala para el Ejercicio Fiscal </w:t>
      </w:r>
      <w:r w:rsidRPr="009962A5">
        <w:rPr>
          <w:sz w:val="20"/>
          <w:szCs w:val="20"/>
        </w:rPr>
        <w:t>2026, está fundamentado en los Criterios Generales siguientes:</w:t>
      </w:r>
    </w:p>
    <w:p w14:paraId="5C3D22DB" w14:textId="77777777" w:rsidR="00B76E04" w:rsidRPr="009962A5" w:rsidRDefault="00B76E04" w:rsidP="004C246C">
      <w:pPr>
        <w:spacing w:line="360" w:lineRule="auto"/>
        <w:jc w:val="both"/>
        <w:rPr>
          <w:sz w:val="20"/>
          <w:szCs w:val="20"/>
        </w:rPr>
      </w:pPr>
    </w:p>
    <w:p w14:paraId="306F0579" w14:textId="77777777" w:rsidR="00B76E04" w:rsidRPr="009962A5" w:rsidRDefault="00B76E04" w:rsidP="004C246C">
      <w:pPr>
        <w:pStyle w:val="Prrafodelista"/>
        <w:numPr>
          <w:ilvl w:val="0"/>
          <w:numId w:val="22"/>
        </w:numPr>
        <w:spacing w:line="360" w:lineRule="auto"/>
        <w:ind w:left="709" w:hanging="283"/>
        <w:jc w:val="both"/>
        <w:rPr>
          <w:sz w:val="20"/>
          <w:szCs w:val="20"/>
        </w:rPr>
      </w:pPr>
      <w:r w:rsidRPr="009962A5">
        <w:rPr>
          <w:sz w:val="20"/>
          <w:szCs w:val="20"/>
        </w:rPr>
        <w:t xml:space="preserve">Considera las expectativas y proyecciones económicas establecidas en los </w:t>
      </w:r>
      <w:r w:rsidRPr="009962A5">
        <w:rPr>
          <w:rFonts w:eastAsia="Calibri"/>
          <w:color w:val="000000" w:themeColor="text1"/>
          <w:sz w:val="20"/>
          <w:szCs w:val="20"/>
        </w:rPr>
        <w:t>Criterios Generales de Política Económica para el Ejercicio Fiscal 2026, la Iniciativa de Ley de Ingresos y el Proyecto de Presupuesto de Egresos de la Federación correspondientes al Ejercicio Fiscal 2026</w:t>
      </w:r>
      <w:r w:rsidRPr="009962A5">
        <w:rPr>
          <w:sz w:val="20"/>
          <w:szCs w:val="20"/>
        </w:rPr>
        <w:t>;</w:t>
      </w:r>
    </w:p>
    <w:p w14:paraId="2E31CB99" w14:textId="77777777" w:rsidR="00B76E04" w:rsidRPr="009962A5" w:rsidRDefault="00B76E04" w:rsidP="004C246C">
      <w:pPr>
        <w:pStyle w:val="Prrafodelista"/>
        <w:numPr>
          <w:ilvl w:val="0"/>
          <w:numId w:val="22"/>
        </w:numPr>
        <w:spacing w:line="360" w:lineRule="auto"/>
        <w:ind w:left="709" w:hanging="283"/>
        <w:jc w:val="both"/>
        <w:rPr>
          <w:sz w:val="20"/>
          <w:szCs w:val="20"/>
        </w:rPr>
      </w:pPr>
      <w:r w:rsidRPr="009962A5">
        <w:rPr>
          <w:sz w:val="20"/>
          <w:szCs w:val="20"/>
        </w:rPr>
        <w:t>Congruencia</w:t>
      </w:r>
      <w:r w:rsidRPr="009962A5">
        <w:rPr>
          <w:spacing w:val="-3"/>
          <w:sz w:val="20"/>
          <w:szCs w:val="20"/>
        </w:rPr>
        <w:t xml:space="preserve"> </w:t>
      </w:r>
      <w:r w:rsidRPr="009962A5">
        <w:rPr>
          <w:sz w:val="20"/>
          <w:szCs w:val="20"/>
        </w:rPr>
        <w:t>con</w:t>
      </w:r>
      <w:r w:rsidRPr="009962A5">
        <w:rPr>
          <w:spacing w:val="-3"/>
          <w:sz w:val="20"/>
          <w:szCs w:val="20"/>
        </w:rPr>
        <w:t xml:space="preserve"> </w:t>
      </w:r>
      <w:r w:rsidRPr="009962A5">
        <w:rPr>
          <w:sz w:val="20"/>
          <w:szCs w:val="20"/>
        </w:rPr>
        <w:t>los</w:t>
      </w:r>
      <w:r w:rsidRPr="009962A5">
        <w:rPr>
          <w:spacing w:val="-3"/>
          <w:sz w:val="20"/>
          <w:szCs w:val="20"/>
        </w:rPr>
        <w:t xml:space="preserve"> </w:t>
      </w:r>
      <w:r w:rsidRPr="009962A5">
        <w:rPr>
          <w:sz w:val="20"/>
          <w:szCs w:val="20"/>
        </w:rPr>
        <w:t>criterios</w:t>
      </w:r>
      <w:r w:rsidRPr="009962A5">
        <w:rPr>
          <w:spacing w:val="-3"/>
          <w:sz w:val="20"/>
          <w:szCs w:val="20"/>
        </w:rPr>
        <w:t xml:space="preserve"> </w:t>
      </w:r>
      <w:r w:rsidRPr="009962A5">
        <w:rPr>
          <w:sz w:val="20"/>
          <w:szCs w:val="20"/>
        </w:rPr>
        <w:t>económicos</w:t>
      </w:r>
      <w:r w:rsidRPr="009962A5">
        <w:rPr>
          <w:spacing w:val="-3"/>
          <w:sz w:val="20"/>
          <w:szCs w:val="20"/>
        </w:rPr>
        <w:t xml:space="preserve"> </w:t>
      </w:r>
      <w:r w:rsidRPr="009962A5">
        <w:rPr>
          <w:sz w:val="20"/>
          <w:szCs w:val="20"/>
        </w:rPr>
        <w:t>planteados</w:t>
      </w:r>
      <w:r w:rsidRPr="009962A5">
        <w:rPr>
          <w:spacing w:val="-3"/>
          <w:sz w:val="20"/>
          <w:szCs w:val="20"/>
        </w:rPr>
        <w:t xml:space="preserve"> </w:t>
      </w:r>
      <w:r w:rsidRPr="009962A5">
        <w:rPr>
          <w:sz w:val="20"/>
          <w:szCs w:val="20"/>
        </w:rPr>
        <w:t>en</w:t>
      </w:r>
      <w:r w:rsidRPr="009962A5">
        <w:rPr>
          <w:spacing w:val="-3"/>
          <w:sz w:val="20"/>
          <w:szCs w:val="20"/>
        </w:rPr>
        <w:t xml:space="preserve"> </w:t>
      </w:r>
      <w:r w:rsidRPr="009962A5">
        <w:rPr>
          <w:sz w:val="20"/>
          <w:szCs w:val="20"/>
        </w:rPr>
        <w:t>la</w:t>
      </w:r>
      <w:r w:rsidRPr="009962A5">
        <w:rPr>
          <w:spacing w:val="-3"/>
          <w:sz w:val="20"/>
          <w:szCs w:val="20"/>
        </w:rPr>
        <w:t xml:space="preserve"> </w:t>
      </w:r>
      <w:r w:rsidRPr="009962A5">
        <w:rPr>
          <w:sz w:val="20"/>
          <w:szCs w:val="20"/>
        </w:rPr>
        <w:t>Iniciativa</w:t>
      </w:r>
      <w:r w:rsidRPr="009962A5">
        <w:rPr>
          <w:spacing w:val="-3"/>
          <w:sz w:val="20"/>
          <w:szCs w:val="20"/>
        </w:rPr>
        <w:t xml:space="preserve"> </w:t>
      </w:r>
      <w:r w:rsidRPr="009962A5">
        <w:rPr>
          <w:sz w:val="20"/>
          <w:szCs w:val="20"/>
        </w:rPr>
        <w:t>de</w:t>
      </w:r>
      <w:r w:rsidRPr="009962A5">
        <w:rPr>
          <w:spacing w:val="-3"/>
          <w:sz w:val="20"/>
          <w:szCs w:val="20"/>
        </w:rPr>
        <w:t xml:space="preserve"> </w:t>
      </w:r>
      <w:r w:rsidRPr="009962A5">
        <w:rPr>
          <w:sz w:val="20"/>
          <w:szCs w:val="20"/>
        </w:rPr>
        <w:t>Ley</w:t>
      </w:r>
      <w:r w:rsidRPr="009962A5">
        <w:rPr>
          <w:spacing w:val="-6"/>
          <w:sz w:val="20"/>
          <w:szCs w:val="20"/>
        </w:rPr>
        <w:t xml:space="preserve"> </w:t>
      </w:r>
      <w:r w:rsidRPr="009962A5">
        <w:rPr>
          <w:sz w:val="20"/>
          <w:szCs w:val="20"/>
        </w:rPr>
        <w:t>de</w:t>
      </w:r>
      <w:r w:rsidRPr="009962A5">
        <w:rPr>
          <w:spacing w:val="-3"/>
          <w:sz w:val="20"/>
          <w:szCs w:val="20"/>
        </w:rPr>
        <w:t xml:space="preserve"> </w:t>
      </w:r>
      <w:r w:rsidRPr="009962A5">
        <w:rPr>
          <w:sz w:val="20"/>
          <w:szCs w:val="20"/>
        </w:rPr>
        <w:t>Ingresos</w:t>
      </w:r>
      <w:r w:rsidRPr="009962A5">
        <w:rPr>
          <w:spacing w:val="-3"/>
          <w:sz w:val="20"/>
          <w:szCs w:val="20"/>
        </w:rPr>
        <w:t xml:space="preserve"> </w:t>
      </w:r>
      <w:r w:rsidRPr="009962A5">
        <w:rPr>
          <w:sz w:val="20"/>
          <w:szCs w:val="20"/>
        </w:rPr>
        <w:t>del</w:t>
      </w:r>
      <w:r w:rsidRPr="009962A5">
        <w:rPr>
          <w:spacing w:val="-3"/>
          <w:sz w:val="20"/>
          <w:szCs w:val="20"/>
        </w:rPr>
        <w:t xml:space="preserve"> </w:t>
      </w:r>
      <w:r w:rsidRPr="009962A5">
        <w:rPr>
          <w:sz w:val="20"/>
          <w:szCs w:val="20"/>
        </w:rPr>
        <w:t>Estado</w:t>
      </w:r>
      <w:r w:rsidRPr="009962A5">
        <w:rPr>
          <w:spacing w:val="-2"/>
          <w:sz w:val="20"/>
          <w:szCs w:val="20"/>
        </w:rPr>
        <w:t xml:space="preserve"> </w:t>
      </w:r>
      <w:r w:rsidRPr="009962A5">
        <w:rPr>
          <w:sz w:val="20"/>
          <w:szCs w:val="20"/>
        </w:rPr>
        <w:t>de</w:t>
      </w:r>
      <w:r w:rsidRPr="009962A5">
        <w:rPr>
          <w:spacing w:val="-6"/>
          <w:sz w:val="20"/>
          <w:szCs w:val="20"/>
        </w:rPr>
        <w:t xml:space="preserve"> </w:t>
      </w:r>
      <w:r w:rsidRPr="009962A5">
        <w:rPr>
          <w:sz w:val="20"/>
          <w:szCs w:val="20"/>
        </w:rPr>
        <w:t>Tlaxcala para el Ejercicio Fiscal 2026; para garantizar la viabilidad, equilibrio y sustentabilidad financiera del gasto público;</w:t>
      </w:r>
    </w:p>
    <w:p w14:paraId="475C81DA" w14:textId="77777777" w:rsidR="00B76E04" w:rsidRPr="00BD30ED" w:rsidRDefault="00B76E04" w:rsidP="004C246C">
      <w:pPr>
        <w:pStyle w:val="Prrafodelista"/>
        <w:numPr>
          <w:ilvl w:val="0"/>
          <w:numId w:val="22"/>
        </w:numPr>
        <w:spacing w:line="360" w:lineRule="auto"/>
        <w:ind w:left="709" w:hanging="283"/>
        <w:jc w:val="both"/>
        <w:rPr>
          <w:sz w:val="20"/>
          <w:szCs w:val="20"/>
        </w:rPr>
      </w:pPr>
      <w:r w:rsidRPr="009962A5">
        <w:rPr>
          <w:sz w:val="20"/>
          <w:szCs w:val="20"/>
        </w:rPr>
        <w:t>Prevé la racionalización del gasto público mediante la simplificación administrativa, con el objeto de reorientar los ahorros para proyectos estratégicos prioritarios en los ejes básicos del Plan Estatal de Desarrollo como lo son: Estado de derecho y seguridad, Bienestar para todos, Desarrollo económico y medio ambiente, Gobierno</w:t>
      </w:r>
      <w:r w:rsidRPr="00BD30ED">
        <w:rPr>
          <w:sz w:val="20"/>
          <w:szCs w:val="20"/>
        </w:rPr>
        <w:t xml:space="preserve"> cercano con visión extendida; así como para los ejes transversales: Género e igualdad y Desarrollo regional</w:t>
      </w:r>
      <w:r>
        <w:rPr>
          <w:sz w:val="20"/>
          <w:szCs w:val="20"/>
        </w:rPr>
        <w:t>;</w:t>
      </w:r>
    </w:p>
    <w:p w14:paraId="42EE56CC" w14:textId="77777777" w:rsidR="00B76E04" w:rsidRPr="009F4189" w:rsidRDefault="00B76E04" w:rsidP="004C246C">
      <w:pPr>
        <w:pStyle w:val="Prrafodelista"/>
        <w:numPr>
          <w:ilvl w:val="0"/>
          <w:numId w:val="22"/>
        </w:numPr>
        <w:spacing w:line="360" w:lineRule="auto"/>
        <w:ind w:left="709" w:hanging="283"/>
        <w:jc w:val="both"/>
        <w:rPr>
          <w:sz w:val="20"/>
          <w:szCs w:val="20"/>
        </w:rPr>
      </w:pPr>
      <w:r w:rsidRPr="009F4189">
        <w:rPr>
          <w:sz w:val="20"/>
          <w:szCs w:val="20"/>
        </w:rPr>
        <w:t>Se</w:t>
      </w:r>
      <w:r>
        <w:rPr>
          <w:sz w:val="20"/>
          <w:szCs w:val="20"/>
        </w:rPr>
        <w:t xml:space="preserve"> </w:t>
      </w:r>
      <w:r w:rsidRPr="009F4189">
        <w:rPr>
          <w:sz w:val="20"/>
          <w:szCs w:val="20"/>
        </w:rPr>
        <w:t xml:space="preserve">priorizan proyectos y programas de salud, educación y bienestar social, desarrollo económico, apoyo a jóvenes y mujeres, indígenas, grupos vulnerables, apoyo al campo e impulso de la infraestructura social y productiva, así como de seguridad pública, sistema </w:t>
      </w:r>
      <w:r w:rsidRPr="009F4189">
        <w:rPr>
          <w:sz w:val="20"/>
          <w:szCs w:val="20"/>
        </w:rPr>
        <w:lastRenderedPageBreak/>
        <w:t>penitenciario y procuración de justicia, para mejorar los niveles de bienestar social y propiciar la generación de empleos creando una Nueva Historia</w:t>
      </w:r>
      <w:r>
        <w:rPr>
          <w:sz w:val="20"/>
          <w:szCs w:val="20"/>
        </w:rPr>
        <w:t>;</w:t>
      </w:r>
    </w:p>
    <w:p w14:paraId="4C849857" w14:textId="77777777" w:rsidR="00B76E04" w:rsidRPr="009F4189" w:rsidRDefault="00B76E04" w:rsidP="004C246C">
      <w:pPr>
        <w:pStyle w:val="Prrafodelista"/>
        <w:numPr>
          <w:ilvl w:val="0"/>
          <w:numId w:val="22"/>
        </w:numPr>
        <w:spacing w:line="360" w:lineRule="auto"/>
        <w:ind w:left="709" w:hanging="283"/>
        <w:jc w:val="both"/>
        <w:rPr>
          <w:sz w:val="20"/>
          <w:szCs w:val="20"/>
        </w:rPr>
      </w:pPr>
      <w:r w:rsidRPr="009F4189">
        <w:rPr>
          <w:sz w:val="20"/>
          <w:szCs w:val="20"/>
        </w:rPr>
        <w:t>Garantizar</w:t>
      </w:r>
      <w:r w:rsidRPr="009F4189">
        <w:rPr>
          <w:spacing w:val="-2"/>
          <w:sz w:val="20"/>
          <w:szCs w:val="20"/>
        </w:rPr>
        <w:t xml:space="preserve"> </w:t>
      </w:r>
      <w:r w:rsidRPr="009F4189">
        <w:rPr>
          <w:sz w:val="20"/>
          <w:szCs w:val="20"/>
        </w:rPr>
        <w:t>y</w:t>
      </w:r>
      <w:r w:rsidRPr="009F4189">
        <w:rPr>
          <w:spacing w:val="-8"/>
          <w:sz w:val="20"/>
          <w:szCs w:val="20"/>
        </w:rPr>
        <w:t xml:space="preserve"> </w:t>
      </w:r>
      <w:r w:rsidRPr="009F4189">
        <w:rPr>
          <w:sz w:val="20"/>
          <w:szCs w:val="20"/>
        </w:rPr>
        <w:t>priorizar</w:t>
      </w:r>
      <w:r w:rsidRPr="009F4189">
        <w:rPr>
          <w:spacing w:val="-4"/>
          <w:sz w:val="20"/>
          <w:szCs w:val="20"/>
        </w:rPr>
        <w:t xml:space="preserve"> </w:t>
      </w:r>
      <w:r w:rsidRPr="009F4189">
        <w:rPr>
          <w:sz w:val="20"/>
          <w:szCs w:val="20"/>
        </w:rPr>
        <w:t>la</w:t>
      </w:r>
      <w:r w:rsidRPr="009F4189">
        <w:rPr>
          <w:spacing w:val="-7"/>
          <w:sz w:val="20"/>
          <w:szCs w:val="20"/>
        </w:rPr>
        <w:t xml:space="preserve"> </w:t>
      </w:r>
      <w:r w:rsidRPr="009F4189">
        <w:rPr>
          <w:sz w:val="20"/>
          <w:szCs w:val="20"/>
        </w:rPr>
        <w:t>asignación</w:t>
      </w:r>
      <w:r w:rsidRPr="009F4189">
        <w:rPr>
          <w:spacing w:val="-7"/>
          <w:sz w:val="20"/>
          <w:szCs w:val="20"/>
        </w:rPr>
        <w:t xml:space="preserve"> </w:t>
      </w:r>
      <w:r w:rsidRPr="009F4189">
        <w:rPr>
          <w:sz w:val="20"/>
          <w:szCs w:val="20"/>
        </w:rPr>
        <w:t>de</w:t>
      </w:r>
      <w:r w:rsidRPr="009F4189">
        <w:rPr>
          <w:spacing w:val="-5"/>
          <w:sz w:val="20"/>
          <w:szCs w:val="20"/>
        </w:rPr>
        <w:t xml:space="preserve"> </w:t>
      </w:r>
      <w:r w:rsidRPr="009F4189">
        <w:rPr>
          <w:sz w:val="20"/>
          <w:szCs w:val="20"/>
        </w:rPr>
        <w:t>los</w:t>
      </w:r>
      <w:r w:rsidRPr="009F4189">
        <w:rPr>
          <w:spacing w:val="-6"/>
          <w:sz w:val="20"/>
          <w:szCs w:val="20"/>
        </w:rPr>
        <w:t xml:space="preserve"> </w:t>
      </w:r>
      <w:r w:rsidRPr="009F4189">
        <w:rPr>
          <w:sz w:val="20"/>
          <w:szCs w:val="20"/>
        </w:rPr>
        <w:t>recursos</w:t>
      </w:r>
      <w:r w:rsidRPr="009F4189">
        <w:rPr>
          <w:spacing w:val="-6"/>
          <w:sz w:val="20"/>
          <w:szCs w:val="20"/>
        </w:rPr>
        <w:t xml:space="preserve"> </w:t>
      </w:r>
      <w:r w:rsidRPr="009F4189">
        <w:rPr>
          <w:sz w:val="20"/>
          <w:szCs w:val="20"/>
        </w:rPr>
        <w:t>a</w:t>
      </w:r>
      <w:r w:rsidRPr="009F4189">
        <w:rPr>
          <w:spacing w:val="-5"/>
          <w:sz w:val="20"/>
          <w:szCs w:val="20"/>
        </w:rPr>
        <w:t xml:space="preserve"> </w:t>
      </w:r>
      <w:r w:rsidRPr="009F4189">
        <w:rPr>
          <w:sz w:val="20"/>
          <w:szCs w:val="20"/>
        </w:rPr>
        <w:t>los</w:t>
      </w:r>
      <w:r w:rsidRPr="009F4189">
        <w:rPr>
          <w:spacing w:val="-7"/>
          <w:sz w:val="20"/>
          <w:szCs w:val="20"/>
        </w:rPr>
        <w:t xml:space="preserve"> </w:t>
      </w:r>
      <w:r w:rsidRPr="009F4189">
        <w:rPr>
          <w:sz w:val="20"/>
          <w:szCs w:val="20"/>
        </w:rPr>
        <w:t>programas,</w:t>
      </w:r>
      <w:r w:rsidRPr="009F4189">
        <w:rPr>
          <w:spacing w:val="-5"/>
          <w:sz w:val="20"/>
          <w:szCs w:val="20"/>
        </w:rPr>
        <w:t xml:space="preserve"> </w:t>
      </w:r>
      <w:r w:rsidRPr="009F4189">
        <w:rPr>
          <w:sz w:val="20"/>
          <w:szCs w:val="20"/>
        </w:rPr>
        <w:t>obras</w:t>
      </w:r>
      <w:r w:rsidRPr="009F4189">
        <w:rPr>
          <w:spacing w:val="-6"/>
          <w:sz w:val="20"/>
          <w:szCs w:val="20"/>
        </w:rPr>
        <w:t xml:space="preserve"> </w:t>
      </w:r>
      <w:r w:rsidRPr="009F4189">
        <w:rPr>
          <w:sz w:val="20"/>
          <w:szCs w:val="20"/>
        </w:rPr>
        <w:t>y</w:t>
      </w:r>
      <w:r w:rsidRPr="009F4189">
        <w:rPr>
          <w:spacing w:val="-8"/>
          <w:sz w:val="20"/>
          <w:szCs w:val="20"/>
        </w:rPr>
        <w:t xml:space="preserve"> </w:t>
      </w:r>
      <w:r w:rsidRPr="009F4189">
        <w:rPr>
          <w:sz w:val="20"/>
          <w:szCs w:val="20"/>
        </w:rPr>
        <w:t>acciones</w:t>
      </w:r>
      <w:r w:rsidRPr="009F4189">
        <w:rPr>
          <w:spacing w:val="-6"/>
          <w:sz w:val="20"/>
          <w:szCs w:val="20"/>
        </w:rPr>
        <w:t xml:space="preserve"> </w:t>
      </w:r>
      <w:r w:rsidRPr="009F4189">
        <w:rPr>
          <w:sz w:val="20"/>
          <w:szCs w:val="20"/>
        </w:rPr>
        <w:t>de</w:t>
      </w:r>
      <w:r w:rsidRPr="009F4189">
        <w:rPr>
          <w:spacing w:val="-5"/>
          <w:sz w:val="20"/>
          <w:szCs w:val="20"/>
        </w:rPr>
        <w:t xml:space="preserve"> </w:t>
      </w:r>
      <w:r w:rsidRPr="009F4189">
        <w:rPr>
          <w:sz w:val="20"/>
          <w:szCs w:val="20"/>
        </w:rPr>
        <w:t>alto</w:t>
      </w:r>
      <w:r w:rsidRPr="009F4189">
        <w:rPr>
          <w:spacing w:val="-4"/>
          <w:sz w:val="20"/>
          <w:szCs w:val="20"/>
        </w:rPr>
        <w:t xml:space="preserve"> </w:t>
      </w:r>
      <w:r w:rsidRPr="009F4189">
        <w:rPr>
          <w:sz w:val="20"/>
          <w:szCs w:val="20"/>
        </w:rPr>
        <w:t>impacto</w:t>
      </w:r>
      <w:r w:rsidRPr="009F4189">
        <w:rPr>
          <w:spacing w:val="-2"/>
          <w:sz w:val="20"/>
          <w:szCs w:val="20"/>
        </w:rPr>
        <w:t xml:space="preserve"> </w:t>
      </w:r>
      <w:r w:rsidRPr="009F4189">
        <w:rPr>
          <w:sz w:val="20"/>
          <w:szCs w:val="20"/>
        </w:rPr>
        <w:t>y</w:t>
      </w:r>
      <w:r w:rsidRPr="009F4189">
        <w:rPr>
          <w:spacing w:val="-8"/>
          <w:sz w:val="20"/>
          <w:szCs w:val="20"/>
        </w:rPr>
        <w:t xml:space="preserve"> </w:t>
      </w:r>
      <w:r w:rsidRPr="009F4189">
        <w:rPr>
          <w:sz w:val="20"/>
          <w:szCs w:val="20"/>
        </w:rPr>
        <w:t>beneficio social, que incidan en el desarrollo económico y social, para elevar el nivel de vida de la</w:t>
      </w:r>
      <w:r w:rsidRPr="009F4189">
        <w:rPr>
          <w:spacing w:val="-15"/>
          <w:sz w:val="20"/>
          <w:szCs w:val="20"/>
        </w:rPr>
        <w:t xml:space="preserve"> </w:t>
      </w:r>
      <w:r w:rsidRPr="009F4189">
        <w:rPr>
          <w:sz w:val="20"/>
          <w:szCs w:val="20"/>
        </w:rPr>
        <w:t>población Tlaxcalteca</w:t>
      </w:r>
      <w:r>
        <w:rPr>
          <w:sz w:val="20"/>
          <w:szCs w:val="20"/>
        </w:rPr>
        <w:t>;</w:t>
      </w:r>
    </w:p>
    <w:p w14:paraId="15D51F58" w14:textId="77777777" w:rsidR="00B76E04" w:rsidRPr="00BD30ED" w:rsidRDefault="00B76E04" w:rsidP="004C246C">
      <w:pPr>
        <w:pStyle w:val="Prrafodelista"/>
        <w:numPr>
          <w:ilvl w:val="0"/>
          <w:numId w:val="22"/>
        </w:numPr>
        <w:spacing w:line="360" w:lineRule="auto"/>
        <w:ind w:left="709" w:hanging="283"/>
        <w:jc w:val="both"/>
        <w:rPr>
          <w:sz w:val="20"/>
          <w:szCs w:val="20"/>
        </w:rPr>
      </w:pPr>
      <w:r w:rsidRPr="00BD30ED">
        <w:rPr>
          <w:sz w:val="20"/>
          <w:szCs w:val="20"/>
        </w:rPr>
        <w:t>Dar acceso a la población a sus derechos sociales y reducir la</w:t>
      </w:r>
      <w:r w:rsidRPr="00BD30ED">
        <w:rPr>
          <w:spacing w:val="-18"/>
          <w:sz w:val="20"/>
          <w:szCs w:val="20"/>
        </w:rPr>
        <w:t xml:space="preserve"> </w:t>
      </w:r>
      <w:r w:rsidRPr="00BD30ED">
        <w:rPr>
          <w:sz w:val="20"/>
          <w:szCs w:val="20"/>
        </w:rPr>
        <w:t>pobreza</w:t>
      </w:r>
      <w:r>
        <w:rPr>
          <w:sz w:val="20"/>
          <w:szCs w:val="20"/>
        </w:rPr>
        <w:t>;</w:t>
      </w:r>
    </w:p>
    <w:p w14:paraId="2C202F5D" w14:textId="77777777" w:rsidR="00B76E04" w:rsidRPr="009F4189" w:rsidRDefault="00B76E04" w:rsidP="004C246C">
      <w:pPr>
        <w:pStyle w:val="Prrafodelista"/>
        <w:numPr>
          <w:ilvl w:val="0"/>
          <w:numId w:val="22"/>
        </w:numPr>
        <w:spacing w:line="360" w:lineRule="auto"/>
        <w:ind w:left="709" w:hanging="283"/>
        <w:jc w:val="both"/>
        <w:rPr>
          <w:sz w:val="20"/>
          <w:szCs w:val="20"/>
        </w:rPr>
      </w:pPr>
      <w:r w:rsidRPr="009F4189">
        <w:rPr>
          <w:sz w:val="20"/>
          <w:szCs w:val="20"/>
        </w:rPr>
        <w:t>Garantizar un acceso libre y pleno con las mujeres tlaxcaltecas mediante acciones como: Dignificación y reconocimiento de las mujeres Tlaxcaltecas, Empoderamiento económico para las mujeres en Tlaxcala, Atención integral de contacto para mujeres Tlaxcaltecas, así como apoyos económicos a Mujeres</w:t>
      </w:r>
      <w:r>
        <w:rPr>
          <w:sz w:val="20"/>
          <w:szCs w:val="20"/>
        </w:rPr>
        <w:t>;</w:t>
      </w:r>
    </w:p>
    <w:p w14:paraId="69C5C5B2" w14:textId="0482940E" w:rsidR="00B76E04" w:rsidRPr="009F4189" w:rsidRDefault="00B76E04" w:rsidP="004C246C">
      <w:pPr>
        <w:pStyle w:val="Prrafodelista"/>
        <w:numPr>
          <w:ilvl w:val="0"/>
          <w:numId w:val="22"/>
        </w:numPr>
        <w:spacing w:line="360" w:lineRule="auto"/>
        <w:ind w:left="709" w:hanging="283"/>
        <w:jc w:val="both"/>
        <w:rPr>
          <w:sz w:val="20"/>
          <w:szCs w:val="20"/>
        </w:rPr>
      </w:pPr>
      <w:r w:rsidRPr="009F4189">
        <w:rPr>
          <w:sz w:val="20"/>
          <w:szCs w:val="20"/>
        </w:rPr>
        <w:t>Combatir la carencia alimentaria y mejorar el acceso a la salud, seguridad social, vivienda y apoyo al empleo; conforme a los programas de la Sociedad Organizada para el Bienestar, Desarrollo Comunitario y Bienestar de Pueblos Originarios, Bienestar y Desarrollo Integral, Vivienda digna y Servicios Básicos para el Bienestar de la Secretaría de Bienestar</w:t>
      </w:r>
      <w:r>
        <w:rPr>
          <w:sz w:val="20"/>
          <w:szCs w:val="20"/>
        </w:rPr>
        <w:t>;</w:t>
      </w:r>
    </w:p>
    <w:p w14:paraId="633E1F5E" w14:textId="77777777" w:rsidR="00B76E04" w:rsidRPr="006F451D" w:rsidRDefault="00B76E04" w:rsidP="004C246C">
      <w:pPr>
        <w:pStyle w:val="Prrafodelista"/>
        <w:numPr>
          <w:ilvl w:val="0"/>
          <w:numId w:val="22"/>
        </w:numPr>
        <w:spacing w:line="360" w:lineRule="auto"/>
        <w:ind w:left="709" w:hanging="283"/>
        <w:jc w:val="both"/>
        <w:rPr>
          <w:sz w:val="20"/>
          <w:szCs w:val="20"/>
        </w:rPr>
      </w:pPr>
      <w:r w:rsidRPr="006F451D">
        <w:rPr>
          <w:sz w:val="20"/>
          <w:szCs w:val="20"/>
        </w:rPr>
        <w:t>Identificar con precisión la población objetivo, privilegiando a los de menos</w:t>
      </w:r>
      <w:r w:rsidRPr="006F451D">
        <w:rPr>
          <w:spacing w:val="-27"/>
          <w:sz w:val="20"/>
          <w:szCs w:val="20"/>
        </w:rPr>
        <w:t xml:space="preserve"> </w:t>
      </w:r>
      <w:r w:rsidRPr="006F451D">
        <w:rPr>
          <w:sz w:val="20"/>
          <w:szCs w:val="20"/>
        </w:rPr>
        <w:t>ingresos</w:t>
      </w:r>
      <w:r>
        <w:rPr>
          <w:sz w:val="20"/>
          <w:szCs w:val="20"/>
        </w:rPr>
        <w:t>;</w:t>
      </w:r>
    </w:p>
    <w:p w14:paraId="614653F4" w14:textId="77777777" w:rsidR="00B76E04" w:rsidRPr="006F451D" w:rsidRDefault="00B76E04" w:rsidP="004C246C">
      <w:pPr>
        <w:pStyle w:val="Prrafodelista"/>
        <w:numPr>
          <w:ilvl w:val="0"/>
          <w:numId w:val="22"/>
        </w:numPr>
        <w:spacing w:line="360" w:lineRule="auto"/>
        <w:ind w:left="709" w:hanging="283"/>
        <w:jc w:val="both"/>
        <w:rPr>
          <w:sz w:val="20"/>
          <w:szCs w:val="20"/>
        </w:rPr>
      </w:pPr>
      <w:r w:rsidRPr="006F451D">
        <w:rPr>
          <w:sz w:val="20"/>
          <w:szCs w:val="20"/>
        </w:rPr>
        <w:t>Procurar</w:t>
      </w:r>
      <w:r w:rsidRPr="006F451D">
        <w:rPr>
          <w:spacing w:val="-14"/>
          <w:sz w:val="20"/>
          <w:szCs w:val="20"/>
        </w:rPr>
        <w:t xml:space="preserve"> </w:t>
      </w:r>
      <w:r w:rsidRPr="006F451D">
        <w:rPr>
          <w:sz w:val="20"/>
          <w:szCs w:val="20"/>
        </w:rPr>
        <w:t>que</w:t>
      </w:r>
      <w:r w:rsidRPr="006F451D">
        <w:rPr>
          <w:spacing w:val="-13"/>
          <w:sz w:val="20"/>
          <w:szCs w:val="20"/>
        </w:rPr>
        <w:t xml:space="preserve"> </w:t>
      </w:r>
      <w:r w:rsidRPr="006F451D">
        <w:rPr>
          <w:sz w:val="20"/>
          <w:szCs w:val="20"/>
        </w:rPr>
        <w:t>el</w:t>
      </w:r>
      <w:r w:rsidRPr="006F451D">
        <w:rPr>
          <w:spacing w:val="-13"/>
          <w:sz w:val="20"/>
          <w:szCs w:val="20"/>
        </w:rPr>
        <w:t xml:space="preserve"> </w:t>
      </w:r>
      <w:r w:rsidRPr="006F451D">
        <w:rPr>
          <w:sz w:val="20"/>
          <w:szCs w:val="20"/>
        </w:rPr>
        <w:t>mecanismo</w:t>
      </w:r>
      <w:r w:rsidRPr="006F451D">
        <w:rPr>
          <w:spacing w:val="-13"/>
          <w:sz w:val="20"/>
          <w:szCs w:val="20"/>
        </w:rPr>
        <w:t xml:space="preserve"> </w:t>
      </w:r>
      <w:r w:rsidRPr="006F451D">
        <w:rPr>
          <w:sz w:val="20"/>
          <w:szCs w:val="20"/>
        </w:rPr>
        <w:t>de</w:t>
      </w:r>
      <w:r w:rsidRPr="006F451D">
        <w:rPr>
          <w:spacing w:val="-13"/>
          <w:sz w:val="20"/>
          <w:szCs w:val="20"/>
        </w:rPr>
        <w:t xml:space="preserve"> </w:t>
      </w:r>
      <w:r w:rsidRPr="006F451D">
        <w:rPr>
          <w:sz w:val="20"/>
          <w:szCs w:val="20"/>
        </w:rPr>
        <w:t>distribución,</w:t>
      </w:r>
      <w:r w:rsidRPr="006F451D">
        <w:rPr>
          <w:spacing w:val="-13"/>
          <w:sz w:val="20"/>
          <w:szCs w:val="20"/>
        </w:rPr>
        <w:t xml:space="preserve"> </w:t>
      </w:r>
      <w:r w:rsidRPr="006F451D">
        <w:rPr>
          <w:sz w:val="20"/>
          <w:szCs w:val="20"/>
        </w:rPr>
        <w:t>operación</w:t>
      </w:r>
      <w:r w:rsidRPr="006F451D">
        <w:rPr>
          <w:spacing w:val="-12"/>
          <w:sz w:val="20"/>
          <w:szCs w:val="20"/>
        </w:rPr>
        <w:t xml:space="preserve"> </w:t>
      </w:r>
      <w:r w:rsidRPr="006F451D">
        <w:rPr>
          <w:sz w:val="20"/>
          <w:szCs w:val="20"/>
        </w:rPr>
        <w:t>y</w:t>
      </w:r>
      <w:r w:rsidRPr="006F451D">
        <w:rPr>
          <w:spacing w:val="-16"/>
          <w:sz w:val="20"/>
          <w:szCs w:val="20"/>
        </w:rPr>
        <w:t xml:space="preserve"> </w:t>
      </w:r>
      <w:r w:rsidRPr="006F451D">
        <w:rPr>
          <w:sz w:val="20"/>
          <w:szCs w:val="20"/>
        </w:rPr>
        <w:t>administración</w:t>
      </w:r>
      <w:r w:rsidRPr="006F451D">
        <w:rPr>
          <w:spacing w:val="-14"/>
          <w:sz w:val="20"/>
          <w:szCs w:val="20"/>
        </w:rPr>
        <w:t xml:space="preserve"> </w:t>
      </w:r>
      <w:r w:rsidRPr="006F451D">
        <w:rPr>
          <w:sz w:val="20"/>
          <w:szCs w:val="20"/>
        </w:rPr>
        <w:t>del</w:t>
      </w:r>
      <w:r w:rsidRPr="006F451D">
        <w:rPr>
          <w:spacing w:val="-13"/>
          <w:sz w:val="20"/>
          <w:szCs w:val="20"/>
        </w:rPr>
        <w:t xml:space="preserve"> </w:t>
      </w:r>
      <w:r w:rsidRPr="006F451D">
        <w:rPr>
          <w:sz w:val="20"/>
          <w:szCs w:val="20"/>
        </w:rPr>
        <w:t>presupuesto</w:t>
      </w:r>
      <w:r w:rsidRPr="006F451D">
        <w:rPr>
          <w:spacing w:val="-13"/>
          <w:sz w:val="20"/>
          <w:szCs w:val="20"/>
        </w:rPr>
        <w:t xml:space="preserve"> </w:t>
      </w:r>
      <w:r w:rsidRPr="006F451D">
        <w:rPr>
          <w:sz w:val="20"/>
          <w:szCs w:val="20"/>
        </w:rPr>
        <w:t>otorgue</w:t>
      </w:r>
      <w:r w:rsidRPr="006F451D">
        <w:rPr>
          <w:spacing w:val="-13"/>
          <w:sz w:val="20"/>
          <w:szCs w:val="20"/>
        </w:rPr>
        <w:t xml:space="preserve"> </w:t>
      </w:r>
      <w:r w:rsidRPr="006F451D">
        <w:rPr>
          <w:sz w:val="20"/>
          <w:szCs w:val="20"/>
        </w:rPr>
        <w:t>acceso</w:t>
      </w:r>
      <w:r w:rsidRPr="006F451D">
        <w:rPr>
          <w:spacing w:val="-13"/>
          <w:sz w:val="20"/>
          <w:szCs w:val="20"/>
        </w:rPr>
        <w:t xml:space="preserve"> </w:t>
      </w:r>
      <w:r w:rsidRPr="006F451D">
        <w:rPr>
          <w:sz w:val="20"/>
          <w:szCs w:val="20"/>
        </w:rPr>
        <w:t>equitativo a todos los grupos sociales, para fomentar la igualdad de</w:t>
      </w:r>
      <w:r w:rsidRPr="006F451D">
        <w:rPr>
          <w:spacing w:val="-16"/>
          <w:sz w:val="20"/>
          <w:szCs w:val="20"/>
        </w:rPr>
        <w:t xml:space="preserve"> </w:t>
      </w:r>
      <w:r w:rsidRPr="006F451D">
        <w:rPr>
          <w:sz w:val="20"/>
          <w:szCs w:val="20"/>
        </w:rPr>
        <w:t>género</w:t>
      </w:r>
      <w:r>
        <w:rPr>
          <w:sz w:val="20"/>
          <w:szCs w:val="20"/>
        </w:rPr>
        <w:t>;</w:t>
      </w:r>
    </w:p>
    <w:p w14:paraId="620FACAD" w14:textId="77777777" w:rsidR="00B76E04" w:rsidRPr="006F451D" w:rsidRDefault="00B76E04" w:rsidP="004C246C">
      <w:pPr>
        <w:pStyle w:val="Prrafodelista"/>
        <w:numPr>
          <w:ilvl w:val="0"/>
          <w:numId w:val="22"/>
        </w:numPr>
        <w:spacing w:line="360" w:lineRule="auto"/>
        <w:ind w:left="709" w:hanging="283"/>
        <w:jc w:val="both"/>
        <w:rPr>
          <w:sz w:val="20"/>
          <w:szCs w:val="20"/>
        </w:rPr>
      </w:pPr>
      <w:r w:rsidRPr="006F451D">
        <w:rPr>
          <w:sz w:val="20"/>
          <w:szCs w:val="20"/>
        </w:rPr>
        <w:t>Simplificar</w:t>
      </w:r>
      <w:r w:rsidRPr="006F451D">
        <w:rPr>
          <w:spacing w:val="-4"/>
          <w:sz w:val="20"/>
          <w:szCs w:val="20"/>
        </w:rPr>
        <w:t xml:space="preserve"> </w:t>
      </w:r>
      <w:r w:rsidRPr="006F451D">
        <w:rPr>
          <w:sz w:val="20"/>
          <w:szCs w:val="20"/>
        </w:rPr>
        <w:t>los</w:t>
      </w:r>
      <w:r w:rsidRPr="006F451D">
        <w:rPr>
          <w:spacing w:val="-6"/>
          <w:sz w:val="20"/>
          <w:szCs w:val="20"/>
        </w:rPr>
        <w:t xml:space="preserve"> </w:t>
      </w:r>
      <w:r w:rsidRPr="006F451D">
        <w:rPr>
          <w:sz w:val="20"/>
          <w:szCs w:val="20"/>
        </w:rPr>
        <w:t>procesos</w:t>
      </w:r>
      <w:r w:rsidRPr="006F451D">
        <w:rPr>
          <w:spacing w:val="-6"/>
          <w:sz w:val="20"/>
          <w:szCs w:val="20"/>
        </w:rPr>
        <w:t xml:space="preserve"> </w:t>
      </w:r>
      <w:r w:rsidRPr="006F451D">
        <w:rPr>
          <w:sz w:val="20"/>
          <w:szCs w:val="20"/>
        </w:rPr>
        <w:t>y</w:t>
      </w:r>
      <w:r w:rsidRPr="006F451D">
        <w:rPr>
          <w:spacing w:val="-9"/>
          <w:sz w:val="20"/>
          <w:szCs w:val="20"/>
        </w:rPr>
        <w:t xml:space="preserve"> </w:t>
      </w:r>
      <w:proofErr w:type="spellStart"/>
      <w:r w:rsidRPr="006F451D">
        <w:rPr>
          <w:sz w:val="20"/>
          <w:szCs w:val="20"/>
        </w:rPr>
        <w:t>eficientar</w:t>
      </w:r>
      <w:proofErr w:type="spellEnd"/>
      <w:r w:rsidRPr="006F451D">
        <w:rPr>
          <w:spacing w:val="-5"/>
          <w:sz w:val="20"/>
          <w:szCs w:val="20"/>
        </w:rPr>
        <w:t xml:space="preserve"> </w:t>
      </w:r>
      <w:r w:rsidRPr="006F451D">
        <w:rPr>
          <w:sz w:val="20"/>
          <w:szCs w:val="20"/>
        </w:rPr>
        <w:t>la</w:t>
      </w:r>
      <w:r w:rsidRPr="006F451D">
        <w:rPr>
          <w:spacing w:val="-5"/>
          <w:sz w:val="20"/>
          <w:szCs w:val="20"/>
        </w:rPr>
        <w:t xml:space="preserve"> </w:t>
      </w:r>
      <w:r w:rsidRPr="006F451D">
        <w:rPr>
          <w:sz w:val="20"/>
          <w:szCs w:val="20"/>
        </w:rPr>
        <w:t>prestación</w:t>
      </w:r>
      <w:r w:rsidRPr="006F451D">
        <w:rPr>
          <w:spacing w:val="-7"/>
          <w:sz w:val="20"/>
          <w:szCs w:val="20"/>
        </w:rPr>
        <w:t xml:space="preserve"> </w:t>
      </w:r>
      <w:r w:rsidRPr="006F451D">
        <w:rPr>
          <w:sz w:val="20"/>
          <w:szCs w:val="20"/>
        </w:rPr>
        <w:t>de</w:t>
      </w:r>
      <w:r w:rsidRPr="006F451D">
        <w:rPr>
          <w:spacing w:val="-5"/>
          <w:sz w:val="20"/>
          <w:szCs w:val="20"/>
        </w:rPr>
        <w:t xml:space="preserve"> </w:t>
      </w:r>
      <w:r w:rsidRPr="006F451D">
        <w:rPr>
          <w:sz w:val="20"/>
          <w:szCs w:val="20"/>
        </w:rPr>
        <w:t>servicios</w:t>
      </w:r>
      <w:r w:rsidRPr="006F451D">
        <w:rPr>
          <w:spacing w:val="-6"/>
          <w:sz w:val="20"/>
          <w:szCs w:val="20"/>
        </w:rPr>
        <w:t xml:space="preserve"> </w:t>
      </w:r>
      <w:r w:rsidRPr="006F451D">
        <w:rPr>
          <w:sz w:val="20"/>
          <w:szCs w:val="20"/>
        </w:rPr>
        <w:t>a</w:t>
      </w:r>
      <w:r w:rsidRPr="006F451D">
        <w:rPr>
          <w:spacing w:val="-5"/>
          <w:sz w:val="20"/>
          <w:szCs w:val="20"/>
        </w:rPr>
        <w:t xml:space="preserve"> </w:t>
      </w:r>
      <w:r w:rsidRPr="006F451D">
        <w:rPr>
          <w:sz w:val="20"/>
          <w:szCs w:val="20"/>
        </w:rPr>
        <w:t>la</w:t>
      </w:r>
      <w:r w:rsidRPr="006F451D">
        <w:rPr>
          <w:spacing w:val="-5"/>
          <w:sz w:val="20"/>
          <w:szCs w:val="20"/>
        </w:rPr>
        <w:t xml:space="preserve"> </w:t>
      </w:r>
      <w:r w:rsidRPr="006F451D">
        <w:rPr>
          <w:sz w:val="20"/>
          <w:szCs w:val="20"/>
        </w:rPr>
        <w:t>población,</w:t>
      </w:r>
      <w:r w:rsidRPr="006F451D">
        <w:rPr>
          <w:spacing w:val="-7"/>
          <w:sz w:val="20"/>
          <w:szCs w:val="20"/>
        </w:rPr>
        <w:t xml:space="preserve"> </w:t>
      </w:r>
      <w:r w:rsidRPr="006F451D">
        <w:rPr>
          <w:sz w:val="20"/>
          <w:szCs w:val="20"/>
        </w:rPr>
        <w:t>para</w:t>
      </w:r>
      <w:r w:rsidRPr="006F451D">
        <w:rPr>
          <w:spacing w:val="-5"/>
          <w:sz w:val="20"/>
          <w:szCs w:val="20"/>
        </w:rPr>
        <w:t xml:space="preserve"> </w:t>
      </w:r>
      <w:r w:rsidRPr="006F451D">
        <w:rPr>
          <w:sz w:val="20"/>
          <w:szCs w:val="20"/>
        </w:rPr>
        <w:t>garantizar</w:t>
      </w:r>
      <w:r w:rsidRPr="006F451D">
        <w:rPr>
          <w:spacing w:val="-4"/>
          <w:sz w:val="20"/>
          <w:szCs w:val="20"/>
        </w:rPr>
        <w:t xml:space="preserve"> </w:t>
      </w:r>
      <w:r w:rsidRPr="006F451D">
        <w:rPr>
          <w:sz w:val="20"/>
          <w:szCs w:val="20"/>
        </w:rPr>
        <w:t>un</w:t>
      </w:r>
      <w:r w:rsidRPr="006F451D">
        <w:rPr>
          <w:spacing w:val="-7"/>
          <w:sz w:val="20"/>
          <w:szCs w:val="20"/>
        </w:rPr>
        <w:t xml:space="preserve"> </w:t>
      </w:r>
      <w:r w:rsidRPr="006F451D">
        <w:rPr>
          <w:sz w:val="20"/>
          <w:szCs w:val="20"/>
        </w:rPr>
        <w:t>gobierno</w:t>
      </w:r>
      <w:r w:rsidRPr="006F451D">
        <w:rPr>
          <w:spacing w:val="-4"/>
          <w:sz w:val="20"/>
          <w:szCs w:val="20"/>
        </w:rPr>
        <w:t xml:space="preserve"> </w:t>
      </w:r>
      <w:r w:rsidRPr="006F451D">
        <w:rPr>
          <w:sz w:val="20"/>
          <w:szCs w:val="20"/>
        </w:rPr>
        <w:t xml:space="preserve">eficaz, mediante </w:t>
      </w:r>
      <w:bookmarkStart w:id="2" w:name="_Hlk180496040"/>
      <w:r w:rsidRPr="006F451D">
        <w:rPr>
          <w:sz w:val="20"/>
          <w:szCs w:val="20"/>
        </w:rPr>
        <w:t>el Sistema Estatal de Gobernanza Digital</w:t>
      </w:r>
      <w:bookmarkEnd w:id="2"/>
      <w:r>
        <w:rPr>
          <w:sz w:val="20"/>
          <w:szCs w:val="20"/>
        </w:rPr>
        <w:t>;</w:t>
      </w:r>
    </w:p>
    <w:p w14:paraId="0E605E6A" w14:textId="77777777" w:rsidR="00B76E04" w:rsidRPr="00525950" w:rsidRDefault="00B76E04" w:rsidP="004C246C">
      <w:pPr>
        <w:pStyle w:val="Prrafodelista"/>
        <w:numPr>
          <w:ilvl w:val="0"/>
          <w:numId w:val="22"/>
        </w:numPr>
        <w:spacing w:line="360" w:lineRule="auto"/>
        <w:ind w:left="709" w:hanging="283"/>
        <w:jc w:val="both"/>
        <w:rPr>
          <w:sz w:val="20"/>
          <w:szCs w:val="20"/>
        </w:rPr>
      </w:pPr>
      <w:r w:rsidRPr="00525950">
        <w:rPr>
          <w:sz w:val="20"/>
          <w:szCs w:val="20"/>
        </w:rPr>
        <w:t>Concientizar entre los servidores públicos una cultura de austeridad, racionalidad, disciplina, transparencia, honestidad y</w:t>
      </w:r>
      <w:r w:rsidRPr="00525950">
        <w:rPr>
          <w:spacing w:val="-9"/>
          <w:sz w:val="20"/>
          <w:szCs w:val="20"/>
        </w:rPr>
        <w:t xml:space="preserve"> </w:t>
      </w:r>
      <w:r w:rsidRPr="00525950">
        <w:rPr>
          <w:sz w:val="20"/>
          <w:szCs w:val="20"/>
        </w:rPr>
        <w:t>eficaci</w:t>
      </w:r>
      <w:r w:rsidRPr="00BD30ED">
        <w:rPr>
          <w:sz w:val="20"/>
          <w:szCs w:val="20"/>
        </w:rPr>
        <w:t>a, mediante la publicación de lineamientos y políticas generales del ejercicio del presupuesto, las medidas de mejora y modernización, así como de austeridad del gasto público de la gestión administrativa, a los que deberán sujetarse las Dependencias y Entidades</w:t>
      </w:r>
      <w:r>
        <w:rPr>
          <w:sz w:val="20"/>
          <w:szCs w:val="20"/>
        </w:rPr>
        <w:t>;</w:t>
      </w:r>
    </w:p>
    <w:p w14:paraId="2212BBC3" w14:textId="00F64615" w:rsidR="00B76E04" w:rsidRPr="006F451D" w:rsidRDefault="00B76E04" w:rsidP="004C246C">
      <w:pPr>
        <w:pStyle w:val="Prrafodelista"/>
        <w:numPr>
          <w:ilvl w:val="0"/>
          <w:numId w:val="22"/>
        </w:numPr>
        <w:spacing w:line="360" w:lineRule="auto"/>
        <w:ind w:left="709" w:hanging="283"/>
        <w:jc w:val="both"/>
        <w:rPr>
          <w:sz w:val="20"/>
          <w:szCs w:val="20"/>
        </w:rPr>
      </w:pPr>
      <w:r w:rsidRPr="006F451D">
        <w:rPr>
          <w:sz w:val="20"/>
          <w:szCs w:val="20"/>
        </w:rPr>
        <w:t>Revisar el resultado de las evaluaciones del Presupuesto basado en Resultados (</w:t>
      </w:r>
      <w:proofErr w:type="spellStart"/>
      <w:r w:rsidRPr="006F451D">
        <w:rPr>
          <w:sz w:val="20"/>
          <w:szCs w:val="20"/>
        </w:rPr>
        <w:t>PbR</w:t>
      </w:r>
      <w:proofErr w:type="spellEnd"/>
      <w:r w:rsidRPr="006F451D">
        <w:rPr>
          <w:sz w:val="20"/>
          <w:szCs w:val="20"/>
        </w:rPr>
        <w:t>) y el Sistema de Evaluación del Desempeño</w:t>
      </w:r>
      <w:r w:rsidRPr="006F451D">
        <w:rPr>
          <w:spacing w:val="-6"/>
          <w:sz w:val="20"/>
          <w:szCs w:val="20"/>
        </w:rPr>
        <w:t xml:space="preserve"> </w:t>
      </w:r>
      <w:r w:rsidRPr="006F451D">
        <w:rPr>
          <w:sz w:val="20"/>
          <w:szCs w:val="20"/>
        </w:rPr>
        <w:t xml:space="preserve">(SED), y así aplicar las medidas derivadas de la planeación estratégica y consolidar el </w:t>
      </w:r>
      <w:proofErr w:type="spellStart"/>
      <w:r w:rsidRPr="006F451D">
        <w:rPr>
          <w:sz w:val="20"/>
          <w:szCs w:val="20"/>
        </w:rPr>
        <w:t>PbR</w:t>
      </w:r>
      <w:proofErr w:type="spellEnd"/>
      <w:r>
        <w:rPr>
          <w:sz w:val="20"/>
          <w:szCs w:val="20"/>
        </w:rPr>
        <w:t>–</w:t>
      </w:r>
      <w:r w:rsidRPr="006F451D">
        <w:rPr>
          <w:sz w:val="20"/>
          <w:szCs w:val="20"/>
        </w:rPr>
        <w:t>SED</w:t>
      </w:r>
      <w:r>
        <w:rPr>
          <w:sz w:val="20"/>
          <w:szCs w:val="20"/>
        </w:rPr>
        <w:t>;</w:t>
      </w:r>
    </w:p>
    <w:p w14:paraId="43B9E49B" w14:textId="7E9E3983" w:rsidR="00B76E04" w:rsidRDefault="00B76E04" w:rsidP="004C246C">
      <w:pPr>
        <w:pStyle w:val="Prrafodelista"/>
        <w:numPr>
          <w:ilvl w:val="0"/>
          <w:numId w:val="22"/>
        </w:numPr>
        <w:spacing w:line="360" w:lineRule="auto"/>
        <w:ind w:left="709" w:hanging="283"/>
        <w:jc w:val="both"/>
        <w:rPr>
          <w:sz w:val="20"/>
          <w:szCs w:val="20"/>
        </w:rPr>
      </w:pPr>
      <w:r>
        <w:rPr>
          <w:sz w:val="20"/>
          <w:szCs w:val="20"/>
        </w:rPr>
        <w:t xml:space="preserve">Garantizar </w:t>
      </w:r>
      <w:r w:rsidRPr="006F451D">
        <w:rPr>
          <w:sz w:val="20"/>
          <w:szCs w:val="20"/>
        </w:rPr>
        <w:t>la transparencia y rendición de cuentas, mediante la entrega y difusión de información, observando los lineamientos y buenas prácticas en la materia, conforme las políticas del Instituto Mexicano para la Competitividad</w:t>
      </w:r>
      <w:r w:rsidR="002E0576">
        <w:rPr>
          <w:sz w:val="20"/>
          <w:szCs w:val="20"/>
        </w:rPr>
        <w:t xml:space="preserve"> A.C.,</w:t>
      </w:r>
      <w:r w:rsidRPr="006F451D">
        <w:rPr>
          <w:spacing w:val="-9"/>
          <w:sz w:val="20"/>
          <w:szCs w:val="20"/>
        </w:rPr>
        <w:t xml:space="preserve"> </w:t>
      </w:r>
      <w:r w:rsidRPr="006F451D">
        <w:rPr>
          <w:sz w:val="20"/>
          <w:szCs w:val="20"/>
        </w:rPr>
        <w:t>(IMCO), mediante la aplicación del marco normativo aplicable</w:t>
      </w:r>
      <w:r>
        <w:rPr>
          <w:sz w:val="20"/>
          <w:szCs w:val="20"/>
        </w:rPr>
        <w:t>;</w:t>
      </w:r>
    </w:p>
    <w:p w14:paraId="4D83F410" w14:textId="77777777" w:rsidR="00B76E04" w:rsidRPr="006F451D" w:rsidRDefault="00B76E04" w:rsidP="004C246C">
      <w:pPr>
        <w:pStyle w:val="Prrafodelista"/>
        <w:numPr>
          <w:ilvl w:val="0"/>
          <w:numId w:val="22"/>
        </w:numPr>
        <w:spacing w:line="360" w:lineRule="auto"/>
        <w:ind w:left="709" w:hanging="283"/>
        <w:jc w:val="both"/>
        <w:rPr>
          <w:sz w:val="20"/>
          <w:szCs w:val="20"/>
        </w:rPr>
      </w:pPr>
      <w:r w:rsidRPr="006F451D">
        <w:rPr>
          <w:sz w:val="20"/>
          <w:szCs w:val="20"/>
        </w:rPr>
        <w:t>Atender las recomendaciones de los órganos fiscalizadores y las reglas emitidas por la Secretaría de Hacienda y Crédito Público</w:t>
      </w:r>
      <w:r w:rsidRPr="006F451D">
        <w:rPr>
          <w:spacing w:val="-7"/>
          <w:sz w:val="20"/>
          <w:szCs w:val="20"/>
        </w:rPr>
        <w:t xml:space="preserve"> </w:t>
      </w:r>
      <w:r w:rsidRPr="006F451D">
        <w:rPr>
          <w:sz w:val="20"/>
          <w:szCs w:val="20"/>
        </w:rPr>
        <w:t>(SHCP), así como de aquellos entes a los cuales se les debe rendir algún informe</w:t>
      </w:r>
      <w:r>
        <w:rPr>
          <w:sz w:val="20"/>
          <w:szCs w:val="20"/>
        </w:rPr>
        <w:t>;</w:t>
      </w:r>
    </w:p>
    <w:p w14:paraId="5A36D6EA" w14:textId="77777777" w:rsidR="00B76E04" w:rsidRDefault="00B76E04" w:rsidP="004C246C">
      <w:pPr>
        <w:pStyle w:val="Prrafodelista"/>
        <w:numPr>
          <w:ilvl w:val="0"/>
          <w:numId w:val="22"/>
        </w:numPr>
        <w:spacing w:line="360" w:lineRule="auto"/>
        <w:ind w:left="709" w:hanging="283"/>
        <w:jc w:val="both"/>
        <w:rPr>
          <w:sz w:val="20"/>
          <w:szCs w:val="20"/>
        </w:rPr>
      </w:pPr>
      <w:r>
        <w:rPr>
          <w:sz w:val="20"/>
          <w:szCs w:val="20"/>
        </w:rPr>
        <w:lastRenderedPageBreak/>
        <w:t xml:space="preserve">Efectuar </w:t>
      </w:r>
      <w:r w:rsidRPr="006F451D">
        <w:rPr>
          <w:sz w:val="20"/>
          <w:szCs w:val="20"/>
        </w:rPr>
        <w:t>el registro contable del gasto público, la integración y la consolidación de la cuenta pública, conforme lo dispuesto en la Ley General de Contabilidad Gubernamental y las reglas del Consejo Nacional de Armonización Contable</w:t>
      </w:r>
      <w:r w:rsidRPr="006F451D">
        <w:rPr>
          <w:spacing w:val="-11"/>
          <w:sz w:val="20"/>
          <w:szCs w:val="20"/>
        </w:rPr>
        <w:t xml:space="preserve"> </w:t>
      </w:r>
      <w:r w:rsidRPr="006F451D">
        <w:rPr>
          <w:sz w:val="20"/>
          <w:szCs w:val="20"/>
        </w:rPr>
        <w:t>(CONAC)</w:t>
      </w:r>
      <w:r>
        <w:rPr>
          <w:sz w:val="20"/>
          <w:szCs w:val="20"/>
        </w:rPr>
        <w:t>;</w:t>
      </w:r>
    </w:p>
    <w:p w14:paraId="04DFA554" w14:textId="77777777" w:rsidR="00B76E04" w:rsidRPr="006F451D" w:rsidRDefault="00B76E04" w:rsidP="004C246C">
      <w:pPr>
        <w:pStyle w:val="Prrafodelista"/>
        <w:numPr>
          <w:ilvl w:val="0"/>
          <w:numId w:val="22"/>
        </w:numPr>
        <w:spacing w:line="360" w:lineRule="auto"/>
        <w:ind w:left="709" w:hanging="283"/>
        <w:jc w:val="both"/>
        <w:rPr>
          <w:sz w:val="20"/>
          <w:szCs w:val="20"/>
        </w:rPr>
      </w:pPr>
      <w:r w:rsidRPr="006F451D">
        <w:rPr>
          <w:sz w:val="20"/>
          <w:szCs w:val="20"/>
        </w:rPr>
        <w:t>Mantener un nivel de endeudamiento cero, y no creación de nuevos impuestos, así como una estricta disciplina fiscal, para garantizar finanzas públicas sanas y una hacienda</w:t>
      </w:r>
      <w:r w:rsidRPr="006F451D">
        <w:rPr>
          <w:spacing w:val="-21"/>
          <w:sz w:val="20"/>
          <w:szCs w:val="20"/>
        </w:rPr>
        <w:t xml:space="preserve"> </w:t>
      </w:r>
      <w:r w:rsidRPr="006F451D">
        <w:rPr>
          <w:sz w:val="20"/>
          <w:szCs w:val="20"/>
        </w:rPr>
        <w:t>equilibrada</w:t>
      </w:r>
      <w:r>
        <w:rPr>
          <w:sz w:val="20"/>
          <w:szCs w:val="20"/>
        </w:rPr>
        <w:t>;</w:t>
      </w:r>
    </w:p>
    <w:p w14:paraId="12D64496" w14:textId="76BB528D" w:rsidR="00B76E04" w:rsidRPr="006F451D" w:rsidRDefault="00B76E04" w:rsidP="004C246C">
      <w:pPr>
        <w:pStyle w:val="Prrafodelista"/>
        <w:numPr>
          <w:ilvl w:val="0"/>
          <w:numId w:val="22"/>
        </w:numPr>
        <w:spacing w:line="360" w:lineRule="auto"/>
        <w:ind w:left="709" w:hanging="283"/>
        <w:jc w:val="both"/>
        <w:rPr>
          <w:sz w:val="20"/>
          <w:szCs w:val="20"/>
        </w:rPr>
      </w:pPr>
      <w:r w:rsidRPr="006F451D">
        <w:rPr>
          <w:sz w:val="20"/>
          <w:szCs w:val="20"/>
        </w:rPr>
        <w:t xml:space="preserve">Incluir recursos estatales específicos para la atención a </w:t>
      </w:r>
      <w:r w:rsidR="007B2196">
        <w:rPr>
          <w:sz w:val="20"/>
          <w:szCs w:val="20"/>
        </w:rPr>
        <w:t>NNA</w:t>
      </w:r>
      <w:r w:rsidR="002E0576">
        <w:rPr>
          <w:sz w:val="20"/>
          <w:szCs w:val="20"/>
        </w:rPr>
        <w:t xml:space="preserve"> </w:t>
      </w:r>
      <w:r>
        <w:rPr>
          <w:sz w:val="20"/>
          <w:szCs w:val="20"/>
        </w:rPr>
        <w:t>a través del</w:t>
      </w:r>
      <w:r w:rsidRPr="006F451D">
        <w:rPr>
          <w:sz w:val="20"/>
          <w:szCs w:val="20"/>
        </w:rPr>
        <w:t xml:space="preserve"> Albergue</w:t>
      </w:r>
      <w:r>
        <w:rPr>
          <w:sz w:val="20"/>
          <w:szCs w:val="20"/>
        </w:rPr>
        <w:t xml:space="preserve"> temporal del </w:t>
      </w:r>
      <w:r w:rsidRPr="006F451D">
        <w:rPr>
          <w:sz w:val="20"/>
          <w:szCs w:val="20"/>
        </w:rPr>
        <w:t>DIF para la Niñez Migrante No Acompañada y Migrante Acompañada</w:t>
      </w:r>
      <w:r>
        <w:rPr>
          <w:sz w:val="20"/>
          <w:szCs w:val="20"/>
        </w:rPr>
        <w:t>;</w:t>
      </w:r>
    </w:p>
    <w:p w14:paraId="4111E364" w14:textId="3A991FD3" w:rsidR="00B76E04" w:rsidRPr="00D025E7" w:rsidRDefault="00B76E04" w:rsidP="004C246C">
      <w:pPr>
        <w:pStyle w:val="Prrafodelista"/>
        <w:numPr>
          <w:ilvl w:val="0"/>
          <w:numId w:val="22"/>
        </w:numPr>
        <w:spacing w:line="360" w:lineRule="auto"/>
        <w:ind w:left="709" w:hanging="283"/>
        <w:jc w:val="both"/>
        <w:rPr>
          <w:sz w:val="20"/>
          <w:szCs w:val="20"/>
        </w:rPr>
      </w:pPr>
      <w:r w:rsidRPr="00D025E7">
        <w:rPr>
          <w:sz w:val="20"/>
          <w:szCs w:val="20"/>
        </w:rPr>
        <w:t>Incluir</w:t>
      </w:r>
      <w:r w:rsidRPr="00D025E7">
        <w:rPr>
          <w:spacing w:val="-10"/>
          <w:sz w:val="20"/>
          <w:szCs w:val="20"/>
        </w:rPr>
        <w:t xml:space="preserve"> </w:t>
      </w:r>
      <w:r w:rsidRPr="00D025E7">
        <w:rPr>
          <w:sz w:val="20"/>
          <w:szCs w:val="20"/>
        </w:rPr>
        <w:t>recursos</w:t>
      </w:r>
      <w:r w:rsidRPr="00D025E7">
        <w:rPr>
          <w:spacing w:val="-11"/>
          <w:sz w:val="20"/>
          <w:szCs w:val="20"/>
        </w:rPr>
        <w:t xml:space="preserve"> </w:t>
      </w:r>
      <w:r w:rsidRPr="00D025E7">
        <w:rPr>
          <w:sz w:val="20"/>
          <w:szCs w:val="20"/>
        </w:rPr>
        <w:t>para</w:t>
      </w:r>
      <w:r w:rsidRPr="00D025E7">
        <w:rPr>
          <w:spacing w:val="-10"/>
          <w:sz w:val="20"/>
          <w:szCs w:val="20"/>
        </w:rPr>
        <w:t xml:space="preserve"> </w:t>
      </w:r>
      <w:r w:rsidRPr="00D025E7">
        <w:rPr>
          <w:sz w:val="20"/>
          <w:szCs w:val="20"/>
        </w:rPr>
        <w:t>impulsar</w:t>
      </w:r>
      <w:r w:rsidRPr="00D025E7">
        <w:rPr>
          <w:spacing w:val="-7"/>
          <w:sz w:val="20"/>
          <w:szCs w:val="20"/>
        </w:rPr>
        <w:t xml:space="preserve"> </w:t>
      </w:r>
      <w:r w:rsidRPr="00D025E7">
        <w:rPr>
          <w:sz w:val="20"/>
          <w:szCs w:val="20"/>
        </w:rPr>
        <w:t>la</w:t>
      </w:r>
      <w:r w:rsidRPr="00D025E7">
        <w:rPr>
          <w:spacing w:val="-10"/>
          <w:sz w:val="20"/>
          <w:szCs w:val="20"/>
        </w:rPr>
        <w:t xml:space="preserve"> </w:t>
      </w:r>
      <w:r w:rsidRPr="00D025E7">
        <w:rPr>
          <w:sz w:val="20"/>
          <w:szCs w:val="20"/>
        </w:rPr>
        <w:t>igualdad</w:t>
      </w:r>
      <w:r w:rsidRPr="00D025E7">
        <w:rPr>
          <w:spacing w:val="-9"/>
          <w:sz w:val="20"/>
          <w:szCs w:val="20"/>
        </w:rPr>
        <w:t xml:space="preserve"> </w:t>
      </w:r>
      <w:r w:rsidRPr="00D025E7">
        <w:rPr>
          <w:sz w:val="20"/>
          <w:szCs w:val="20"/>
        </w:rPr>
        <w:t>de</w:t>
      </w:r>
      <w:r w:rsidRPr="00D025E7">
        <w:rPr>
          <w:spacing w:val="-10"/>
          <w:sz w:val="20"/>
          <w:szCs w:val="20"/>
        </w:rPr>
        <w:t xml:space="preserve"> </w:t>
      </w:r>
      <w:r w:rsidRPr="00D025E7">
        <w:rPr>
          <w:sz w:val="20"/>
          <w:szCs w:val="20"/>
        </w:rPr>
        <w:t>oportunidades</w:t>
      </w:r>
      <w:r w:rsidRPr="00D025E7">
        <w:rPr>
          <w:spacing w:val="-11"/>
          <w:sz w:val="20"/>
          <w:szCs w:val="20"/>
        </w:rPr>
        <w:t xml:space="preserve"> </w:t>
      </w:r>
      <w:r w:rsidRPr="00D025E7">
        <w:rPr>
          <w:sz w:val="20"/>
          <w:szCs w:val="20"/>
        </w:rPr>
        <w:t>entre</w:t>
      </w:r>
      <w:r w:rsidRPr="00D025E7">
        <w:rPr>
          <w:spacing w:val="-7"/>
          <w:sz w:val="20"/>
          <w:szCs w:val="20"/>
        </w:rPr>
        <w:t xml:space="preserve"> </w:t>
      </w:r>
      <w:r w:rsidRPr="00D025E7">
        <w:rPr>
          <w:sz w:val="20"/>
          <w:szCs w:val="20"/>
        </w:rPr>
        <w:t>mujeres</w:t>
      </w:r>
      <w:r w:rsidRPr="00D025E7">
        <w:rPr>
          <w:spacing w:val="-8"/>
          <w:sz w:val="20"/>
          <w:szCs w:val="20"/>
        </w:rPr>
        <w:t xml:space="preserve"> </w:t>
      </w:r>
      <w:r w:rsidRPr="00D025E7">
        <w:rPr>
          <w:sz w:val="20"/>
          <w:szCs w:val="20"/>
        </w:rPr>
        <w:t>y</w:t>
      </w:r>
      <w:r w:rsidRPr="00D025E7">
        <w:rPr>
          <w:spacing w:val="-13"/>
          <w:sz w:val="20"/>
          <w:szCs w:val="20"/>
        </w:rPr>
        <w:t xml:space="preserve"> </w:t>
      </w:r>
      <w:r w:rsidRPr="00D025E7">
        <w:rPr>
          <w:sz w:val="20"/>
          <w:szCs w:val="20"/>
        </w:rPr>
        <w:t>hombres,</w:t>
      </w:r>
      <w:r w:rsidRPr="00D025E7">
        <w:rPr>
          <w:spacing w:val="-10"/>
          <w:sz w:val="20"/>
          <w:szCs w:val="20"/>
        </w:rPr>
        <w:t xml:space="preserve"> </w:t>
      </w:r>
      <w:r w:rsidRPr="00D025E7">
        <w:rPr>
          <w:sz w:val="20"/>
          <w:szCs w:val="20"/>
        </w:rPr>
        <w:t>a</w:t>
      </w:r>
      <w:r w:rsidRPr="00D025E7">
        <w:rPr>
          <w:spacing w:val="-10"/>
          <w:sz w:val="20"/>
          <w:szCs w:val="20"/>
        </w:rPr>
        <w:t xml:space="preserve"> </w:t>
      </w:r>
      <w:r w:rsidRPr="00D025E7">
        <w:rPr>
          <w:sz w:val="20"/>
          <w:szCs w:val="20"/>
        </w:rPr>
        <w:t>través</w:t>
      </w:r>
      <w:r w:rsidRPr="00D025E7">
        <w:rPr>
          <w:spacing w:val="-11"/>
          <w:sz w:val="20"/>
          <w:szCs w:val="20"/>
        </w:rPr>
        <w:t xml:space="preserve"> </w:t>
      </w:r>
      <w:r w:rsidRPr="00D025E7">
        <w:rPr>
          <w:sz w:val="20"/>
          <w:szCs w:val="20"/>
        </w:rPr>
        <w:t>de</w:t>
      </w:r>
      <w:r w:rsidRPr="00D025E7">
        <w:rPr>
          <w:spacing w:val="-10"/>
          <w:sz w:val="20"/>
          <w:szCs w:val="20"/>
        </w:rPr>
        <w:t xml:space="preserve"> </w:t>
      </w:r>
      <w:r w:rsidRPr="00D025E7">
        <w:rPr>
          <w:sz w:val="20"/>
          <w:szCs w:val="20"/>
        </w:rPr>
        <w:t>la</w:t>
      </w:r>
      <w:r w:rsidRPr="00D025E7">
        <w:rPr>
          <w:spacing w:val="-10"/>
          <w:sz w:val="20"/>
          <w:szCs w:val="20"/>
        </w:rPr>
        <w:t xml:space="preserve"> </w:t>
      </w:r>
      <w:r w:rsidRPr="00D025E7">
        <w:rPr>
          <w:sz w:val="20"/>
          <w:szCs w:val="20"/>
        </w:rPr>
        <w:t>incorporación de</w:t>
      </w:r>
      <w:r w:rsidRPr="00D025E7">
        <w:rPr>
          <w:spacing w:val="-6"/>
          <w:sz w:val="20"/>
          <w:szCs w:val="20"/>
        </w:rPr>
        <w:t xml:space="preserve"> </w:t>
      </w:r>
      <w:r w:rsidRPr="00D025E7">
        <w:rPr>
          <w:sz w:val="20"/>
          <w:szCs w:val="20"/>
        </w:rPr>
        <w:t>la</w:t>
      </w:r>
      <w:r w:rsidRPr="00D025E7">
        <w:rPr>
          <w:spacing w:val="-7"/>
          <w:sz w:val="20"/>
          <w:szCs w:val="20"/>
        </w:rPr>
        <w:t xml:space="preserve"> </w:t>
      </w:r>
      <w:r w:rsidRPr="00D025E7">
        <w:rPr>
          <w:sz w:val="20"/>
          <w:szCs w:val="20"/>
        </w:rPr>
        <w:t>perspectiva</w:t>
      </w:r>
      <w:r w:rsidRPr="00D025E7">
        <w:rPr>
          <w:spacing w:val="-6"/>
          <w:sz w:val="20"/>
          <w:szCs w:val="20"/>
        </w:rPr>
        <w:t xml:space="preserve"> </w:t>
      </w:r>
      <w:r w:rsidRPr="00D025E7">
        <w:rPr>
          <w:sz w:val="20"/>
          <w:szCs w:val="20"/>
        </w:rPr>
        <w:t>de</w:t>
      </w:r>
      <w:r w:rsidRPr="00D025E7">
        <w:rPr>
          <w:spacing w:val="-4"/>
          <w:sz w:val="20"/>
          <w:szCs w:val="20"/>
        </w:rPr>
        <w:t xml:space="preserve"> </w:t>
      </w:r>
      <w:r w:rsidRPr="00D025E7">
        <w:rPr>
          <w:sz w:val="20"/>
          <w:szCs w:val="20"/>
        </w:rPr>
        <w:t>género</w:t>
      </w:r>
      <w:r w:rsidRPr="00D025E7">
        <w:rPr>
          <w:spacing w:val="-6"/>
          <w:sz w:val="20"/>
          <w:szCs w:val="20"/>
        </w:rPr>
        <w:t xml:space="preserve"> </w:t>
      </w:r>
      <w:r w:rsidRPr="00D025E7">
        <w:rPr>
          <w:sz w:val="20"/>
          <w:szCs w:val="20"/>
        </w:rPr>
        <w:t>en</w:t>
      </w:r>
      <w:r w:rsidRPr="00D025E7">
        <w:rPr>
          <w:spacing w:val="-5"/>
          <w:sz w:val="20"/>
          <w:szCs w:val="20"/>
        </w:rPr>
        <w:t xml:space="preserve"> </w:t>
      </w:r>
      <w:r w:rsidRPr="00D025E7">
        <w:rPr>
          <w:sz w:val="20"/>
          <w:szCs w:val="20"/>
        </w:rPr>
        <w:t>el</w:t>
      </w:r>
      <w:r w:rsidRPr="00D025E7">
        <w:rPr>
          <w:spacing w:val="-7"/>
          <w:sz w:val="20"/>
          <w:szCs w:val="20"/>
        </w:rPr>
        <w:t xml:space="preserve"> </w:t>
      </w:r>
      <w:r w:rsidRPr="00D025E7">
        <w:rPr>
          <w:sz w:val="20"/>
          <w:szCs w:val="20"/>
        </w:rPr>
        <w:t>diseño,</w:t>
      </w:r>
      <w:r w:rsidRPr="00D025E7">
        <w:rPr>
          <w:spacing w:val="-6"/>
          <w:sz w:val="20"/>
          <w:szCs w:val="20"/>
        </w:rPr>
        <w:t xml:space="preserve"> </w:t>
      </w:r>
      <w:r w:rsidRPr="00D025E7">
        <w:rPr>
          <w:sz w:val="20"/>
          <w:szCs w:val="20"/>
        </w:rPr>
        <w:t>elaboración</w:t>
      </w:r>
      <w:r w:rsidRPr="00D025E7">
        <w:rPr>
          <w:spacing w:val="-6"/>
          <w:sz w:val="20"/>
          <w:szCs w:val="20"/>
        </w:rPr>
        <w:t xml:space="preserve"> </w:t>
      </w:r>
      <w:r w:rsidRPr="00D025E7">
        <w:rPr>
          <w:sz w:val="20"/>
          <w:szCs w:val="20"/>
        </w:rPr>
        <w:t>y</w:t>
      </w:r>
      <w:r w:rsidRPr="00D025E7">
        <w:rPr>
          <w:spacing w:val="-8"/>
          <w:sz w:val="20"/>
          <w:szCs w:val="20"/>
        </w:rPr>
        <w:t xml:space="preserve"> </w:t>
      </w:r>
      <w:r w:rsidRPr="00D025E7">
        <w:rPr>
          <w:sz w:val="20"/>
          <w:szCs w:val="20"/>
        </w:rPr>
        <w:t>aplicación</w:t>
      </w:r>
      <w:r w:rsidRPr="00D025E7">
        <w:rPr>
          <w:spacing w:val="-8"/>
          <w:sz w:val="20"/>
          <w:szCs w:val="20"/>
        </w:rPr>
        <w:t xml:space="preserve"> </w:t>
      </w:r>
      <w:r w:rsidRPr="00D025E7">
        <w:rPr>
          <w:sz w:val="20"/>
          <w:szCs w:val="20"/>
        </w:rPr>
        <w:t>de</w:t>
      </w:r>
      <w:r w:rsidRPr="00D025E7">
        <w:rPr>
          <w:spacing w:val="-6"/>
          <w:sz w:val="20"/>
          <w:szCs w:val="20"/>
        </w:rPr>
        <w:t xml:space="preserve"> </w:t>
      </w:r>
      <w:r w:rsidRPr="00D025E7">
        <w:rPr>
          <w:sz w:val="20"/>
          <w:szCs w:val="20"/>
        </w:rPr>
        <w:t>los</w:t>
      </w:r>
      <w:r w:rsidRPr="00D025E7">
        <w:rPr>
          <w:spacing w:val="-7"/>
          <w:sz w:val="20"/>
          <w:szCs w:val="20"/>
        </w:rPr>
        <w:t xml:space="preserve"> </w:t>
      </w:r>
      <w:r w:rsidRPr="00D025E7">
        <w:rPr>
          <w:sz w:val="20"/>
          <w:szCs w:val="20"/>
        </w:rPr>
        <w:t>programas</w:t>
      </w:r>
      <w:r w:rsidRPr="00D025E7">
        <w:rPr>
          <w:spacing w:val="-7"/>
          <w:sz w:val="20"/>
          <w:szCs w:val="20"/>
        </w:rPr>
        <w:t xml:space="preserve"> </w:t>
      </w:r>
      <w:r w:rsidRPr="00D025E7">
        <w:rPr>
          <w:sz w:val="20"/>
          <w:szCs w:val="20"/>
        </w:rPr>
        <w:t>de</w:t>
      </w:r>
      <w:r w:rsidRPr="00D025E7">
        <w:rPr>
          <w:spacing w:val="-4"/>
          <w:sz w:val="20"/>
          <w:szCs w:val="20"/>
        </w:rPr>
        <w:t xml:space="preserve"> </w:t>
      </w:r>
      <w:r w:rsidRPr="00D025E7">
        <w:rPr>
          <w:sz w:val="20"/>
          <w:szCs w:val="20"/>
        </w:rPr>
        <w:t>la</w:t>
      </w:r>
      <w:r w:rsidRPr="00D025E7">
        <w:rPr>
          <w:spacing w:val="-4"/>
          <w:sz w:val="20"/>
          <w:szCs w:val="20"/>
        </w:rPr>
        <w:t xml:space="preserve"> </w:t>
      </w:r>
      <w:r w:rsidRPr="00D025E7">
        <w:rPr>
          <w:sz w:val="20"/>
          <w:szCs w:val="20"/>
        </w:rPr>
        <w:t>Administración</w:t>
      </w:r>
      <w:r w:rsidRPr="00D025E7">
        <w:rPr>
          <w:spacing w:val="-6"/>
          <w:sz w:val="20"/>
          <w:szCs w:val="20"/>
        </w:rPr>
        <w:t xml:space="preserve"> </w:t>
      </w:r>
      <w:r w:rsidRPr="00D025E7">
        <w:rPr>
          <w:sz w:val="20"/>
          <w:szCs w:val="20"/>
        </w:rPr>
        <w:t>Pública Estatal</w:t>
      </w:r>
      <w:r w:rsidR="002E0576">
        <w:rPr>
          <w:sz w:val="20"/>
          <w:szCs w:val="20"/>
        </w:rPr>
        <w:t>,</w:t>
      </w:r>
      <w:r w:rsidRPr="00D025E7">
        <w:rPr>
          <w:sz w:val="20"/>
          <w:szCs w:val="20"/>
        </w:rPr>
        <w:t xml:space="preserve"> </w:t>
      </w:r>
      <w:r w:rsidR="007B2196">
        <w:rPr>
          <w:sz w:val="20"/>
          <w:szCs w:val="20"/>
        </w:rPr>
        <w:t>y</w:t>
      </w:r>
    </w:p>
    <w:p w14:paraId="664D564E" w14:textId="77777777" w:rsidR="00B76E04" w:rsidRPr="00D025E7" w:rsidRDefault="00B76E04" w:rsidP="004C246C">
      <w:pPr>
        <w:pStyle w:val="Prrafodelista"/>
        <w:numPr>
          <w:ilvl w:val="0"/>
          <w:numId w:val="22"/>
        </w:numPr>
        <w:spacing w:line="360" w:lineRule="auto"/>
        <w:ind w:left="709" w:hanging="283"/>
        <w:jc w:val="both"/>
        <w:rPr>
          <w:sz w:val="20"/>
          <w:szCs w:val="20"/>
        </w:rPr>
      </w:pPr>
      <w:r w:rsidRPr="00D025E7">
        <w:rPr>
          <w:sz w:val="20"/>
          <w:szCs w:val="20"/>
        </w:rPr>
        <w:t>Incluir recursos para la atención en el cumplimiento de las recomendaciones de la Alerta de Violencia de Género.</w:t>
      </w:r>
    </w:p>
    <w:p w14:paraId="6F7AD44C" w14:textId="77777777" w:rsidR="00B76E04" w:rsidRDefault="00B76E04" w:rsidP="004C246C">
      <w:pPr>
        <w:spacing w:line="360" w:lineRule="auto"/>
        <w:jc w:val="both"/>
        <w:rPr>
          <w:b/>
          <w:sz w:val="20"/>
          <w:szCs w:val="20"/>
        </w:rPr>
      </w:pPr>
    </w:p>
    <w:p w14:paraId="197EB5D2" w14:textId="5B499CD6" w:rsidR="009C37B3" w:rsidRPr="00FD1A45" w:rsidRDefault="00FD1A45" w:rsidP="004C246C">
      <w:pPr>
        <w:spacing w:line="360" w:lineRule="auto"/>
        <w:jc w:val="both"/>
        <w:rPr>
          <w:b/>
          <w:sz w:val="20"/>
          <w:szCs w:val="20"/>
        </w:rPr>
      </w:pPr>
      <w:r w:rsidRPr="00FD1A45">
        <w:rPr>
          <w:b/>
          <w:sz w:val="20"/>
          <w:szCs w:val="20"/>
        </w:rPr>
        <w:t xml:space="preserve">III.10. </w:t>
      </w:r>
      <w:r w:rsidR="009C37B3" w:rsidRPr="00FD1A45">
        <w:rPr>
          <w:b/>
          <w:sz w:val="20"/>
          <w:szCs w:val="20"/>
        </w:rPr>
        <w:t>PROYECTO DE DECRETO DE PRESUPUESTO DE EGRESOS DEL ESTADO DE TLAXCALA PARA EL EJERCICIO FISCAL 202</w:t>
      </w:r>
      <w:r w:rsidR="00B76E04" w:rsidRPr="00FD1A45">
        <w:rPr>
          <w:b/>
          <w:sz w:val="20"/>
          <w:szCs w:val="20"/>
        </w:rPr>
        <w:t>6</w:t>
      </w:r>
    </w:p>
    <w:p w14:paraId="351326F7" w14:textId="77777777" w:rsidR="004B3C0F" w:rsidRDefault="004B3C0F" w:rsidP="004C246C">
      <w:pPr>
        <w:spacing w:line="360" w:lineRule="auto"/>
        <w:jc w:val="both"/>
        <w:rPr>
          <w:sz w:val="20"/>
          <w:szCs w:val="20"/>
        </w:rPr>
      </w:pPr>
    </w:p>
    <w:p w14:paraId="62FF87B7" w14:textId="2C434383" w:rsidR="00B76E04" w:rsidRPr="009962A5" w:rsidRDefault="00B76E04" w:rsidP="004C246C">
      <w:pPr>
        <w:spacing w:line="360" w:lineRule="auto"/>
        <w:jc w:val="both"/>
        <w:rPr>
          <w:sz w:val="20"/>
          <w:szCs w:val="20"/>
        </w:rPr>
      </w:pPr>
      <w:r w:rsidRPr="009962A5">
        <w:rPr>
          <w:sz w:val="20"/>
          <w:szCs w:val="20"/>
        </w:rPr>
        <w:t>Se propone a esta Legislatura un Proyecto de Decreto de Presupuesto de Egresos del Estado de Tlaxcala</w:t>
      </w:r>
      <w:r w:rsidR="002E0576">
        <w:rPr>
          <w:sz w:val="20"/>
          <w:szCs w:val="20"/>
        </w:rPr>
        <w:t>,</w:t>
      </w:r>
      <w:r w:rsidRPr="009962A5">
        <w:rPr>
          <w:sz w:val="20"/>
          <w:szCs w:val="20"/>
        </w:rPr>
        <w:t xml:space="preserve"> para el Ejercicio Fiscal 2026, por un monto de $</w:t>
      </w:r>
      <w:r w:rsidRPr="009962A5">
        <w:rPr>
          <w:b/>
          <w:sz w:val="20"/>
          <w:szCs w:val="20"/>
        </w:rPr>
        <w:t>30,086,079,028.00</w:t>
      </w:r>
      <w:r w:rsidRPr="009962A5">
        <w:rPr>
          <w:sz w:val="20"/>
          <w:szCs w:val="20"/>
        </w:rPr>
        <w:t xml:space="preserve">, que serán destinados para atender las funciones de los Poderes Legislativo, Judicial y Ejecutivo, así como para los Organismos Públicos Descentralizados, Órganos Autónomos y Municipios, con el propósito de que se cumpla con las demandas de la población y garantice la viabilidad, equilibrio y sustentabilidad financiera de la hacienda pública, conforme </w:t>
      </w:r>
      <w:r w:rsidR="002E0576">
        <w:rPr>
          <w:sz w:val="20"/>
          <w:szCs w:val="20"/>
        </w:rPr>
        <w:t xml:space="preserve">a </w:t>
      </w:r>
      <w:r w:rsidRPr="009962A5">
        <w:rPr>
          <w:sz w:val="20"/>
          <w:szCs w:val="20"/>
        </w:rPr>
        <w:t>lo siguiente:</w:t>
      </w:r>
    </w:p>
    <w:p w14:paraId="00066508" w14:textId="77777777" w:rsidR="00B76E04" w:rsidRPr="009962A5" w:rsidRDefault="00B76E04" w:rsidP="004C246C">
      <w:pPr>
        <w:spacing w:line="360" w:lineRule="auto"/>
        <w:jc w:val="both"/>
        <w:rPr>
          <w:sz w:val="20"/>
          <w:szCs w:val="20"/>
        </w:rPr>
      </w:pPr>
    </w:p>
    <w:p w14:paraId="105E8674" w14:textId="77777777" w:rsidR="00B76E04" w:rsidRPr="009962A5" w:rsidRDefault="00B76E04" w:rsidP="004C246C">
      <w:pPr>
        <w:pStyle w:val="Prrafodelista"/>
        <w:numPr>
          <w:ilvl w:val="0"/>
          <w:numId w:val="12"/>
        </w:numPr>
        <w:spacing w:line="360" w:lineRule="auto"/>
        <w:ind w:left="426" w:hanging="426"/>
        <w:jc w:val="both"/>
        <w:rPr>
          <w:sz w:val="20"/>
          <w:szCs w:val="20"/>
        </w:rPr>
      </w:pPr>
      <w:r w:rsidRPr="009962A5">
        <w:rPr>
          <w:sz w:val="20"/>
          <w:szCs w:val="20"/>
        </w:rPr>
        <w:t>El presupuesto global estatal para el Ejercicio Fiscal 2026, integrado por participaciones federales, incentivos derivados de la colaboración fiscal e ingresos propios, estima un monto de $16,344,336,784.00</w:t>
      </w:r>
      <w:r w:rsidRPr="009962A5">
        <w:rPr>
          <w:color w:val="000000" w:themeColor="text1"/>
          <w:sz w:val="20"/>
          <w:szCs w:val="20"/>
        </w:rPr>
        <w:t xml:space="preserve">; </w:t>
      </w:r>
    </w:p>
    <w:p w14:paraId="1558B981" w14:textId="77777777" w:rsidR="00B76E04" w:rsidRPr="009962A5" w:rsidRDefault="00B76E04" w:rsidP="004C246C">
      <w:pPr>
        <w:spacing w:line="360" w:lineRule="auto"/>
        <w:ind w:left="426" w:hanging="426"/>
        <w:jc w:val="both"/>
        <w:rPr>
          <w:sz w:val="20"/>
          <w:szCs w:val="20"/>
        </w:rPr>
      </w:pPr>
    </w:p>
    <w:p w14:paraId="07D15530" w14:textId="77777777" w:rsidR="00B76E04" w:rsidRDefault="00B76E04" w:rsidP="004C246C">
      <w:pPr>
        <w:pStyle w:val="Prrafodelista"/>
        <w:numPr>
          <w:ilvl w:val="0"/>
          <w:numId w:val="12"/>
        </w:numPr>
        <w:spacing w:line="360" w:lineRule="auto"/>
        <w:ind w:left="426" w:hanging="426"/>
        <w:jc w:val="both"/>
        <w:rPr>
          <w:sz w:val="20"/>
          <w:szCs w:val="20"/>
        </w:rPr>
      </w:pPr>
      <w:r w:rsidRPr="009962A5">
        <w:rPr>
          <w:sz w:val="20"/>
          <w:szCs w:val="20"/>
        </w:rPr>
        <w:t>Las Aportaciones Federales, del Ramo 33, previstas en el Proyecto de Decreto de Presupuesto de Egresos del Estado de Tlaxcala para el Ejercicio Fiscal 2026, prevén un monto de $13,741,742,244.00, ajustándose en los montos estimados en el Presupuesto de Egresos de la Federación para el Ejercicio Fiscal 2026, destinados fundamentalmente a programas de educación, salud, seguridad, infraestructura social, asistencia social y fondos municipales.</w:t>
      </w:r>
    </w:p>
    <w:p w14:paraId="568245C5" w14:textId="77777777" w:rsidR="005838DD" w:rsidRPr="005838DD" w:rsidRDefault="005838DD" w:rsidP="005838DD">
      <w:pPr>
        <w:pStyle w:val="Prrafodelista"/>
        <w:rPr>
          <w:sz w:val="20"/>
          <w:szCs w:val="20"/>
        </w:rPr>
      </w:pPr>
    </w:p>
    <w:p w14:paraId="1EB66660" w14:textId="77777777" w:rsidR="005838DD" w:rsidRPr="009962A5" w:rsidRDefault="005838DD" w:rsidP="005838DD">
      <w:pPr>
        <w:pStyle w:val="Prrafodelista"/>
        <w:spacing w:line="360" w:lineRule="auto"/>
        <w:ind w:left="426"/>
        <w:jc w:val="both"/>
        <w:rPr>
          <w:sz w:val="20"/>
          <w:szCs w:val="20"/>
        </w:rPr>
      </w:pPr>
    </w:p>
    <w:p w14:paraId="60F56734" w14:textId="77777777" w:rsidR="005B2A50" w:rsidRDefault="005B2A50" w:rsidP="004C246C">
      <w:pPr>
        <w:pStyle w:val="Prrafodelista"/>
        <w:spacing w:line="360" w:lineRule="auto"/>
        <w:ind w:left="0"/>
        <w:rPr>
          <w:sz w:val="20"/>
          <w:szCs w:val="20"/>
        </w:rPr>
      </w:pPr>
    </w:p>
    <w:p w14:paraId="202C45F1" w14:textId="77777777" w:rsidR="005B2A50" w:rsidRPr="009962A5" w:rsidRDefault="005B2A50" w:rsidP="004C246C">
      <w:pPr>
        <w:spacing w:line="360" w:lineRule="auto"/>
        <w:jc w:val="center"/>
        <w:rPr>
          <w:b/>
          <w:sz w:val="20"/>
          <w:szCs w:val="20"/>
        </w:rPr>
      </w:pPr>
      <w:r w:rsidRPr="009962A5">
        <w:rPr>
          <w:b/>
          <w:sz w:val="20"/>
          <w:szCs w:val="20"/>
        </w:rPr>
        <w:t>PRESUPUESTO POR FUENTE DE FINANCIAMIENTO</w:t>
      </w:r>
    </w:p>
    <w:p w14:paraId="5D83FA9A" w14:textId="58E0375D" w:rsidR="005B2A50" w:rsidRPr="009962A5" w:rsidRDefault="005B2A50" w:rsidP="004C246C">
      <w:pPr>
        <w:spacing w:line="360" w:lineRule="auto"/>
        <w:jc w:val="both"/>
        <w:rPr>
          <w:sz w:val="20"/>
          <w:szCs w:val="20"/>
        </w:rPr>
      </w:pPr>
    </w:p>
    <w:p w14:paraId="480B57E8" w14:textId="77777777" w:rsidR="00B76E04" w:rsidRPr="009962A5" w:rsidRDefault="00B76E04" w:rsidP="004C246C">
      <w:pPr>
        <w:spacing w:line="360" w:lineRule="auto"/>
        <w:jc w:val="both"/>
        <w:rPr>
          <w:sz w:val="20"/>
          <w:szCs w:val="20"/>
        </w:rPr>
      </w:pPr>
      <w:r w:rsidRPr="009962A5">
        <w:rPr>
          <w:sz w:val="20"/>
          <w:szCs w:val="20"/>
        </w:rPr>
        <w:t xml:space="preserve">La clasificación por fuentes de financiamiento consiste en presentar los gastos públicos según los agregados genéricos de los recursos empleados para su financiamiento. </w:t>
      </w:r>
    </w:p>
    <w:p w14:paraId="763849D4" w14:textId="77777777" w:rsidR="00B76E04" w:rsidRPr="009962A5" w:rsidRDefault="00B76E04" w:rsidP="004C246C">
      <w:pPr>
        <w:spacing w:line="360" w:lineRule="auto"/>
        <w:jc w:val="both"/>
        <w:rPr>
          <w:sz w:val="20"/>
          <w:szCs w:val="20"/>
        </w:rPr>
      </w:pPr>
    </w:p>
    <w:p w14:paraId="68752F17" w14:textId="77777777" w:rsidR="00B76E04" w:rsidRPr="009962A5" w:rsidRDefault="00B76E04" w:rsidP="004C246C">
      <w:pPr>
        <w:spacing w:line="360" w:lineRule="auto"/>
        <w:jc w:val="both"/>
        <w:rPr>
          <w:sz w:val="20"/>
          <w:szCs w:val="20"/>
        </w:rPr>
      </w:pPr>
      <w:r w:rsidRPr="009962A5">
        <w:rPr>
          <w:sz w:val="20"/>
          <w:szCs w:val="20"/>
        </w:rPr>
        <w:t xml:space="preserve">Esta clasificación permite identificar las fuentes u orígenes de los ingresos que financian los egresos y precisar la orientación específica de cada fuente a efecto de controlar su aplicación. </w:t>
      </w:r>
    </w:p>
    <w:p w14:paraId="729C86E7" w14:textId="77777777" w:rsidR="00B76E04" w:rsidRPr="009962A5" w:rsidRDefault="00B76E04" w:rsidP="004C246C">
      <w:pPr>
        <w:spacing w:line="360" w:lineRule="auto"/>
        <w:jc w:val="both"/>
        <w:rPr>
          <w:sz w:val="20"/>
          <w:szCs w:val="20"/>
        </w:rPr>
      </w:pPr>
    </w:p>
    <w:p w14:paraId="79F04E4A" w14:textId="77777777" w:rsidR="00B76E04" w:rsidRDefault="00B76E04" w:rsidP="004C246C">
      <w:pPr>
        <w:spacing w:line="360" w:lineRule="auto"/>
        <w:jc w:val="both"/>
        <w:rPr>
          <w:sz w:val="20"/>
          <w:szCs w:val="20"/>
        </w:rPr>
      </w:pPr>
      <w:r w:rsidRPr="009962A5">
        <w:rPr>
          <w:sz w:val="20"/>
          <w:szCs w:val="20"/>
        </w:rPr>
        <w:t>A continuación, se presenta la información correspondiente a esta Clasificación que prevé el Estado para el Ejercicio Fiscal 2026</w:t>
      </w:r>
      <w:r>
        <w:rPr>
          <w:sz w:val="20"/>
          <w:szCs w:val="20"/>
        </w:rPr>
        <w:t>:</w:t>
      </w:r>
    </w:p>
    <w:p w14:paraId="1ED36913" w14:textId="77777777" w:rsidR="00FD1A45" w:rsidRDefault="00FD1A45" w:rsidP="004C246C">
      <w:pPr>
        <w:spacing w:line="360" w:lineRule="auto"/>
        <w:jc w:val="both"/>
        <w:rPr>
          <w:sz w:val="20"/>
          <w:szCs w:val="20"/>
        </w:rPr>
      </w:pPr>
    </w:p>
    <w:tbl>
      <w:tblPr>
        <w:tblW w:w="495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20"/>
        <w:gridCol w:w="1837"/>
      </w:tblGrid>
      <w:tr w:rsidR="00B76E04" w14:paraId="0BAD1632" w14:textId="77777777" w:rsidTr="00A7274D">
        <w:trPr>
          <w:trHeight w:val="300"/>
          <w:tblHeader/>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5FCE331E" w14:textId="77777777" w:rsidR="00B76E04" w:rsidRDefault="00B76E04" w:rsidP="004C246C">
            <w:pPr>
              <w:spacing w:line="360" w:lineRule="auto"/>
              <w:jc w:val="center"/>
              <w:rPr>
                <w:b/>
                <w:bCs/>
                <w:color w:val="000000"/>
                <w:sz w:val="20"/>
                <w:szCs w:val="20"/>
                <w:lang w:val="es-MX" w:eastAsia="es-MX"/>
              </w:rPr>
            </w:pPr>
            <w:r>
              <w:rPr>
                <w:b/>
                <w:bCs/>
                <w:color w:val="000000"/>
                <w:sz w:val="20"/>
                <w:szCs w:val="20"/>
                <w:lang w:val="es-MX" w:eastAsia="es-MX"/>
              </w:rPr>
              <w:t>FUENTE DE FINANCIAMIENTO</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048BE5F6" w14:textId="77777777" w:rsidR="00B76E04" w:rsidRDefault="00B76E04" w:rsidP="004C246C">
            <w:pPr>
              <w:spacing w:line="360" w:lineRule="auto"/>
              <w:jc w:val="center"/>
              <w:rPr>
                <w:b/>
                <w:bCs/>
                <w:color w:val="000000"/>
                <w:sz w:val="20"/>
                <w:szCs w:val="20"/>
                <w:lang w:val="es-MX" w:eastAsia="es-MX"/>
              </w:rPr>
            </w:pPr>
            <w:r>
              <w:rPr>
                <w:b/>
                <w:bCs/>
                <w:color w:val="000000"/>
                <w:sz w:val="20"/>
                <w:szCs w:val="20"/>
                <w:lang w:val="es-MX" w:eastAsia="es-MX"/>
              </w:rPr>
              <w:t xml:space="preserve">MONTO </w:t>
            </w:r>
          </w:p>
          <w:p w14:paraId="0601BC9A" w14:textId="77777777" w:rsidR="00B76E04" w:rsidRDefault="00B76E04" w:rsidP="004C246C">
            <w:pPr>
              <w:spacing w:line="360" w:lineRule="auto"/>
              <w:jc w:val="center"/>
              <w:rPr>
                <w:b/>
                <w:bCs/>
                <w:color w:val="000000"/>
                <w:sz w:val="20"/>
                <w:szCs w:val="20"/>
                <w:lang w:val="es-MX" w:eastAsia="es-MX"/>
              </w:rPr>
            </w:pPr>
            <w:r>
              <w:rPr>
                <w:b/>
                <w:bCs/>
                <w:color w:val="000000"/>
                <w:sz w:val="20"/>
                <w:szCs w:val="20"/>
                <w:lang w:val="es-MX" w:eastAsia="es-MX"/>
              </w:rPr>
              <w:t>($)</w:t>
            </w:r>
          </w:p>
        </w:tc>
      </w:tr>
      <w:tr w:rsidR="00B76E04" w14:paraId="53C69436" w14:textId="77777777" w:rsidTr="00A7274D">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A394320" w14:textId="77777777" w:rsidR="00B76E04" w:rsidRDefault="00B76E04" w:rsidP="004C246C">
            <w:pPr>
              <w:spacing w:line="360" w:lineRule="auto"/>
              <w:rPr>
                <w:color w:val="000000"/>
                <w:sz w:val="20"/>
                <w:szCs w:val="20"/>
                <w:lang w:val="es-MX" w:eastAsia="es-MX"/>
              </w:rPr>
            </w:pPr>
            <w:r w:rsidRPr="007B7F23">
              <w:rPr>
                <w:color w:val="000000"/>
                <w:sz w:val="20"/>
                <w:szCs w:val="20"/>
                <w:lang w:val="es-MX" w:eastAsia="es-MX"/>
              </w:rPr>
              <w:t>11. Recursos Fiscales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1D0D6A0" w14:textId="77777777" w:rsidR="00B76E04" w:rsidRDefault="00B76E04" w:rsidP="004C246C">
            <w:pPr>
              <w:spacing w:line="360" w:lineRule="auto"/>
              <w:jc w:val="right"/>
              <w:rPr>
                <w:color w:val="000000"/>
                <w:sz w:val="20"/>
                <w:szCs w:val="20"/>
                <w:lang w:val="es-MX" w:eastAsia="es-MX"/>
              </w:rPr>
            </w:pPr>
            <w:r w:rsidRPr="007B7F23">
              <w:rPr>
                <w:color w:val="000000"/>
                <w:sz w:val="20"/>
                <w:szCs w:val="20"/>
                <w:lang w:val="es-MX" w:eastAsia="es-MX"/>
              </w:rPr>
              <w:t>2,069,928,664.00</w:t>
            </w:r>
          </w:p>
        </w:tc>
      </w:tr>
      <w:tr w:rsidR="00B76E04" w14:paraId="609D7381" w14:textId="77777777" w:rsidTr="00A7274D">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430BE87" w14:textId="77777777" w:rsidR="00B76E04" w:rsidRDefault="00B76E04" w:rsidP="004C246C">
            <w:pPr>
              <w:spacing w:line="360" w:lineRule="auto"/>
              <w:rPr>
                <w:color w:val="000000"/>
                <w:sz w:val="20"/>
                <w:szCs w:val="20"/>
                <w:lang w:val="es-MX" w:eastAsia="es-MX"/>
              </w:rPr>
            </w:pPr>
            <w:r w:rsidRPr="007B7F23">
              <w:rPr>
                <w:color w:val="000000"/>
                <w:sz w:val="20"/>
                <w:szCs w:val="20"/>
                <w:lang w:val="es-MX" w:eastAsia="es-MX"/>
              </w:rPr>
              <w:t>12. Financiamientos Internos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D09EB87"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0.00 </w:t>
            </w:r>
          </w:p>
        </w:tc>
      </w:tr>
      <w:tr w:rsidR="00B76E04" w14:paraId="46917E00" w14:textId="77777777" w:rsidTr="00A7274D">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365176C" w14:textId="77777777" w:rsidR="00B76E04" w:rsidRDefault="00B76E04" w:rsidP="004C246C">
            <w:pPr>
              <w:spacing w:line="360" w:lineRule="auto"/>
              <w:rPr>
                <w:color w:val="000000"/>
                <w:sz w:val="20"/>
                <w:szCs w:val="20"/>
                <w:lang w:val="es-MX" w:eastAsia="es-MX"/>
              </w:rPr>
            </w:pPr>
            <w:r w:rsidRPr="007B7F23">
              <w:rPr>
                <w:color w:val="000000"/>
                <w:sz w:val="20"/>
                <w:szCs w:val="20"/>
                <w:lang w:val="es-MX" w:eastAsia="es-MX"/>
              </w:rPr>
              <w:t>13. Financiamientos Externos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84051DE"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0.00 </w:t>
            </w:r>
          </w:p>
        </w:tc>
      </w:tr>
      <w:tr w:rsidR="00B76E04" w14:paraId="6E5D388B" w14:textId="77777777" w:rsidTr="00A7274D">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69BA35C" w14:textId="77777777" w:rsidR="00B76E04" w:rsidRDefault="00B76E04" w:rsidP="004C246C">
            <w:pPr>
              <w:spacing w:line="360" w:lineRule="auto"/>
              <w:rPr>
                <w:color w:val="000000"/>
                <w:sz w:val="20"/>
                <w:szCs w:val="20"/>
                <w:lang w:val="es-MX" w:eastAsia="es-MX"/>
              </w:rPr>
            </w:pPr>
            <w:r w:rsidRPr="007B7F23">
              <w:rPr>
                <w:color w:val="000000"/>
                <w:sz w:val="20"/>
                <w:szCs w:val="20"/>
                <w:lang w:val="es-MX" w:eastAsia="es-MX"/>
              </w:rPr>
              <w:t>14. Ingresos Propios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BD6E6B3"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179,902,132.00</w:t>
            </w:r>
          </w:p>
        </w:tc>
      </w:tr>
      <w:tr w:rsidR="00B76E04" w14:paraId="5ABBFB85" w14:textId="77777777" w:rsidTr="00A7274D">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94F0C55" w14:textId="77777777" w:rsidR="00B76E04" w:rsidRDefault="00B76E04" w:rsidP="004C246C">
            <w:pPr>
              <w:spacing w:line="360" w:lineRule="auto"/>
              <w:rPr>
                <w:color w:val="000000"/>
                <w:sz w:val="20"/>
                <w:szCs w:val="20"/>
                <w:lang w:val="es-MX" w:eastAsia="es-MX"/>
              </w:rPr>
            </w:pPr>
            <w:r w:rsidRPr="007B7F23">
              <w:rPr>
                <w:color w:val="000000"/>
                <w:sz w:val="20"/>
                <w:szCs w:val="20"/>
                <w:lang w:val="es-MX" w:eastAsia="es-MX"/>
              </w:rPr>
              <w:t>15. Recursos Federales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898D8A5"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14,094,505,988.00</w:t>
            </w:r>
          </w:p>
        </w:tc>
      </w:tr>
      <w:tr w:rsidR="00B76E04" w14:paraId="4F35BA81" w14:textId="77777777" w:rsidTr="00A7274D">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8AD0563" w14:textId="77777777" w:rsidR="00B76E04" w:rsidRDefault="00B76E04" w:rsidP="004C246C">
            <w:pPr>
              <w:spacing w:line="360" w:lineRule="auto"/>
              <w:rPr>
                <w:color w:val="000000"/>
                <w:sz w:val="20"/>
                <w:szCs w:val="20"/>
                <w:lang w:val="es-MX" w:eastAsia="es-MX"/>
              </w:rPr>
            </w:pPr>
            <w:r w:rsidRPr="007B7F23">
              <w:rPr>
                <w:color w:val="000000"/>
                <w:sz w:val="20"/>
                <w:szCs w:val="20"/>
                <w:lang w:val="es-MX" w:eastAsia="es-MX"/>
              </w:rPr>
              <w:t>16. Recursos Estatales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0B4B2A2"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0.00</w:t>
            </w:r>
          </w:p>
        </w:tc>
      </w:tr>
      <w:tr w:rsidR="00B76E04" w14:paraId="7C13CD42" w14:textId="77777777" w:rsidTr="00A7274D">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B40D5E8" w14:textId="77777777" w:rsidR="00B76E04" w:rsidRDefault="00B76E04" w:rsidP="004C246C">
            <w:pPr>
              <w:spacing w:line="360" w:lineRule="auto"/>
              <w:rPr>
                <w:color w:val="000000"/>
                <w:sz w:val="20"/>
                <w:szCs w:val="20"/>
                <w:lang w:val="es-MX" w:eastAsia="es-MX"/>
              </w:rPr>
            </w:pPr>
            <w:r w:rsidRPr="007B7F23">
              <w:rPr>
                <w:color w:val="000000"/>
                <w:sz w:val="20"/>
                <w:szCs w:val="20"/>
                <w:lang w:val="es-MX" w:eastAsia="es-MX"/>
              </w:rPr>
              <w:t>17. Otros Recursos de Libre Disposición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15B0676"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0.00</w:t>
            </w:r>
          </w:p>
        </w:tc>
      </w:tr>
      <w:tr w:rsidR="00B76E04" w14:paraId="1D39620B" w14:textId="77777777" w:rsidTr="00A7274D">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EB64880" w14:textId="77777777" w:rsidR="00B76E04" w:rsidRDefault="00B76E04" w:rsidP="004C246C">
            <w:pPr>
              <w:spacing w:line="360" w:lineRule="auto"/>
              <w:rPr>
                <w:color w:val="000000"/>
                <w:sz w:val="20"/>
                <w:szCs w:val="20"/>
                <w:lang w:val="es-MX" w:eastAsia="es-MX"/>
              </w:rPr>
            </w:pPr>
            <w:r w:rsidRPr="007B7F23">
              <w:rPr>
                <w:color w:val="000000"/>
                <w:sz w:val="20"/>
                <w:szCs w:val="20"/>
                <w:lang w:val="es-MX" w:eastAsia="es-MX"/>
              </w:rPr>
              <w:t>25. Recursos Federales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2082327"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13,741,742,244.00</w:t>
            </w:r>
          </w:p>
        </w:tc>
      </w:tr>
      <w:tr w:rsidR="00B76E04" w14:paraId="3442B5C8" w14:textId="77777777" w:rsidTr="00A7274D">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D72EF6D" w14:textId="77777777" w:rsidR="00B76E04" w:rsidRDefault="00B76E04" w:rsidP="004C246C">
            <w:pPr>
              <w:spacing w:line="360" w:lineRule="auto"/>
              <w:rPr>
                <w:color w:val="000000"/>
                <w:sz w:val="20"/>
                <w:szCs w:val="20"/>
                <w:lang w:val="es-MX" w:eastAsia="es-MX"/>
              </w:rPr>
            </w:pPr>
            <w:r w:rsidRPr="007B7F23">
              <w:rPr>
                <w:color w:val="000000"/>
                <w:sz w:val="20"/>
                <w:szCs w:val="20"/>
                <w:lang w:val="es-MX" w:eastAsia="es-MX"/>
              </w:rPr>
              <w:t>26. Recursos Estatales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D58019C"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0.00 </w:t>
            </w:r>
          </w:p>
        </w:tc>
      </w:tr>
      <w:tr w:rsidR="00B76E04" w14:paraId="0986851F" w14:textId="77777777" w:rsidTr="00A7274D">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E449A16" w14:textId="77777777" w:rsidR="00B76E04" w:rsidRDefault="00B76E04" w:rsidP="004C246C">
            <w:pPr>
              <w:spacing w:line="360" w:lineRule="auto"/>
              <w:rPr>
                <w:color w:val="000000"/>
                <w:sz w:val="20"/>
                <w:szCs w:val="20"/>
                <w:lang w:val="es-MX" w:eastAsia="es-MX"/>
              </w:rPr>
            </w:pPr>
            <w:r w:rsidRPr="007B7F23">
              <w:rPr>
                <w:color w:val="000000"/>
                <w:sz w:val="20"/>
                <w:szCs w:val="20"/>
                <w:lang w:val="es-MX" w:eastAsia="es-MX"/>
              </w:rPr>
              <w:t>27. Otros Recursos de Transferencias Federales Etiquetadas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8D8356E"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0.00 </w:t>
            </w:r>
          </w:p>
        </w:tc>
      </w:tr>
      <w:tr w:rsidR="00B76E04" w14:paraId="083B65C1" w14:textId="77777777" w:rsidTr="00A7274D">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08ADA6AB" w14:textId="77777777" w:rsidR="00B76E04" w:rsidRDefault="00B76E04" w:rsidP="004C246C">
            <w:pPr>
              <w:spacing w:line="360" w:lineRule="auto"/>
              <w:jc w:val="center"/>
              <w:rPr>
                <w:b/>
                <w:bCs/>
                <w:color w:val="000000"/>
                <w:sz w:val="20"/>
                <w:szCs w:val="20"/>
                <w:lang w:val="es-MX" w:eastAsia="es-MX"/>
              </w:rPr>
            </w:pPr>
            <w:r w:rsidRPr="007B7F23">
              <w:rPr>
                <w:b/>
                <w:bCs/>
                <w:color w:val="000000"/>
                <w:sz w:val="20"/>
                <w:szCs w:val="20"/>
                <w:lang w:val="es-MX" w:eastAsia="es-MX"/>
              </w:rPr>
              <w:t>TOTAL</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08DFAEA3" w14:textId="77777777" w:rsidR="00B76E04" w:rsidRDefault="00B76E04" w:rsidP="004C246C">
            <w:pPr>
              <w:spacing w:line="360" w:lineRule="auto"/>
              <w:jc w:val="right"/>
              <w:rPr>
                <w:b/>
                <w:bCs/>
                <w:color w:val="000000"/>
                <w:sz w:val="20"/>
                <w:szCs w:val="20"/>
              </w:rPr>
            </w:pPr>
            <w:r w:rsidRPr="007B7F23">
              <w:rPr>
                <w:b/>
                <w:bCs/>
                <w:color w:val="000000"/>
                <w:sz w:val="20"/>
                <w:szCs w:val="20"/>
                <w:lang w:val="es-MX" w:eastAsia="es-MX"/>
              </w:rPr>
              <w:t>30,086,079,028.00</w:t>
            </w:r>
          </w:p>
        </w:tc>
      </w:tr>
    </w:tbl>
    <w:p w14:paraId="69BB5BFA" w14:textId="77777777" w:rsidR="00B76E04" w:rsidRDefault="00B76E04" w:rsidP="004C246C">
      <w:pPr>
        <w:spacing w:line="360" w:lineRule="auto"/>
        <w:rPr>
          <w:sz w:val="20"/>
          <w:szCs w:val="20"/>
        </w:rPr>
      </w:pPr>
    </w:p>
    <w:p w14:paraId="53C46EDE" w14:textId="2B81CBFD" w:rsidR="00B76E04" w:rsidRDefault="00B76E04" w:rsidP="004C246C">
      <w:pPr>
        <w:spacing w:line="360" w:lineRule="auto"/>
        <w:rPr>
          <w:sz w:val="20"/>
          <w:szCs w:val="20"/>
        </w:rPr>
      </w:pPr>
      <w:r>
        <w:rPr>
          <w:sz w:val="20"/>
          <w:szCs w:val="20"/>
        </w:rPr>
        <w:t>En seguida</w:t>
      </w:r>
      <w:r w:rsidR="002E0576">
        <w:rPr>
          <w:sz w:val="20"/>
          <w:szCs w:val="20"/>
        </w:rPr>
        <w:t>,</w:t>
      </w:r>
      <w:r>
        <w:rPr>
          <w:sz w:val="20"/>
          <w:szCs w:val="20"/>
        </w:rPr>
        <w:t xml:space="preserve"> se muestra a nivel </w:t>
      </w:r>
      <w:proofErr w:type="spellStart"/>
      <w:r>
        <w:rPr>
          <w:sz w:val="20"/>
          <w:szCs w:val="20"/>
        </w:rPr>
        <w:t>subfuente</w:t>
      </w:r>
      <w:proofErr w:type="spellEnd"/>
      <w:r>
        <w:rPr>
          <w:sz w:val="20"/>
          <w:szCs w:val="20"/>
        </w:rPr>
        <w:t xml:space="preserve"> de financiamiento: </w:t>
      </w:r>
    </w:p>
    <w:p w14:paraId="31DE2DD0" w14:textId="77777777" w:rsidR="00B76E04" w:rsidRDefault="00B76E04" w:rsidP="004C246C">
      <w:pPr>
        <w:spacing w:line="360" w:lineRule="auto"/>
        <w:rPr>
          <w:sz w:val="20"/>
          <w:szCs w:val="20"/>
        </w:rPr>
      </w:pPr>
    </w:p>
    <w:tbl>
      <w:tblPr>
        <w:tblW w:w="59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265"/>
        <w:gridCol w:w="1640"/>
      </w:tblGrid>
      <w:tr w:rsidR="00B76E04" w14:paraId="775DAE77" w14:textId="77777777" w:rsidTr="00A7274D">
        <w:trPr>
          <w:trHeight w:val="300"/>
          <w:tblHeader/>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3390655F" w14:textId="77777777" w:rsidR="00B76E04" w:rsidRDefault="00B76E04" w:rsidP="004C246C">
            <w:pPr>
              <w:spacing w:line="360" w:lineRule="auto"/>
              <w:jc w:val="center"/>
              <w:rPr>
                <w:b/>
                <w:bCs/>
                <w:color w:val="000000"/>
                <w:sz w:val="20"/>
                <w:szCs w:val="20"/>
                <w:lang w:val="es-MX" w:eastAsia="es-MX"/>
              </w:rPr>
            </w:pPr>
            <w:r>
              <w:rPr>
                <w:b/>
                <w:bCs/>
                <w:color w:val="000000"/>
                <w:sz w:val="20"/>
                <w:szCs w:val="20"/>
                <w:lang w:val="es-MX" w:eastAsia="es-MX"/>
              </w:rPr>
              <w:t>SUBFUENTE DE FINANCIAMIENTO</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458DBB10" w14:textId="77777777" w:rsidR="00B76E04" w:rsidRDefault="00B76E04" w:rsidP="004C246C">
            <w:pPr>
              <w:spacing w:line="360" w:lineRule="auto"/>
              <w:jc w:val="center"/>
              <w:rPr>
                <w:b/>
                <w:bCs/>
                <w:color w:val="000000"/>
                <w:sz w:val="20"/>
                <w:szCs w:val="20"/>
                <w:lang w:val="es-MX" w:eastAsia="es-MX"/>
              </w:rPr>
            </w:pPr>
            <w:r>
              <w:rPr>
                <w:b/>
                <w:bCs/>
                <w:color w:val="000000"/>
                <w:sz w:val="20"/>
                <w:szCs w:val="20"/>
                <w:lang w:val="es-MX" w:eastAsia="es-MX"/>
              </w:rPr>
              <w:t xml:space="preserve">MONTO </w:t>
            </w:r>
          </w:p>
          <w:p w14:paraId="694E2E93" w14:textId="77777777" w:rsidR="00B76E04" w:rsidRDefault="00B76E04" w:rsidP="004C246C">
            <w:pPr>
              <w:spacing w:line="360" w:lineRule="auto"/>
              <w:jc w:val="center"/>
              <w:rPr>
                <w:b/>
                <w:bCs/>
                <w:color w:val="000000"/>
                <w:sz w:val="20"/>
                <w:szCs w:val="20"/>
                <w:lang w:val="es-MX" w:eastAsia="es-MX"/>
              </w:rPr>
            </w:pPr>
            <w:r>
              <w:rPr>
                <w:b/>
                <w:bCs/>
                <w:color w:val="000000"/>
                <w:sz w:val="20"/>
                <w:szCs w:val="20"/>
                <w:lang w:val="es-MX" w:eastAsia="es-MX"/>
              </w:rPr>
              <w:t>($)</w:t>
            </w:r>
          </w:p>
        </w:tc>
      </w:tr>
      <w:tr w:rsidR="00B76E04" w14:paraId="57ACBEAB"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5FFB0F1A" w14:textId="77777777" w:rsidR="00B76E04" w:rsidRDefault="00B76E04" w:rsidP="004C246C">
            <w:pPr>
              <w:spacing w:line="360" w:lineRule="auto"/>
              <w:rPr>
                <w:color w:val="000000"/>
                <w:sz w:val="20"/>
                <w:szCs w:val="20"/>
                <w:lang w:val="es-MX" w:eastAsia="es-MX"/>
              </w:rPr>
            </w:pPr>
            <w:r>
              <w:rPr>
                <w:color w:val="000000"/>
                <w:sz w:val="20"/>
                <w:szCs w:val="20"/>
                <w:lang w:val="es-MX" w:eastAsia="es-MX"/>
              </w:rPr>
              <w:t>Ingresos Derivados de Fuentes Locales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D7F4CA9" w14:textId="77777777" w:rsidR="00B76E04" w:rsidRDefault="00B76E04" w:rsidP="004C246C">
            <w:pPr>
              <w:spacing w:line="360" w:lineRule="auto"/>
              <w:jc w:val="right"/>
              <w:rPr>
                <w:color w:val="000000"/>
                <w:sz w:val="20"/>
                <w:szCs w:val="20"/>
                <w:lang w:val="es-MX" w:eastAsia="es-MX"/>
              </w:rPr>
            </w:pPr>
            <w:r w:rsidRPr="007B7F23">
              <w:rPr>
                <w:color w:val="000000"/>
                <w:sz w:val="20"/>
                <w:szCs w:val="20"/>
                <w:lang w:val="es-MX" w:eastAsia="es-MX"/>
              </w:rPr>
              <w:t>2,069,928,664.00</w:t>
            </w:r>
          </w:p>
        </w:tc>
      </w:tr>
      <w:tr w:rsidR="00B76E04" w14:paraId="652FDD2E"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191B86B5" w14:textId="77777777" w:rsidR="00B76E04" w:rsidRDefault="00B76E04" w:rsidP="004C246C">
            <w:pPr>
              <w:spacing w:line="360" w:lineRule="auto"/>
              <w:rPr>
                <w:color w:val="000000"/>
                <w:sz w:val="20"/>
                <w:szCs w:val="20"/>
                <w:lang w:val="es-MX" w:eastAsia="es-MX"/>
              </w:rPr>
            </w:pPr>
            <w:r>
              <w:rPr>
                <w:color w:val="000000"/>
                <w:sz w:val="20"/>
                <w:szCs w:val="20"/>
                <w:lang w:val="es-MX" w:eastAsia="es-MX"/>
              </w:rPr>
              <w:lastRenderedPageBreak/>
              <w:t>Ingresos por Venta de Bienes de Organismos Descentralizados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00B8666"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179,902,132.00</w:t>
            </w:r>
          </w:p>
        </w:tc>
      </w:tr>
      <w:tr w:rsidR="00B76E04" w14:paraId="30F19967"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78451DA7" w14:textId="77777777" w:rsidR="00B76E04" w:rsidRDefault="00B76E04" w:rsidP="004C246C">
            <w:pPr>
              <w:spacing w:line="360" w:lineRule="auto"/>
              <w:rPr>
                <w:color w:val="000000"/>
                <w:sz w:val="20"/>
                <w:szCs w:val="20"/>
                <w:lang w:val="es-MX" w:eastAsia="es-MX"/>
              </w:rPr>
            </w:pPr>
            <w:r>
              <w:rPr>
                <w:color w:val="000000"/>
                <w:sz w:val="20"/>
                <w:szCs w:val="20"/>
                <w:lang w:val="es-MX" w:eastAsia="es-MX"/>
              </w:rPr>
              <w:t>Fondo General de Participaciones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E8F77BF"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10,938,653,148.00</w:t>
            </w:r>
          </w:p>
        </w:tc>
      </w:tr>
      <w:tr w:rsidR="00B76E04" w14:paraId="46C8E824"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3F96D50B" w14:textId="77777777" w:rsidR="00B76E04" w:rsidRDefault="00B76E04" w:rsidP="004C246C">
            <w:pPr>
              <w:spacing w:line="360" w:lineRule="auto"/>
              <w:rPr>
                <w:color w:val="000000"/>
                <w:sz w:val="20"/>
                <w:szCs w:val="20"/>
                <w:lang w:val="es-MX" w:eastAsia="es-MX"/>
              </w:rPr>
            </w:pPr>
            <w:r>
              <w:rPr>
                <w:color w:val="000000"/>
                <w:sz w:val="20"/>
                <w:szCs w:val="20"/>
                <w:lang w:val="es-MX" w:eastAsia="es-MX"/>
              </w:rPr>
              <w:t>Fondo de Compensación</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877CB8F"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674,358,369.00</w:t>
            </w:r>
          </w:p>
        </w:tc>
      </w:tr>
      <w:tr w:rsidR="00B76E04" w14:paraId="10FA0A9E"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247E99F3" w14:textId="77777777" w:rsidR="00B76E04" w:rsidRDefault="00B76E04" w:rsidP="004C246C">
            <w:pPr>
              <w:spacing w:line="360" w:lineRule="auto"/>
              <w:rPr>
                <w:color w:val="000000"/>
                <w:sz w:val="20"/>
                <w:szCs w:val="20"/>
                <w:lang w:val="es-MX" w:eastAsia="es-MX"/>
              </w:rPr>
            </w:pPr>
            <w:r>
              <w:rPr>
                <w:color w:val="000000"/>
                <w:sz w:val="20"/>
                <w:szCs w:val="20"/>
                <w:lang w:val="es-MX" w:eastAsia="es-MX"/>
              </w:rPr>
              <w:t>Incentivo para la Venta Final de Gasolina y Diesel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7E4D632"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272,818,999.00</w:t>
            </w:r>
          </w:p>
        </w:tc>
      </w:tr>
      <w:tr w:rsidR="00B76E04" w14:paraId="45C3D2CD"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637609B1" w14:textId="77777777" w:rsidR="00B76E04" w:rsidRDefault="00B76E04" w:rsidP="004C246C">
            <w:pPr>
              <w:spacing w:line="360" w:lineRule="auto"/>
              <w:rPr>
                <w:color w:val="000000"/>
                <w:sz w:val="20"/>
                <w:szCs w:val="20"/>
                <w:lang w:val="es-MX" w:eastAsia="es-MX"/>
              </w:rPr>
            </w:pPr>
            <w:r>
              <w:rPr>
                <w:color w:val="000000"/>
                <w:sz w:val="20"/>
                <w:szCs w:val="20"/>
                <w:lang w:val="es-MX" w:eastAsia="es-MX"/>
              </w:rPr>
              <w:t>Fondo de Fomento Municipal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25EB147"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620,124,397.00</w:t>
            </w:r>
          </w:p>
        </w:tc>
      </w:tr>
      <w:tr w:rsidR="00B76E04" w14:paraId="2C52E6DE"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047ACC6E" w14:textId="77777777" w:rsidR="00B76E04" w:rsidRDefault="00B76E04" w:rsidP="004C246C">
            <w:pPr>
              <w:spacing w:line="360" w:lineRule="auto"/>
              <w:rPr>
                <w:color w:val="000000"/>
                <w:sz w:val="20"/>
                <w:szCs w:val="20"/>
                <w:lang w:val="es-MX" w:eastAsia="es-MX"/>
              </w:rPr>
            </w:pPr>
            <w:r>
              <w:rPr>
                <w:color w:val="000000"/>
                <w:sz w:val="20"/>
                <w:szCs w:val="20"/>
                <w:lang w:val="es-MX" w:eastAsia="es-MX"/>
              </w:rPr>
              <w:t>Fondo ISR</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6015626"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674,168,049.00</w:t>
            </w:r>
          </w:p>
        </w:tc>
      </w:tr>
      <w:tr w:rsidR="00B76E04" w14:paraId="44DBACCB"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036F9E41" w14:textId="77777777" w:rsidR="00B76E04" w:rsidRDefault="00B76E04" w:rsidP="004C246C">
            <w:pPr>
              <w:spacing w:line="360" w:lineRule="auto"/>
              <w:rPr>
                <w:color w:val="000000"/>
                <w:sz w:val="20"/>
                <w:szCs w:val="20"/>
                <w:lang w:val="es-MX" w:eastAsia="es-MX"/>
              </w:rPr>
            </w:pPr>
            <w:r>
              <w:rPr>
                <w:color w:val="000000"/>
                <w:sz w:val="20"/>
                <w:szCs w:val="20"/>
                <w:lang w:val="es-MX" w:eastAsia="es-MX"/>
              </w:rPr>
              <w:t>Impuesto Especial sobre Producción y Servicios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C16E1A7"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105,377,254.00</w:t>
            </w:r>
          </w:p>
        </w:tc>
      </w:tr>
      <w:tr w:rsidR="00B76E04" w14:paraId="3AC13265"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3A80BB97" w14:textId="77777777" w:rsidR="00B76E04" w:rsidRDefault="00B76E04" w:rsidP="004C246C">
            <w:pPr>
              <w:spacing w:line="360" w:lineRule="auto"/>
              <w:rPr>
                <w:color w:val="000000"/>
                <w:sz w:val="20"/>
                <w:szCs w:val="20"/>
                <w:lang w:val="es-MX" w:eastAsia="es-MX"/>
              </w:rPr>
            </w:pPr>
            <w:r>
              <w:rPr>
                <w:color w:val="000000"/>
                <w:sz w:val="20"/>
                <w:szCs w:val="20"/>
                <w:lang w:val="es-MX" w:eastAsia="es-MX"/>
              </w:rPr>
              <w:t>Fondo de Fiscalización</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7A97382"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636,248,842.00</w:t>
            </w:r>
          </w:p>
        </w:tc>
      </w:tr>
      <w:tr w:rsidR="00B76E04" w14:paraId="0CFED640"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20B72363" w14:textId="77777777" w:rsidR="00B76E04" w:rsidRDefault="00B76E04" w:rsidP="004C246C">
            <w:pPr>
              <w:spacing w:line="360" w:lineRule="auto"/>
              <w:rPr>
                <w:color w:val="000000"/>
                <w:sz w:val="20"/>
                <w:szCs w:val="20"/>
                <w:lang w:val="es-MX" w:eastAsia="es-MX"/>
              </w:rPr>
            </w:pPr>
            <w:r>
              <w:rPr>
                <w:color w:val="000000"/>
                <w:sz w:val="20"/>
                <w:szCs w:val="20"/>
                <w:lang w:val="es-MX" w:eastAsia="es-MX"/>
              </w:rPr>
              <w:t>Fondo de Compensación ISAN</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CD54683"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13,454,125.00</w:t>
            </w:r>
          </w:p>
        </w:tc>
      </w:tr>
      <w:tr w:rsidR="00B76E04" w14:paraId="7EDF86D6"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276E13BE" w14:textId="77777777" w:rsidR="00B76E04" w:rsidRDefault="00B76E04" w:rsidP="004C246C">
            <w:pPr>
              <w:spacing w:line="360" w:lineRule="auto"/>
              <w:rPr>
                <w:color w:val="000000"/>
                <w:sz w:val="20"/>
                <w:szCs w:val="20"/>
                <w:lang w:val="es-MX" w:eastAsia="es-MX"/>
              </w:rPr>
            </w:pPr>
            <w:r>
              <w:rPr>
                <w:color w:val="000000"/>
                <w:sz w:val="20"/>
                <w:szCs w:val="20"/>
                <w:lang w:val="es-MX" w:eastAsia="es-MX"/>
              </w:rPr>
              <w:t xml:space="preserve">Fondo </w:t>
            </w:r>
            <w:proofErr w:type="spellStart"/>
            <w:r>
              <w:rPr>
                <w:color w:val="000000"/>
                <w:sz w:val="20"/>
                <w:szCs w:val="20"/>
                <w:lang w:val="es-MX" w:eastAsia="es-MX"/>
              </w:rPr>
              <w:t>Repecos</w:t>
            </w:r>
            <w:proofErr w:type="spellEnd"/>
            <w:r>
              <w:rPr>
                <w:color w:val="000000"/>
                <w:sz w:val="20"/>
                <w:szCs w:val="20"/>
                <w:lang w:val="es-MX" w:eastAsia="es-MX"/>
              </w:rPr>
              <w:t xml:space="preserve"> e Intermedios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4F8263B"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3,510,552.00</w:t>
            </w:r>
          </w:p>
        </w:tc>
      </w:tr>
      <w:tr w:rsidR="00B76E04" w14:paraId="67C9EC51"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6044C50A" w14:textId="77777777" w:rsidR="00B76E04" w:rsidRDefault="00B76E04" w:rsidP="004C246C">
            <w:pPr>
              <w:spacing w:line="360" w:lineRule="auto"/>
              <w:rPr>
                <w:color w:val="000000"/>
                <w:sz w:val="20"/>
                <w:szCs w:val="20"/>
                <w:lang w:val="es-MX" w:eastAsia="es-MX"/>
              </w:rPr>
            </w:pPr>
            <w:r>
              <w:rPr>
                <w:color w:val="000000"/>
                <w:sz w:val="20"/>
                <w:szCs w:val="20"/>
                <w:lang w:val="es-MX" w:eastAsia="es-MX"/>
              </w:rPr>
              <w:t>Incentivos Derivados de Colaboración Fiscal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947EFDE"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155,792,253.00</w:t>
            </w:r>
          </w:p>
        </w:tc>
      </w:tr>
      <w:tr w:rsidR="00B76E04" w14:paraId="243DFD0D"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87BC301" w14:textId="77777777" w:rsidR="00B76E04" w:rsidRDefault="00B76E04" w:rsidP="004C246C">
            <w:pPr>
              <w:spacing w:line="360" w:lineRule="auto"/>
              <w:jc w:val="center"/>
              <w:rPr>
                <w:b/>
                <w:bCs/>
                <w:color w:val="000000"/>
                <w:sz w:val="20"/>
                <w:szCs w:val="20"/>
                <w:lang w:val="es-MX" w:eastAsia="es-MX"/>
              </w:rPr>
            </w:pPr>
            <w:r>
              <w:rPr>
                <w:b/>
                <w:bCs/>
                <w:color w:val="000000"/>
                <w:sz w:val="20"/>
                <w:szCs w:val="20"/>
                <w:lang w:val="es-MX" w:eastAsia="es-MX"/>
              </w:rPr>
              <w:t>SUBTOTAL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4EF4E690" w14:textId="77777777" w:rsidR="00B76E04" w:rsidRDefault="00B76E04" w:rsidP="004C246C">
            <w:pPr>
              <w:spacing w:line="360" w:lineRule="auto"/>
              <w:jc w:val="right"/>
              <w:rPr>
                <w:b/>
                <w:bCs/>
                <w:color w:val="000000"/>
                <w:sz w:val="20"/>
                <w:szCs w:val="20"/>
              </w:rPr>
            </w:pPr>
            <w:r w:rsidRPr="007B7F23">
              <w:rPr>
                <w:b/>
                <w:bCs/>
                <w:color w:val="000000"/>
                <w:sz w:val="20"/>
                <w:szCs w:val="20"/>
                <w:lang w:val="es-MX" w:eastAsia="es-MX"/>
              </w:rPr>
              <w:t>16,344,336,784.00</w:t>
            </w:r>
          </w:p>
        </w:tc>
      </w:tr>
      <w:tr w:rsidR="00B76E04" w14:paraId="481A62DF"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7921B449" w14:textId="77777777" w:rsidR="00B76E04" w:rsidRDefault="00B76E04" w:rsidP="004C246C">
            <w:pPr>
              <w:spacing w:line="360" w:lineRule="auto"/>
              <w:rPr>
                <w:color w:val="000000"/>
                <w:sz w:val="20"/>
                <w:szCs w:val="20"/>
                <w:lang w:val="es-MX" w:eastAsia="es-MX"/>
              </w:rPr>
            </w:pPr>
            <w:r>
              <w:rPr>
                <w:color w:val="000000"/>
                <w:sz w:val="20"/>
                <w:szCs w:val="20"/>
                <w:lang w:val="es-MX" w:eastAsia="es-MX"/>
              </w:rPr>
              <w:t>Aportaciones Federales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D0E492F"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13,741,742,244.00</w:t>
            </w:r>
          </w:p>
        </w:tc>
      </w:tr>
      <w:tr w:rsidR="00B76E04" w14:paraId="6F48AA1C" w14:textId="77777777" w:rsidTr="00A7274D">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374FD3D6" w14:textId="77777777" w:rsidR="00B76E04" w:rsidRDefault="00B76E04" w:rsidP="004C246C">
            <w:pPr>
              <w:spacing w:line="360" w:lineRule="auto"/>
              <w:jc w:val="center"/>
              <w:rPr>
                <w:b/>
                <w:bCs/>
                <w:color w:val="000000"/>
                <w:sz w:val="20"/>
                <w:szCs w:val="20"/>
                <w:lang w:val="es-MX" w:eastAsia="es-MX"/>
              </w:rPr>
            </w:pPr>
            <w:r>
              <w:rPr>
                <w:b/>
                <w:bCs/>
                <w:color w:val="000000"/>
                <w:sz w:val="20"/>
                <w:szCs w:val="20"/>
                <w:lang w:val="es-MX" w:eastAsia="es-MX"/>
              </w:rPr>
              <w:t>TOTAL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0C7E95E2" w14:textId="77777777" w:rsidR="00B76E04" w:rsidRDefault="00B76E04" w:rsidP="004C246C">
            <w:pPr>
              <w:spacing w:line="360" w:lineRule="auto"/>
              <w:jc w:val="right"/>
              <w:rPr>
                <w:b/>
                <w:bCs/>
                <w:color w:val="000000"/>
                <w:sz w:val="20"/>
                <w:szCs w:val="20"/>
              </w:rPr>
            </w:pPr>
            <w:r w:rsidRPr="007B7F23">
              <w:rPr>
                <w:b/>
                <w:bCs/>
                <w:color w:val="000000"/>
                <w:sz w:val="20"/>
                <w:szCs w:val="20"/>
                <w:lang w:val="es-MX" w:eastAsia="es-MX"/>
              </w:rPr>
              <w:t>30,086,079,028.00</w:t>
            </w:r>
          </w:p>
        </w:tc>
      </w:tr>
    </w:tbl>
    <w:p w14:paraId="51B2D80D" w14:textId="77777777" w:rsidR="00B76E04" w:rsidRDefault="00B76E04" w:rsidP="004C246C">
      <w:pPr>
        <w:spacing w:line="360" w:lineRule="auto"/>
        <w:rPr>
          <w:sz w:val="20"/>
          <w:szCs w:val="20"/>
        </w:rPr>
      </w:pPr>
    </w:p>
    <w:p w14:paraId="796BD172" w14:textId="77777777" w:rsidR="00B76E04" w:rsidRDefault="00B76E04" w:rsidP="004C246C">
      <w:pPr>
        <w:spacing w:line="360" w:lineRule="auto"/>
        <w:jc w:val="center"/>
        <w:rPr>
          <w:rFonts w:eastAsia="Calibri"/>
          <w:b/>
          <w:sz w:val="20"/>
          <w:szCs w:val="20"/>
        </w:rPr>
      </w:pPr>
      <w:r>
        <w:rPr>
          <w:rFonts w:eastAsia="Calibri"/>
          <w:b/>
          <w:sz w:val="20"/>
          <w:szCs w:val="20"/>
        </w:rPr>
        <w:t>PRESUPUESTO POR RAMO</w:t>
      </w:r>
    </w:p>
    <w:p w14:paraId="384EFEB9" w14:textId="77777777" w:rsidR="00B76E04" w:rsidRDefault="00B76E04" w:rsidP="004C246C">
      <w:pPr>
        <w:spacing w:line="360" w:lineRule="auto"/>
        <w:jc w:val="both"/>
        <w:rPr>
          <w:rFonts w:eastAsia="Calibri"/>
          <w:sz w:val="20"/>
          <w:szCs w:val="20"/>
        </w:rPr>
      </w:pPr>
      <w:r>
        <w:rPr>
          <w:rFonts w:eastAsia="Calibri"/>
          <w:sz w:val="20"/>
          <w:szCs w:val="20"/>
        </w:rPr>
        <w:t xml:space="preserve">El Proyecto de Decreto de Presupuesto de Egresos del Estado de Tlaxcala para el ejercicio </w:t>
      </w:r>
      <w:r w:rsidRPr="009962A5">
        <w:rPr>
          <w:rFonts w:eastAsia="Calibri"/>
          <w:sz w:val="20"/>
          <w:szCs w:val="20"/>
        </w:rPr>
        <w:t>fiscal 2026</w:t>
      </w:r>
      <w:r>
        <w:rPr>
          <w:rFonts w:eastAsia="Calibri"/>
          <w:sz w:val="20"/>
          <w:szCs w:val="20"/>
        </w:rPr>
        <w:t>, distribuido por Ramo, se integra como sigue:</w:t>
      </w:r>
    </w:p>
    <w:tbl>
      <w:tblPr>
        <w:tblW w:w="5083" w:type="pct"/>
        <w:tblCellMar>
          <w:left w:w="70" w:type="dxa"/>
          <w:right w:w="70" w:type="dxa"/>
        </w:tblCellMar>
        <w:tblLook w:val="04A0" w:firstRow="1" w:lastRow="0" w:firstColumn="1" w:lastColumn="0" w:noHBand="0" w:noVBand="1"/>
      </w:tblPr>
      <w:tblGrid>
        <w:gridCol w:w="1904"/>
        <w:gridCol w:w="364"/>
        <w:gridCol w:w="1819"/>
        <w:gridCol w:w="308"/>
        <w:gridCol w:w="1819"/>
        <w:gridCol w:w="417"/>
        <w:gridCol w:w="1651"/>
      </w:tblGrid>
      <w:tr w:rsidR="00B76E04" w14:paraId="189D698B" w14:textId="77777777" w:rsidTr="00A7274D">
        <w:trPr>
          <w:trHeight w:val="475"/>
          <w:tblHeader/>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498EBFDF" w14:textId="77777777" w:rsidR="00B76E04" w:rsidRDefault="00B76E04" w:rsidP="004C246C">
            <w:pPr>
              <w:spacing w:line="360" w:lineRule="auto"/>
              <w:jc w:val="center"/>
              <w:rPr>
                <w:b/>
                <w:bCs/>
                <w:sz w:val="20"/>
                <w:szCs w:val="20"/>
                <w:lang w:eastAsia="es-MX"/>
              </w:rPr>
            </w:pPr>
            <w:r>
              <w:rPr>
                <w:b/>
                <w:bCs/>
                <w:sz w:val="20"/>
                <w:szCs w:val="20"/>
                <w:lang w:eastAsia="es-MX"/>
              </w:rPr>
              <w:t>RAMO</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14:paraId="04639E7D" w14:textId="77777777" w:rsidR="00B76E04" w:rsidRDefault="00B76E04" w:rsidP="004C246C">
            <w:pPr>
              <w:spacing w:line="360" w:lineRule="auto"/>
              <w:rPr>
                <w:b/>
                <w:bCs/>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7CC3D808" w14:textId="77777777" w:rsidR="00B76E04" w:rsidRDefault="00B76E04" w:rsidP="004C246C">
            <w:pPr>
              <w:spacing w:line="360" w:lineRule="auto"/>
              <w:jc w:val="center"/>
              <w:rPr>
                <w:b/>
                <w:bCs/>
                <w:color w:val="000000"/>
                <w:sz w:val="20"/>
                <w:szCs w:val="20"/>
              </w:rPr>
            </w:pPr>
            <w:r>
              <w:rPr>
                <w:b/>
                <w:bCs/>
                <w:color w:val="000000"/>
                <w:sz w:val="20"/>
                <w:szCs w:val="20"/>
              </w:rPr>
              <w:t>ESTATAL</w:t>
            </w:r>
          </w:p>
          <w:p w14:paraId="004394B6" w14:textId="77777777" w:rsidR="00B76E04" w:rsidRDefault="00B76E04" w:rsidP="004C246C">
            <w:pPr>
              <w:spacing w:line="360" w:lineRule="auto"/>
              <w:jc w:val="center"/>
              <w:rPr>
                <w:b/>
                <w:bCs/>
                <w:color w:val="000000"/>
                <w:sz w:val="20"/>
                <w:szCs w:val="20"/>
                <w:lang w:val="es-MX" w:eastAsia="es-MX"/>
              </w:rPr>
            </w:pPr>
            <w:r>
              <w:rPr>
                <w:b/>
                <w:bCs/>
                <w:color w:val="000000"/>
                <w:sz w:val="20"/>
                <w:szCs w:val="20"/>
              </w:rPr>
              <w:t>($)</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14:paraId="3BACA983" w14:textId="77777777" w:rsidR="00B76E04" w:rsidRDefault="00B76E04" w:rsidP="004C246C">
            <w:pPr>
              <w:spacing w:line="360" w:lineRule="auto"/>
              <w:rPr>
                <w:b/>
                <w:bCs/>
                <w:color w:val="000000"/>
                <w:sz w:val="20"/>
                <w:szCs w:val="20"/>
                <w:lang w:val="es-MX"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69EFE48D" w14:textId="77777777" w:rsidR="00B76E04" w:rsidRDefault="00B76E04" w:rsidP="004C246C">
            <w:pPr>
              <w:spacing w:line="360" w:lineRule="auto"/>
              <w:jc w:val="center"/>
              <w:rPr>
                <w:b/>
                <w:bCs/>
                <w:color w:val="000000"/>
                <w:sz w:val="20"/>
                <w:szCs w:val="20"/>
              </w:rPr>
            </w:pPr>
            <w:r>
              <w:rPr>
                <w:b/>
                <w:bCs/>
                <w:color w:val="000000"/>
                <w:sz w:val="20"/>
                <w:szCs w:val="20"/>
              </w:rPr>
              <w:t>APORTACIONES FEDERALES</w:t>
            </w:r>
          </w:p>
          <w:p w14:paraId="331FD4E8" w14:textId="77777777" w:rsidR="00B76E04" w:rsidRDefault="00B76E04" w:rsidP="004C246C">
            <w:pPr>
              <w:spacing w:line="360" w:lineRule="auto"/>
              <w:jc w:val="center"/>
              <w:rPr>
                <w:b/>
                <w:bCs/>
                <w:color w:val="000000"/>
                <w:sz w:val="20"/>
                <w:szCs w:val="20"/>
                <w:lang w:val="es-MX" w:eastAsia="es-MX"/>
              </w:rPr>
            </w:pPr>
            <w:r>
              <w:rPr>
                <w:b/>
                <w:bCs/>
                <w:color w:val="000000"/>
                <w:sz w:val="20"/>
                <w:szCs w:val="20"/>
              </w:rPr>
              <w:t>($)</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14:paraId="6737A065" w14:textId="77777777" w:rsidR="00B76E04" w:rsidRDefault="00B76E04" w:rsidP="004C246C">
            <w:pPr>
              <w:spacing w:line="360" w:lineRule="auto"/>
              <w:rPr>
                <w:b/>
                <w:bCs/>
                <w:color w:val="000000"/>
                <w:sz w:val="20"/>
                <w:szCs w:val="20"/>
                <w:lang w:val="es-MX"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5C1133E8" w14:textId="77777777" w:rsidR="00B76E04" w:rsidRDefault="00B76E04" w:rsidP="004C246C">
            <w:pPr>
              <w:spacing w:line="360" w:lineRule="auto"/>
              <w:jc w:val="center"/>
              <w:rPr>
                <w:b/>
                <w:bCs/>
                <w:color w:val="000000"/>
                <w:sz w:val="20"/>
                <w:szCs w:val="20"/>
              </w:rPr>
            </w:pPr>
            <w:r>
              <w:rPr>
                <w:b/>
                <w:bCs/>
                <w:color w:val="000000"/>
                <w:sz w:val="20"/>
                <w:szCs w:val="20"/>
              </w:rPr>
              <w:t>TOTAL</w:t>
            </w:r>
          </w:p>
          <w:p w14:paraId="1B0136BB" w14:textId="77777777" w:rsidR="00B76E04" w:rsidRDefault="00B76E04" w:rsidP="004C246C">
            <w:pPr>
              <w:spacing w:line="360" w:lineRule="auto"/>
              <w:jc w:val="center"/>
              <w:rPr>
                <w:b/>
                <w:bCs/>
                <w:color w:val="000000"/>
                <w:sz w:val="20"/>
                <w:szCs w:val="20"/>
                <w:lang w:val="es-MX" w:eastAsia="es-MX"/>
              </w:rPr>
            </w:pPr>
            <w:r>
              <w:rPr>
                <w:b/>
                <w:bCs/>
                <w:color w:val="000000"/>
                <w:sz w:val="20"/>
                <w:szCs w:val="20"/>
              </w:rPr>
              <w:t>($)</w:t>
            </w:r>
          </w:p>
        </w:tc>
      </w:tr>
      <w:tr w:rsidR="00B76E04" w14:paraId="4D119089" w14:textId="77777777" w:rsidTr="00A7274D">
        <w:trPr>
          <w:trHeight w:val="214"/>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9E6C984" w14:textId="77777777" w:rsidR="00B76E04" w:rsidRDefault="00B76E04" w:rsidP="004C246C">
            <w:pPr>
              <w:spacing w:line="360" w:lineRule="auto"/>
              <w:jc w:val="both"/>
              <w:rPr>
                <w:sz w:val="20"/>
                <w:szCs w:val="20"/>
                <w:lang w:eastAsia="es-MX"/>
              </w:rPr>
            </w:pPr>
            <w:r>
              <w:rPr>
                <w:sz w:val="20"/>
                <w:szCs w:val="20"/>
                <w:lang w:eastAsia="es-MX"/>
              </w:rPr>
              <w:t>Poder Legislativo</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14:paraId="55CDCCDB" w14:textId="77777777" w:rsidR="00B76E04" w:rsidRDefault="00B76E04" w:rsidP="004C246C">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338C9B8" w14:textId="77777777" w:rsidR="00B76E04" w:rsidRDefault="00B76E04" w:rsidP="004C246C">
            <w:pPr>
              <w:spacing w:line="360" w:lineRule="auto"/>
              <w:jc w:val="right"/>
              <w:rPr>
                <w:color w:val="000000"/>
                <w:sz w:val="20"/>
                <w:szCs w:val="20"/>
                <w:lang w:val="es-MX" w:eastAsia="es-MX"/>
              </w:rPr>
            </w:pPr>
            <w:r w:rsidRPr="007B7F23">
              <w:rPr>
                <w:color w:val="000000"/>
                <w:sz w:val="20"/>
                <w:szCs w:val="20"/>
                <w:lang w:val="es-MX" w:eastAsia="es-MX"/>
              </w:rPr>
              <w:t>503,506,250.00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14:paraId="449F81B8" w14:textId="77777777" w:rsidR="00B76E04" w:rsidRDefault="00B76E04" w:rsidP="004C246C">
            <w:pPr>
              <w:spacing w:line="360" w:lineRule="auto"/>
              <w:rPr>
                <w:color w:val="000000"/>
                <w:sz w:val="20"/>
                <w:szCs w:val="20"/>
                <w:lang w:val="es-MX"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6403C92" w14:textId="77777777" w:rsidR="00B76E04" w:rsidRDefault="00B76E04" w:rsidP="004C246C">
            <w:pPr>
              <w:spacing w:line="360" w:lineRule="auto"/>
              <w:jc w:val="right"/>
              <w:rPr>
                <w:color w:val="000000"/>
                <w:sz w:val="20"/>
                <w:szCs w:val="20"/>
                <w:lang w:val="es-MX" w:eastAsia="es-MX"/>
              </w:rPr>
            </w:pPr>
            <w:r w:rsidRPr="007B7F23">
              <w:rPr>
                <w:color w:val="000000"/>
                <w:sz w:val="20"/>
                <w:szCs w:val="20"/>
                <w:lang w:val="es-MX" w:eastAsia="es-MX"/>
              </w:rPr>
              <w:t>0.00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14:paraId="596086E0" w14:textId="77777777" w:rsidR="00B76E04" w:rsidRDefault="00B76E04" w:rsidP="004C246C">
            <w:pPr>
              <w:spacing w:line="360" w:lineRule="auto"/>
              <w:rPr>
                <w:color w:val="000000"/>
                <w:sz w:val="20"/>
                <w:szCs w:val="20"/>
                <w:lang w:val="es-MX"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7233768" w14:textId="77777777" w:rsidR="00B76E04" w:rsidRDefault="00B76E04" w:rsidP="004C246C">
            <w:pPr>
              <w:spacing w:line="360" w:lineRule="auto"/>
              <w:jc w:val="right"/>
              <w:rPr>
                <w:color w:val="000000"/>
                <w:sz w:val="20"/>
                <w:szCs w:val="20"/>
                <w:lang w:val="es-MX" w:eastAsia="es-MX"/>
              </w:rPr>
            </w:pPr>
            <w:r w:rsidRPr="007B7F23">
              <w:rPr>
                <w:color w:val="000000"/>
                <w:sz w:val="20"/>
                <w:szCs w:val="20"/>
                <w:lang w:val="es-MX" w:eastAsia="es-MX"/>
              </w:rPr>
              <w:t>503,506,250.00</w:t>
            </w:r>
          </w:p>
        </w:tc>
      </w:tr>
      <w:tr w:rsidR="00B76E04" w14:paraId="11DD0FFF" w14:textId="77777777" w:rsidTr="00A7274D">
        <w:trPr>
          <w:trHeight w:val="147"/>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5E2A5FF" w14:textId="77777777" w:rsidR="00B76E04" w:rsidRDefault="00B76E04" w:rsidP="004C246C">
            <w:pPr>
              <w:spacing w:line="360" w:lineRule="auto"/>
              <w:jc w:val="both"/>
              <w:rPr>
                <w:sz w:val="20"/>
                <w:szCs w:val="20"/>
                <w:lang w:eastAsia="es-MX"/>
              </w:rPr>
            </w:pPr>
            <w:r>
              <w:rPr>
                <w:sz w:val="20"/>
                <w:szCs w:val="20"/>
                <w:lang w:eastAsia="es-MX"/>
              </w:rPr>
              <w:t>Poder Judicial</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14:paraId="5306F363" w14:textId="77777777" w:rsidR="00B76E04" w:rsidRDefault="00B76E04" w:rsidP="004C246C">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CB40F4E"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575,903,410.00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14:paraId="32BC0438" w14:textId="77777777" w:rsidR="00B76E04" w:rsidRDefault="00B76E04" w:rsidP="004C246C">
            <w:pPr>
              <w:spacing w:line="360" w:lineRule="auto"/>
              <w:rPr>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1FAACDC"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0.00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14:paraId="38C66FEE" w14:textId="77777777" w:rsidR="00B76E04" w:rsidRDefault="00B76E04" w:rsidP="004C246C">
            <w:pPr>
              <w:spacing w:line="360" w:lineRule="auto"/>
              <w:rPr>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FC0C89E"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575,903,410.00</w:t>
            </w:r>
          </w:p>
        </w:tc>
      </w:tr>
      <w:tr w:rsidR="00B76E04" w14:paraId="70875754" w14:textId="77777777" w:rsidTr="00A7274D">
        <w:trPr>
          <w:trHeight w:val="70"/>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8BB5EC2" w14:textId="77777777" w:rsidR="00B76E04" w:rsidRDefault="00B76E04" w:rsidP="004C246C">
            <w:pPr>
              <w:spacing w:line="360" w:lineRule="auto"/>
              <w:jc w:val="both"/>
              <w:rPr>
                <w:sz w:val="20"/>
                <w:szCs w:val="20"/>
                <w:lang w:eastAsia="es-MX"/>
              </w:rPr>
            </w:pPr>
            <w:r>
              <w:rPr>
                <w:sz w:val="20"/>
                <w:szCs w:val="20"/>
                <w:lang w:eastAsia="es-MX"/>
              </w:rPr>
              <w:t>Órganos Autónomos</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14:paraId="772F305C" w14:textId="77777777" w:rsidR="00B76E04" w:rsidRDefault="00B76E04" w:rsidP="004C246C">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85F2B3C"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993,209,506.00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14:paraId="260A99B4" w14:textId="77777777" w:rsidR="00B76E04" w:rsidRDefault="00B76E04" w:rsidP="004C246C">
            <w:pPr>
              <w:spacing w:line="360" w:lineRule="auto"/>
              <w:rPr>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FB7605C"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0.00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14:paraId="38F89EAF" w14:textId="77777777" w:rsidR="00B76E04" w:rsidRDefault="00B76E04" w:rsidP="004C246C">
            <w:pPr>
              <w:spacing w:line="360" w:lineRule="auto"/>
              <w:rPr>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4EC83C1"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993,209,506.00</w:t>
            </w:r>
          </w:p>
        </w:tc>
      </w:tr>
      <w:tr w:rsidR="00B76E04" w14:paraId="081A09B8" w14:textId="77777777" w:rsidTr="00A7274D">
        <w:trPr>
          <w:trHeight w:val="216"/>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32E3804" w14:textId="77777777" w:rsidR="00B76E04" w:rsidRDefault="00B76E04" w:rsidP="004C246C">
            <w:pPr>
              <w:spacing w:line="360" w:lineRule="auto"/>
              <w:jc w:val="both"/>
              <w:rPr>
                <w:sz w:val="20"/>
                <w:szCs w:val="20"/>
                <w:lang w:eastAsia="es-MX"/>
              </w:rPr>
            </w:pPr>
            <w:r>
              <w:rPr>
                <w:sz w:val="20"/>
                <w:szCs w:val="20"/>
                <w:lang w:eastAsia="es-MX"/>
              </w:rPr>
              <w:t>Poder Ejecutivo</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14:paraId="6F27A6B9" w14:textId="77777777" w:rsidR="00B76E04" w:rsidRDefault="00B76E04" w:rsidP="004C246C">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F340D07"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10,989,942,403.00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14:paraId="6AE4AF44" w14:textId="77777777" w:rsidR="00B76E04" w:rsidRDefault="00B76E04" w:rsidP="004C246C">
            <w:pPr>
              <w:spacing w:line="360" w:lineRule="auto"/>
              <w:rPr>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224A8DB"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10,888,843,645.00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14:paraId="336EBBCA" w14:textId="77777777" w:rsidR="00B76E04" w:rsidRDefault="00B76E04" w:rsidP="004C246C">
            <w:pPr>
              <w:spacing w:line="360" w:lineRule="auto"/>
              <w:rPr>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A27133E"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21,878,786,048.00</w:t>
            </w:r>
          </w:p>
        </w:tc>
      </w:tr>
      <w:tr w:rsidR="00B76E04" w14:paraId="1E5BA25D" w14:textId="77777777" w:rsidTr="00A7274D">
        <w:trPr>
          <w:trHeight w:val="414"/>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9F3834D" w14:textId="77777777" w:rsidR="00B76E04" w:rsidRDefault="00B76E04" w:rsidP="004C246C">
            <w:pPr>
              <w:spacing w:line="360" w:lineRule="auto"/>
              <w:jc w:val="both"/>
              <w:rPr>
                <w:sz w:val="20"/>
                <w:szCs w:val="20"/>
                <w:lang w:eastAsia="es-MX"/>
              </w:rPr>
            </w:pPr>
            <w:r>
              <w:rPr>
                <w:sz w:val="20"/>
                <w:szCs w:val="20"/>
                <w:lang w:eastAsia="es-MX"/>
              </w:rPr>
              <w:t>Municipios</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14:paraId="3E01084D" w14:textId="77777777" w:rsidR="00B76E04" w:rsidRDefault="00B76E04" w:rsidP="004C246C">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8A837F5"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3,281,775,215.00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14:paraId="78777E81" w14:textId="77777777" w:rsidR="00B76E04" w:rsidRDefault="00B76E04" w:rsidP="004C246C">
            <w:pPr>
              <w:spacing w:line="360" w:lineRule="auto"/>
              <w:rPr>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B3D062A"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2,852,898,599.00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14:paraId="0F2230EF" w14:textId="77777777" w:rsidR="00B76E04" w:rsidRDefault="00B76E04" w:rsidP="004C246C">
            <w:pPr>
              <w:spacing w:line="360" w:lineRule="auto"/>
              <w:rPr>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DBBF2BA" w14:textId="77777777" w:rsidR="00B76E04" w:rsidRDefault="00B76E04" w:rsidP="004C246C">
            <w:pPr>
              <w:spacing w:line="360" w:lineRule="auto"/>
              <w:jc w:val="right"/>
              <w:rPr>
                <w:color w:val="000000"/>
                <w:sz w:val="20"/>
                <w:szCs w:val="20"/>
              </w:rPr>
            </w:pPr>
            <w:r w:rsidRPr="007B7F23">
              <w:rPr>
                <w:color w:val="000000"/>
                <w:sz w:val="20"/>
                <w:szCs w:val="20"/>
                <w:lang w:val="es-MX" w:eastAsia="es-MX"/>
              </w:rPr>
              <w:t>6,134,673,814.00</w:t>
            </w:r>
          </w:p>
        </w:tc>
      </w:tr>
      <w:tr w:rsidR="00B76E04" w14:paraId="0C45E092" w14:textId="77777777" w:rsidTr="00A7274D">
        <w:trPr>
          <w:trHeight w:val="330"/>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3C7086A1" w14:textId="77777777" w:rsidR="00B76E04" w:rsidRDefault="00B76E04" w:rsidP="004C246C">
            <w:pPr>
              <w:spacing w:line="360" w:lineRule="auto"/>
              <w:jc w:val="center"/>
              <w:rPr>
                <w:b/>
                <w:bCs/>
                <w:sz w:val="20"/>
                <w:szCs w:val="20"/>
                <w:lang w:eastAsia="es-MX"/>
              </w:rPr>
            </w:pPr>
            <w:r>
              <w:rPr>
                <w:b/>
                <w:bCs/>
                <w:sz w:val="20"/>
                <w:szCs w:val="20"/>
                <w:lang w:eastAsia="es-MX"/>
              </w:rPr>
              <w:t>TOTAL</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14:paraId="43E994D9" w14:textId="77777777" w:rsidR="00B76E04" w:rsidRDefault="00B76E04" w:rsidP="004C246C">
            <w:pPr>
              <w:spacing w:line="360" w:lineRule="auto"/>
              <w:rPr>
                <w:b/>
                <w:bCs/>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730011CF" w14:textId="77777777" w:rsidR="00B76E04" w:rsidRDefault="00B76E04" w:rsidP="004C246C">
            <w:pPr>
              <w:spacing w:line="360" w:lineRule="auto"/>
              <w:jc w:val="right"/>
              <w:rPr>
                <w:b/>
                <w:bCs/>
                <w:color w:val="000000"/>
                <w:sz w:val="20"/>
                <w:szCs w:val="20"/>
              </w:rPr>
            </w:pPr>
            <w:r w:rsidRPr="007B7F23">
              <w:rPr>
                <w:b/>
                <w:bCs/>
                <w:color w:val="000000"/>
                <w:sz w:val="20"/>
                <w:szCs w:val="20"/>
                <w:lang w:val="es-MX" w:eastAsia="es-MX"/>
              </w:rPr>
              <w:t>16,344,336,784.00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14:paraId="64B82F41" w14:textId="77777777" w:rsidR="00B76E04" w:rsidRDefault="00B76E04" w:rsidP="004C246C">
            <w:pPr>
              <w:spacing w:line="360" w:lineRule="auto"/>
              <w:rPr>
                <w:b/>
                <w:bCs/>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08F9B09A" w14:textId="77777777" w:rsidR="00B76E04" w:rsidRDefault="00B76E04" w:rsidP="004C246C">
            <w:pPr>
              <w:spacing w:line="360" w:lineRule="auto"/>
              <w:jc w:val="right"/>
              <w:rPr>
                <w:b/>
                <w:bCs/>
                <w:color w:val="000000"/>
                <w:sz w:val="20"/>
                <w:szCs w:val="20"/>
              </w:rPr>
            </w:pPr>
            <w:r w:rsidRPr="007B7F23">
              <w:rPr>
                <w:b/>
                <w:bCs/>
                <w:color w:val="000000"/>
                <w:sz w:val="20"/>
                <w:szCs w:val="20"/>
                <w:lang w:val="es-MX" w:eastAsia="es-MX"/>
              </w:rPr>
              <w:t>13,741,742,244.00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14:paraId="6DF8AB35" w14:textId="77777777" w:rsidR="00B76E04" w:rsidRDefault="00B76E04" w:rsidP="004C246C">
            <w:pPr>
              <w:spacing w:line="360" w:lineRule="auto"/>
              <w:rPr>
                <w:b/>
                <w:bCs/>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77CCF0FC" w14:textId="77777777" w:rsidR="00B76E04" w:rsidRDefault="00B76E04" w:rsidP="004C246C">
            <w:pPr>
              <w:spacing w:line="360" w:lineRule="auto"/>
              <w:jc w:val="right"/>
              <w:rPr>
                <w:b/>
                <w:bCs/>
                <w:color w:val="000000"/>
                <w:sz w:val="20"/>
                <w:szCs w:val="20"/>
              </w:rPr>
            </w:pPr>
            <w:r w:rsidRPr="007B7F23">
              <w:rPr>
                <w:b/>
                <w:bCs/>
                <w:color w:val="000000"/>
                <w:sz w:val="20"/>
                <w:szCs w:val="20"/>
                <w:lang w:val="es-MX" w:eastAsia="es-MX"/>
              </w:rPr>
              <w:t>30,086,079,028.00</w:t>
            </w:r>
          </w:p>
        </w:tc>
      </w:tr>
    </w:tbl>
    <w:p w14:paraId="4278CADA" w14:textId="77777777" w:rsidR="007B2196" w:rsidRDefault="007B2196" w:rsidP="004C246C">
      <w:pPr>
        <w:spacing w:line="360" w:lineRule="auto"/>
        <w:jc w:val="both"/>
        <w:rPr>
          <w:rFonts w:eastAsia="Calibri"/>
          <w:sz w:val="20"/>
          <w:szCs w:val="20"/>
        </w:rPr>
      </w:pPr>
    </w:p>
    <w:p w14:paraId="738EAA7B" w14:textId="1F66B6A0" w:rsidR="00B76E04" w:rsidRDefault="00B76E04" w:rsidP="004C246C">
      <w:pPr>
        <w:spacing w:line="360" w:lineRule="auto"/>
        <w:jc w:val="both"/>
        <w:rPr>
          <w:rFonts w:eastAsia="Calibri"/>
          <w:sz w:val="20"/>
          <w:szCs w:val="20"/>
        </w:rPr>
      </w:pPr>
      <w:r w:rsidRPr="00206500">
        <w:rPr>
          <w:rFonts w:eastAsia="Calibri"/>
          <w:sz w:val="20"/>
          <w:szCs w:val="20"/>
        </w:rPr>
        <w:t>Para el Poder Legislativo, se estima un presupuesto total de $</w:t>
      </w:r>
      <w:r>
        <w:rPr>
          <w:rFonts w:eastAsia="Calibri"/>
          <w:sz w:val="20"/>
          <w:szCs w:val="20"/>
        </w:rPr>
        <w:t>503</w:t>
      </w:r>
      <w:r w:rsidRPr="00206500">
        <w:rPr>
          <w:rFonts w:eastAsia="Calibri"/>
          <w:sz w:val="20"/>
          <w:szCs w:val="20"/>
        </w:rPr>
        <w:t>,</w:t>
      </w:r>
      <w:r>
        <w:rPr>
          <w:rFonts w:eastAsia="Calibri"/>
          <w:sz w:val="20"/>
          <w:szCs w:val="20"/>
        </w:rPr>
        <w:t>506</w:t>
      </w:r>
      <w:r w:rsidRPr="00206500">
        <w:rPr>
          <w:rFonts w:eastAsia="Calibri"/>
          <w:sz w:val="20"/>
          <w:szCs w:val="20"/>
        </w:rPr>
        <w:t>,2</w:t>
      </w:r>
      <w:r>
        <w:rPr>
          <w:rFonts w:eastAsia="Calibri"/>
          <w:sz w:val="20"/>
          <w:szCs w:val="20"/>
        </w:rPr>
        <w:t>50</w:t>
      </w:r>
      <w:r w:rsidRPr="00206500">
        <w:rPr>
          <w:rFonts w:eastAsia="Calibri"/>
          <w:sz w:val="20"/>
          <w:szCs w:val="20"/>
        </w:rPr>
        <w:t>.00, que representaría un incremento del 6.</w:t>
      </w:r>
      <w:r>
        <w:rPr>
          <w:rFonts w:eastAsia="Calibri"/>
          <w:sz w:val="20"/>
          <w:szCs w:val="20"/>
        </w:rPr>
        <w:t>1</w:t>
      </w:r>
      <w:r w:rsidRPr="00206500">
        <w:rPr>
          <w:rFonts w:eastAsia="Calibri"/>
          <w:sz w:val="20"/>
          <w:szCs w:val="20"/>
        </w:rPr>
        <w:t xml:space="preserve">% </w:t>
      </w:r>
      <w:r w:rsidRPr="009962A5">
        <w:rPr>
          <w:rFonts w:eastAsia="Calibri"/>
          <w:sz w:val="20"/>
          <w:szCs w:val="20"/>
        </w:rPr>
        <w:t>respecto de 2025, integrado como sigue:</w:t>
      </w:r>
    </w:p>
    <w:p w14:paraId="5022F7E1" w14:textId="77777777" w:rsidR="007B2196" w:rsidRDefault="007B2196" w:rsidP="004C246C">
      <w:pPr>
        <w:spacing w:line="360" w:lineRule="auto"/>
        <w:jc w:val="both"/>
        <w:rPr>
          <w:rFonts w:eastAsia="Calibri"/>
          <w:sz w:val="20"/>
          <w:szCs w:val="20"/>
        </w:rPr>
      </w:pPr>
    </w:p>
    <w:p w14:paraId="432F347C" w14:textId="77777777" w:rsidR="00B76E04" w:rsidRDefault="00B76E04" w:rsidP="004C246C">
      <w:pPr>
        <w:spacing w:line="360" w:lineRule="auto"/>
        <w:jc w:val="both"/>
        <w:rPr>
          <w:rFonts w:eastAsia="Calibri"/>
          <w:sz w:val="20"/>
          <w:szCs w:val="20"/>
        </w:rPr>
      </w:pPr>
    </w:p>
    <w:tbl>
      <w:tblPr>
        <w:tblW w:w="5098" w:type="dxa"/>
        <w:jc w:val="center"/>
        <w:tblCellMar>
          <w:left w:w="70" w:type="dxa"/>
          <w:right w:w="70" w:type="dxa"/>
        </w:tblCellMar>
        <w:tblLook w:val="04A0" w:firstRow="1" w:lastRow="0" w:firstColumn="1" w:lastColumn="0" w:noHBand="0" w:noVBand="1"/>
      </w:tblPr>
      <w:tblGrid>
        <w:gridCol w:w="3681"/>
        <w:gridCol w:w="1417"/>
      </w:tblGrid>
      <w:tr w:rsidR="00B76E04" w:rsidRPr="005C50C6" w14:paraId="7FF8FBA7" w14:textId="77777777" w:rsidTr="00A7274D">
        <w:trPr>
          <w:trHeight w:val="300"/>
          <w:jc w:val="center"/>
        </w:trPr>
        <w:tc>
          <w:tcPr>
            <w:tcW w:w="3681" w:type="dxa"/>
            <w:vMerge w:val="restart"/>
            <w:tcBorders>
              <w:top w:val="single" w:sz="4" w:space="0" w:color="A6A6A6"/>
              <w:left w:val="single" w:sz="4" w:space="0" w:color="A6A6A6"/>
              <w:bottom w:val="single" w:sz="4" w:space="0" w:color="A6A6A6"/>
              <w:right w:val="single" w:sz="4" w:space="0" w:color="A6A6A6"/>
            </w:tcBorders>
            <w:shd w:val="clear" w:color="000000" w:fill="CCCCCC"/>
            <w:vAlign w:val="center"/>
            <w:hideMark/>
          </w:tcPr>
          <w:p w14:paraId="04FD4002" w14:textId="77777777" w:rsidR="00B76E04" w:rsidRPr="005C50C6" w:rsidRDefault="00B76E04" w:rsidP="004C246C">
            <w:pPr>
              <w:spacing w:line="360" w:lineRule="auto"/>
              <w:jc w:val="center"/>
              <w:rPr>
                <w:b/>
                <w:bCs/>
                <w:color w:val="000000"/>
                <w:sz w:val="20"/>
                <w:szCs w:val="20"/>
                <w:lang w:val="es-MX" w:eastAsia="es-MX"/>
              </w:rPr>
            </w:pPr>
            <w:r w:rsidRPr="005C50C6">
              <w:rPr>
                <w:b/>
                <w:bCs/>
                <w:color w:val="000000"/>
                <w:sz w:val="20"/>
                <w:szCs w:val="20"/>
                <w:lang w:eastAsia="es-MX"/>
              </w:rPr>
              <w:t>PODER LEGISLATIVO</w:t>
            </w:r>
          </w:p>
        </w:tc>
        <w:tc>
          <w:tcPr>
            <w:tcW w:w="1417" w:type="dxa"/>
            <w:tcBorders>
              <w:top w:val="single" w:sz="4" w:space="0" w:color="A6A6A6"/>
              <w:left w:val="nil"/>
              <w:bottom w:val="nil"/>
              <w:right w:val="single" w:sz="4" w:space="0" w:color="A6A6A6"/>
            </w:tcBorders>
            <w:shd w:val="clear" w:color="000000" w:fill="CCCCCC"/>
            <w:vAlign w:val="center"/>
            <w:hideMark/>
          </w:tcPr>
          <w:p w14:paraId="028D40BB" w14:textId="77777777" w:rsidR="00B76E04" w:rsidRPr="005C50C6" w:rsidRDefault="00B76E04" w:rsidP="004C246C">
            <w:pPr>
              <w:spacing w:line="360" w:lineRule="auto"/>
              <w:jc w:val="center"/>
              <w:rPr>
                <w:b/>
                <w:bCs/>
                <w:color w:val="000000"/>
                <w:sz w:val="20"/>
                <w:szCs w:val="20"/>
                <w:lang w:val="es-MX" w:eastAsia="es-MX"/>
              </w:rPr>
            </w:pPr>
            <w:r w:rsidRPr="005C50C6">
              <w:rPr>
                <w:b/>
                <w:bCs/>
                <w:color w:val="000000"/>
                <w:sz w:val="20"/>
                <w:szCs w:val="20"/>
                <w:lang w:eastAsia="es-MX"/>
              </w:rPr>
              <w:t>MONTO</w:t>
            </w:r>
          </w:p>
        </w:tc>
      </w:tr>
      <w:tr w:rsidR="00B76E04" w:rsidRPr="005C50C6" w14:paraId="3CD5E0E7" w14:textId="77777777" w:rsidTr="00A7274D">
        <w:trPr>
          <w:trHeight w:val="300"/>
          <w:jc w:val="center"/>
        </w:trPr>
        <w:tc>
          <w:tcPr>
            <w:tcW w:w="3681" w:type="dxa"/>
            <w:vMerge/>
            <w:tcBorders>
              <w:top w:val="single" w:sz="4" w:space="0" w:color="A6A6A6"/>
              <w:left w:val="single" w:sz="4" w:space="0" w:color="A6A6A6"/>
              <w:bottom w:val="single" w:sz="4" w:space="0" w:color="A6A6A6"/>
              <w:right w:val="single" w:sz="4" w:space="0" w:color="A6A6A6"/>
            </w:tcBorders>
            <w:vAlign w:val="center"/>
            <w:hideMark/>
          </w:tcPr>
          <w:p w14:paraId="0DDB3EF1" w14:textId="77777777" w:rsidR="00B76E04" w:rsidRPr="005C50C6" w:rsidRDefault="00B76E04" w:rsidP="004C246C">
            <w:pPr>
              <w:spacing w:line="360" w:lineRule="auto"/>
              <w:rPr>
                <w:b/>
                <w:bCs/>
                <w:color w:val="000000"/>
                <w:sz w:val="20"/>
                <w:szCs w:val="20"/>
                <w:lang w:val="es-MX" w:eastAsia="es-MX"/>
              </w:rPr>
            </w:pPr>
          </w:p>
        </w:tc>
        <w:tc>
          <w:tcPr>
            <w:tcW w:w="1417" w:type="dxa"/>
            <w:tcBorders>
              <w:top w:val="nil"/>
              <w:left w:val="nil"/>
              <w:bottom w:val="single" w:sz="4" w:space="0" w:color="A6A6A6"/>
              <w:right w:val="single" w:sz="4" w:space="0" w:color="A6A6A6"/>
            </w:tcBorders>
            <w:shd w:val="clear" w:color="000000" w:fill="CCCCCC"/>
            <w:vAlign w:val="center"/>
            <w:hideMark/>
          </w:tcPr>
          <w:p w14:paraId="2F0A651D" w14:textId="77777777" w:rsidR="00B76E04" w:rsidRPr="005C50C6" w:rsidRDefault="00B76E04" w:rsidP="004C246C">
            <w:pPr>
              <w:spacing w:line="360" w:lineRule="auto"/>
              <w:jc w:val="center"/>
              <w:rPr>
                <w:b/>
                <w:bCs/>
                <w:color w:val="000000"/>
                <w:sz w:val="20"/>
                <w:szCs w:val="20"/>
                <w:lang w:val="es-MX" w:eastAsia="es-MX"/>
              </w:rPr>
            </w:pPr>
            <w:r w:rsidRPr="005C50C6">
              <w:rPr>
                <w:b/>
                <w:bCs/>
                <w:color w:val="000000"/>
                <w:sz w:val="20"/>
                <w:szCs w:val="20"/>
                <w:lang w:eastAsia="es-MX"/>
              </w:rPr>
              <w:t xml:space="preserve"> ($)</w:t>
            </w:r>
          </w:p>
        </w:tc>
      </w:tr>
      <w:tr w:rsidR="00B76E04" w:rsidRPr="005C50C6" w14:paraId="1B4755C9" w14:textId="77777777" w:rsidTr="00A7274D">
        <w:trPr>
          <w:trHeight w:val="300"/>
          <w:jc w:val="center"/>
        </w:trPr>
        <w:tc>
          <w:tcPr>
            <w:tcW w:w="3681" w:type="dxa"/>
            <w:tcBorders>
              <w:top w:val="nil"/>
              <w:left w:val="single" w:sz="4" w:space="0" w:color="A6A6A6"/>
              <w:bottom w:val="single" w:sz="4" w:space="0" w:color="A6A6A6"/>
              <w:right w:val="single" w:sz="4" w:space="0" w:color="A6A6A6"/>
            </w:tcBorders>
            <w:vAlign w:val="center"/>
            <w:hideMark/>
          </w:tcPr>
          <w:p w14:paraId="7421CFD0" w14:textId="77777777" w:rsidR="00B76E04" w:rsidRPr="005C50C6" w:rsidRDefault="00B76E04" w:rsidP="004C246C">
            <w:pPr>
              <w:spacing w:line="360" w:lineRule="auto"/>
              <w:jc w:val="both"/>
              <w:rPr>
                <w:color w:val="000000"/>
                <w:sz w:val="20"/>
                <w:szCs w:val="20"/>
                <w:lang w:val="es-MX" w:eastAsia="es-MX"/>
              </w:rPr>
            </w:pPr>
            <w:r w:rsidRPr="005C50C6">
              <w:rPr>
                <w:color w:val="000000"/>
                <w:sz w:val="20"/>
                <w:szCs w:val="20"/>
                <w:lang w:eastAsia="es-MX"/>
              </w:rPr>
              <w:t>Congreso del Estado</w:t>
            </w:r>
          </w:p>
        </w:tc>
        <w:tc>
          <w:tcPr>
            <w:tcW w:w="1417" w:type="dxa"/>
            <w:tcBorders>
              <w:top w:val="nil"/>
              <w:left w:val="nil"/>
              <w:bottom w:val="single" w:sz="4" w:space="0" w:color="A6A6A6"/>
              <w:right w:val="single" w:sz="4" w:space="0" w:color="A6A6A6"/>
            </w:tcBorders>
            <w:vAlign w:val="center"/>
            <w:hideMark/>
          </w:tcPr>
          <w:p w14:paraId="502E4CDB" w14:textId="77777777" w:rsidR="00B76E04" w:rsidRPr="005C50C6" w:rsidRDefault="00B76E04" w:rsidP="004C246C">
            <w:pPr>
              <w:spacing w:line="360" w:lineRule="auto"/>
              <w:jc w:val="right"/>
              <w:rPr>
                <w:color w:val="000000"/>
                <w:sz w:val="20"/>
                <w:szCs w:val="20"/>
                <w:lang w:val="es-MX" w:eastAsia="es-MX"/>
              </w:rPr>
            </w:pPr>
            <w:r w:rsidRPr="005C50C6">
              <w:rPr>
                <w:color w:val="000000"/>
                <w:sz w:val="20"/>
                <w:szCs w:val="20"/>
                <w:lang w:val="es-MX" w:eastAsia="es-MX"/>
              </w:rPr>
              <w:t>408,425,123.00</w:t>
            </w:r>
          </w:p>
        </w:tc>
      </w:tr>
      <w:tr w:rsidR="00B76E04" w:rsidRPr="005C50C6" w14:paraId="28A77786" w14:textId="77777777" w:rsidTr="00A7274D">
        <w:trPr>
          <w:trHeight w:val="300"/>
          <w:jc w:val="center"/>
        </w:trPr>
        <w:tc>
          <w:tcPr>
            <w:tcW w:w="3681" w:type="dxa"/>
            <w:tcBorders>
              <w:top w:val="nil"/>
              <w:left w:val="single" w:sz="4" w:space="0" w:color="A6A6A6"/>
              <w:bottom w:val="single" w:sz="4" w:space="0" w:color="A6A6A6"/>
              <w:right w:val="single" w:sz="4" w:space="0" w:color="A6A6A6"/>
            </w:tcBorders>
            <w:vAlign w:val="center"/>
            <w:hideMark/>
          </w:tcPr>
          <w:p w14:paraId="1AB2CCE6" w14:textId="77777777" w:rsidR="00B76E04" w:rsidRPr="005C50C6" w:rsidRDefault="00B76E04" w:rsidP="004C246C">
            <w:pPr>
              <w:spacing w:line="360" w:lineRule="auto"/>
              <w:jc w:val="both"/>
              <w:rPr>
                <w:color w:val="000000"/>
                <w:sz w:val="20"/>
                <w:szCs w:val="20"/>
                <w:lang w:val="es-MX" w:eastAsia="es-MX"/>
              </w:rPr>
            </w:pPr>
            <w:r w:rsidRPr="005C50C6">
              <w:rPr>
                <w:color w:val="000000"/>
                <w:sz w:val="20"/>
                <w:szCs w:val="20"/>
                <w:lang w:eastAsia="es-MX"/>
              </w:rPr>
              <w:t xml:space="preserve">Órgano de Fiscalización Superior </w:t>
            </w:r>
          </w:p>
        </w:tc>
        <w:tc>
          <w:tcPr>
            <w:tcW w:w="1417" w:type="dxa"/>
            <w:tcBorders>
              <w:top w:val="nil"/>
              <w:left w:val="nil"/>
              <w:bottom w:val="single" w:sz="4" w:space="0" w:color="A6A6A6"/>
              <w:right w:val="single" w:sz="4" w:space="0" w:color="A6A6A6"/>
            </w:tcBorders>
            <w:vAlign w:val="center"/>
            <w:hideMark/>
          </w:tcPr>
          <w:p w14:paraId="586B54F7" w14:textId="77777777" w:rsidR="00B76E04" w:rsidRPr="005C50C6" w:rsidRDefault="00B76E04" w:rsidP="004C246C">
            <w:pPr>
              <w:spacing w:line="360" w:lineRule="auto"/>
              <w:jc w:val="right"/>
              <w:rPr>
                <w:color w:val="000000"/>
                <w:sz w:val="20"/>
                <w:szCs w:val="20"/>
                <w:lang w:val="es-MX" w:eastAsia="es-MX"/>
              </w:rPr>
            </w:pPr>
            <w:r w:rsidRPr="005C50C6">
              <w:rPr>
                <w:color w:val="000000"/>
                <w:sz w:val="20"/>
                <w:szCs w:val="20"/>
                <w:lang w:val="es-MX" w:eastAsia="es-MX"/>
              </w:rPr>
              <w:t>95,081,127.00</w:t>
            </w:r>
          </w:p>
        </w:tc>
      </w:tr>
      <w:tr w:rsidR="00B76E04" w:rsidRPr="005C50C6" w14:paraId="6F59FEDC" w14:textId="77777777" w:rsidTr="00A7274D">
        <w:trPr>
          <w:trHeight w:val="300"/>
          <w:jc w:val="center"/>
        </w:trPr>
        <w:tc>
          <w:tcPr>
            <w:tcW w:w="3681" w:type="dxa"/>
            <w:tcBorders>
              <w:top w:val="nil"/>
              <w:left w:val="single" w:sz="4" w:space="0" w:color="A6A6A6"/>
              <w:bottom w:val="single" w:sz="4" w:space="0" w:color="A6A6A6"/>
              <w:right w:val="single" w:sz="4" w:space="0" w:color="A6A6A6"/>
            </w:tcBorders>
            <w:shd w:val="clear" w:color="000000" w:fill="CCCCCC"/>
            <w:vAlign w:val="center"/>
            <w:hideMark/>
          </w:tcPr>
          <w:p w14:paraId="3BA129D2" w14:textId="77777777" w:rsidR="00B76E04" w:rsidRPr="005C50C6" w:rsidRDefault="00B76E04" w:rsidP="004C246C">
            <w:pPr>
              <w:spacing w:line="360" w:lineRule="auto"/>
              <w:jc w:val="center"/>
              <w:rPr>
                <w:b/>
                <w:bCs/>
                <w:color w:val="000000"/>
                <w:sz w:val="20"/>
                <w:szCs w:val="20"/>
                <w:lang w:val="es-MX" w:eastAsia="es-MX"/>
              </w:rPr>
            </w:pPr>
            <w:r w:rsidRPr="005C50C6">
              <w:rPr>
                <w:b/>
                <w:bCs/>
                <w:color w:val="000000"/>
                <w:sz w:val="20"/>
                <w:szCs w:val="20"/>
                <w:lang w:eastAsia="es-MX"/>
              </w:rPr>
              <w:t>TOTAL</w:t>
            </w:r>
          </w:p>
        </w:tc>
        <w:tc>
          <w:tcPr>
            <w:tcW w:w="1417" w:type="dxa"/>
            <w:tcBorders>
              <w:top w:val="nil"/>
              <w:left w:val="nil"/>
              <w:bottom w:val="single" w:sz="4" w:space="0" w:color="A6A6A6"/>
              <w:right w:val="single" w:sz="4" w:space="0" w:color="A6A6A6"/>
            </w:tcBorders>
            <w:shd w:val="clear" w:color="000000" w:fill="CCCCCC"/>
            <w:vAlign w:val="center"/>
            <w:hideMark/>
          </w:tcPr>
          <w:p w14:paraId="30CE2479" w14:textId="77777777" w:rsidR="00B76E04" w:rsidRPr="005C50C6" w:rsidRDefault="00B76E04" w:rsidP="004C246C">
            <w:pPr>
              <w:spacing w:line="360" w:lineRule="auto"/>
              <w:jc w:val="right"/>
              <w:rPr>
                <w:b/>
                <w:bCs/>
                <w:color w:val="000000"/>
                <w:sz w:val="20"/>
                <w:szCs w:val="20"/>
                <w:lang w:val="es-MX" w:eastAsia="es-MX"/>
              </w:rPr>
            </w:pPr>
            <w:r w:rsidRPr="005C50C6">
              <w:rPr>
                <w:b/>
                <w:bCs/>
                <w:color w:val="000000"/>
                <w:sz w:val="20"/>
                <w:szCs w:val="20"/>
                <w:lang w:eastAsia="es-MX"/>
              </w:rPr>
              <w:t>503,506,250.00</w:t>
            </w:r>
          </w:p>
        </w:tc>
      </w:tr>
    </w:tbl>
    <w:p w14:paraId="6A933402" w14:textId="77777777" w:rsidR="00B76E04" w:rsidRDefault="00B76E04" w:rsidP="004C246C">
      <w:pPr>
        <w:spacing w:line="360" w:lineRule="auto"/>
        <w:jc w:val="both"/>
        <w:rPr>
          <w:rFonts w:eastAsia="Calibri"/>
          <w:sz w:val="20"/>
          <w:szCs w:val="20"/>
        </w:rPr>
      </w:pPr>
    </w:p>
    <w:p w14:paraId="2C3F14C2" w14:textId="77777777" w:rsidR="00B76E04" w:rsidRDefault="00B76E04" w:rsidP="004C246C">
      <w:pPr>
        <w:spacing w:line="360" w:lineRule="auto"/>
        <w:jc w:val="center"/>
        <w:rPr>
          <w:rFonts w:eastAsia="Calibri"/>
          <w:b/>
          <w:sz w:val="20"/>
          <w:szCs w:val="20"/>
        </w:rPr>
      </w:pPr>
      <w:r>
        <w:rPr>
          <w:rFonts w:eastAsia="Calibri"/>
          <w:b/>
          <w:sz w:val="20"/>
          <w:szCs w:val="20"/>
        </w:rPr>
        <w:t>ÓRGANOS AUTÓNOMOS</w:t>
      </w:r>
      <w:r>
        <w:rPr>
          <w:rFonts w:eastAsia="Calibri"/>
          <w:sz w:val="20"/>
          <w:szCs w:val="20"/>
        </w:rPr>
        <w:t xml:space="preserve">.  </w:t>
      </w:r>
    </w:p>
    <w:p w14:paraId="0B0C1CC3" w14:textId="77777777" w:rsidR="00B76E04" w:rsidRDefault="00B76E04" w:rsidP="004C246C">
      <w:pPr>
        <w:spacing w:line="360" w:lineRule="auto"/>
        <w:jc w:val="both"/>
        <w:rPr>
          <w:rFonts w:eastAsia="Calibri"/>
          <w:sz w:val="20"/>
          <w:szCs w:val="20"/>
        </w:rPr>
      </w:pPr>
      <w:r w:rsidRPr="00206500">
        <w:rPr>
          <w:rFonts w:eastAsia="Calibri"/>
          <w:sz w:val="20"/>
          <w:szCs w:val="20"/>
        </w:rPr>
        <w:t>Para los Órganos Autónomos, se estima un presupuesto global de $9</w:t>
      </w:r>
      <w:r>
        <w:rPr>
          <w:rFonts w:eastAsia="Calibri"/>
          <w:sz w:val="20"/>
          <w:szCs w:val="20"/>
        </w:rPr>
        <w:t>93</w:t>
      </w:r>
      <w:r w:rsidRPr="00206500">
        <w:rPr>
          <w:rFonts w:eastAsia="Calibri"/>
          <w:sz w:val="20"/>
          <w:szCs w:val="20"/>
        </w:rPr>
        <w:t>,</w:t>
      </w:r>
      <w:r>
        <w:rPr>
          <w:rFonts w:eastAsia="Calibri"/>
          <w:sz w:val="20"/>
          <w:szCs w:val="20"/>
        </w:rPr>
        <w:t>209</w:t>
      </w:r>
      <w:r w:rsidRPr="00206500">
        <w:rPr>
          <w:rFonts w:eastAsia="Calibri"/>
          <w:sz w:val="20"/>
          <w:szCs w:val="20"/>
        </w:rPr>
        <w:t>,</w:t>
      </w:r>
      <w:r>
        <w:rPr>
          <w:rFonts w:eastAsia="Calibri"/>
          <w:sz w:val="20"/>
          <w:szCs w:val="20"/>
        </w:rPr>
        <w:t>506</w:t>
      </w:r>
      <w:r w:rsidRPr="00206500">
        <w:rPr>
          <w:rFonts w:eastAsia="Calibri"/>
          <w:sz w:val="20"/>
          <w:szCs w:val="20"/>
        </w:rPr>
        <w:t>.00, como a continuación se detalla</w:t>
      </w:r>
      <w:r>
        <w:rPr>
          <w:rFonts w:eastAsia="Calibri"/>
          <w:sz w:val="20"/>
          <w:szCs w:val="20"/>
        </w:rPr>
        <w:t>:</w:t>
      </w:r>
    </w:p>
    <w:p w14:paraId="4D53FE5F" w14:textId="77777777" w:rsidR="0038568A" w:rsidRDefault="0038568A" w:rsidP="004C246C">
      <w:pPr>
        <w:spacing w:line="360" w:lineRule="auto"/>
        <w:jc w:val="both"/>
        <w:rPr>
          <w:rFonts w:eastAsia="Calibri"/>
          <w:sz w:val="20"/>
          <w:szCs w:val="20"/>
        </w:rPr>
      </w:pPr>
    </w:p>
    <w:tbl>
      <w:tblPr>
        <w:tblW w:w="5949" w:type="dxa"/>
        <w:jc w:val="center"/>
        <w:tblCellMar>
          <w:left w:w="70" w:type="dxa"/>
          <w:right w:w="70" w:type="dxa"/>
        </w:tblCellMar>
        <w:tblLook w:val="04A0" w:firstRow="1" w:lastRow="0" w:firstColumn="1" w:lastColumn="0" w:noHBand="0" w:noVBand="1"/>
      </w:tblPr>
      <w:tblGrid>
        <w:gridCol w:w="4559"/>
        <w:gridCol w:w="1390"/>
      </w:tblGrid>
      <w:tr w:rsidR="00B76E04" w:rsidRPr="00A04E7F" w14:paraId="551EB042" w14:textId="77777777" w:rsidTr="00A7274D">
        <w:trPr>
          <w:trHeight w:val="300"/>
          <w:jc w:val="center"/>
        </w:trPr>
        <w:tc>
          <w:tcPr>
            <w:tcW w:w="4559" w:type="dxa"/>
            <w:vMerge w:val="restart"/>
            <w:tcBorders>
              <w:top w:val="single" w:sz="4" w:space="0" w:color="A6A6A6"/>
              <w:left w:val="single" w:sz="4" w:space="0" w:color="A6A6A6"/>
              <w:bottom w:val="single" w:sz="4" w:space="0" w:color="A6A6A6"/>
              <w:right w:val="single" w:sz="4" w:space="0" w:color="A6A6A6"/>
            </w:tcBorders>
            <w:shd w:val="clear" w:color="000000" w:fill="CCCCCC"/>
            <w:vAlign w:val="center"/>
            <w:hideMark/>
          </w:tcPr>
          <w:p w14:paraId="6AB826D9" w14:textId="77777777" w:rsidR="00B76E04" w:rsidRPr="00A04E7F" w:rsidRDefault="00B76E04" w:rsidP="004C246C">
            <w:pPr>
              <w:spacing w:line="360" w:lineRule="auto"/>
              <w:jc w:val="center"/>
              <w:rPr>
                <w:b/>
                <w:bCs/>
                <w:color w:val="000000"/>
                <w:sz w:val="20"/>
                <w:szCs w:val="20"/>
                <w:lang w:val="es-MX" w:eastAsia="es-MX"/>
              </w:rPr>
            </w:pPr>
            <w:r w:rsidRPr="00A04E7F">
              <w:rPr>
                <w:b/>
                <w:bCs/>
                <w:color w:val="000000"/>
                <w:sz w:val="20"/>
                <w:szCs w:val="20"/>
                <w:lang w:eastAsia="es-MX"/>
              </w:rPr>
              <w:t>AUTÓNOMOS</w:t>
            </w:r>
          </w:p>
        </w:tc>
        <w:tc>
          <w:tcPr>
            <w:tcW w:w="1390" w:type="dxa"/>
            <w:tcBorders>
              <w:top w:val="single" w:sz="4" w:space="0" w:color="A6A6A6"/>
              <w:left w:val="nil"/>
              <w:bottom w:val="nil"/>
              <w:right w:val="single" w:sz="4" w:space="0" w:color="A6A6A6"/>
            </w:tcBorders>
            <w:shd w:val="clear" w:color="000000" w:fill="CCCCCC"/>
            <w:vAlign w:val="center"/>
            <w:hideMark/>
          </w:tcPr>
          <w:p w14:paraId="35B75402" w14:textId="77777777" w:rsidR="00B76E04" w:rsidRPr="00A04E7F" w:rsidRDefault="00B76E04" w:rsidP="004C246C">
            <w:pPr>
              <w:spacing w:line="360" w:lineRule="auto"/>
              <w:jc w:val="center"/>
              <w:rPr>
                <w:b/>
                <w:bCs/>
                <w:color w:val="000000"/>
                <w:sz w:val="20"/>
                <w:szCs w:val="20"/>
                <w:lang w:val="es-MX" w:eastAsia="es-MX"/>
              </w:rPr>
            </w:pPr>
            <w:r w:rsidRPr="00A04E7F">
              <w:rPr>
                <w:b/>
                <w:bCs/>
                <w:color w:val="000000"/>
                <w:sz w:val="20"/>
                <w:szCs w:val="20"/>
                <w:lang w:eastAsia="es-MX"/>
              </w:rPr>
              <w:t xml:space="preserve">MONTO  </w:t>
            </w:r>
          </w:p>
        </w:tc>
      </w:tr>
      <w:tr w:rsidR="00B76E04" w:rsidRPr="00A04E7F" w14:paraId="5132A7D7" w14:textId="77777777" w:rsidTr="00A7274D">
        <w:trPr>
          <w:trHeight w:val="300"/>
          <w:jc w:val="center"/>
        </w:trPr>
        <w:tc>
          <w:tcPr>
            <w:tcW w:w="4559" w:type="dxa"/>
            <w:vMerge/>
            <w:tcBorders>
              <w:top w:val="single" w:sz="4" w:space="0" w:color="A6A6A6"/>
              <w:left w:val="single" w:sz="4" w:space="0" w:color="A6A6A6"/>
              <w:bottom w:val="single" w:sz="4" w:space="0" w:color="A6A6A6"/>
              <w:right w:val="single" w:sz="4" w:space="0" w:color="A6A6A6"/>
            </w:tcBorders>
            <w:vAlign w:val="center"/>
            <w:hideMark/>
          </w:tcPr>
          <w:p w14:paraId="155CC486" w14:textId="77777777" w:rsidR="00B76E04" w:rsidRPr="00A04E7F" w:rsidRDefault="00B76E04" w:rsidP="004C246C">
            <w:pPr>
              <w:spacing w:line="360" w:lineRule="auto"/>
              <w:rPr>
                <w:b/>
                <w:bCs/>
                <w:color w:val="000000"/>
                <w:sz w:val="20"/>
                <w:szCs w:val="20"/>
                <w:lang w:val="es-MX" w:eastAsia="es-MX"/>
              </w:rPr>
            </w:pPr>
          </w:p>
        </w:tc>
        <w:tc>
          <w:tcPr>
            <w:tcW w:w="1390" w:type="dxa"/>
            <w:tcBorders>
              <w:top w:val="nil"/>
              <w:left w:val="nil"/>
              <w:bottom w:val="single" w:sz="4" w:space="0" w:color="A6A6A6"/>
              <w:right w:val="single" w:sz="4" w:space="0" w:color="A6A6A6"/>
            </w:tcBorders>
            <w:shd w:val="clear" w:color="000000" w:fill="CCCCCC"/>
            <w:vAlign w:val="center"/>
            <w:hideMark/>
          </w:tcPr>
          <w:p w14:paraId="22EBF56A" w14:textId="77777777" w:rsidR="00B76E04" w:rsidRPr="00A04E7F" w:rsidRDefault="00B76E04" w:rsidP="004C246C">
            <w:pPr>
              <w:spacing w:line="360" w:lineRule="auto"/>
              <w:jc w:val="center"/>
              <w:rPr>
                <w:b/>
                <w:bCs/>
                <w:color w:val="000000"/>
                <w:sz w:val="20"/>
                <w:szCs w:val="20"/>
                <w:lang w:val="es-MX" w:eastAsia="es-MX"/>
              </w:rPr>
            </w:pPr>
            <w:r w:rsidRPr="00A04E7F">
              <w:rPr>
                <w:b/>
                <w:bCs/>
                <w:color w:val="000000"/>
                <w:sz w:val="20"/>
                <w:szCs w:val="20"/>
                <w:lang w:eastAsia="es-MX"/>
              </w:rPr>
              <w:t>($)</w:t>
            </w:r>
          </w:p>
        </w:tc>
      </w:tr>
      <w:tr w:rsidR="00B76E04" w:rsidRPr="00A04E7F" w14:paraId="19E58C26" w14:textId="77777777" w:rsidTr="00A7274D">
        <w:trPr>
          <w:trHeight w:val="300"/>
          <w:jc w:val="center"/>
        </w:trPr>
        <w:tc>
          <w:tcPr>
            <w:tcW w:w="4559" w:type="dxa"/>
            <w:tcBorders>
              <w:top w:val="nil"/>
              <w:left w:val="single" w:sz="4" w:space="0" w:color="A6A6A6"/>
              <w:bottom w:val="single" w:sz="4" w:space="0" w:color="A6A6A6"/>
              <w:right w:val="single" w:sz="4" w:space="0" w:color="A6A6A6"/>
            </w:tcBorders>
            <w:vAlign w:val="center"/>
            <w:hideMark/>
          </w:tcPr>
          <w:p w14:paraId="1F5DD61F" w14:textId="77777777" w:rsidR="00B76E04" w:rsidRPr="00A04E7F" w:rsidRDefault="00B76E04" w:rsidP="004C246C">
            <w:pPr>
              <w:spacing w:line="360" w:lineRule="auto"/>
              <w:jc w:val="both"/>
              <w:rPr>
                <w:color w:val="000000"/>
                <w:sz w:val="20"/>
                <w:szCs w:val="20"/>
                <w:lang w:val="es-MX" w:eastAsia="es-MX"/>
              </w:rPr>
            </w:pPr>
            <w:r w:rsidRPr="00A04E7F">
              <w:rPr>
                <w:color w:val="000000"/>
                <w:sz w:val="20"/>
                <w:szCs w:val="20"/>
                <w:lang w:eastAsia="es-MX"/>
              </w:rPr>
              <w:t>Universidad Autónoma de Tlaxcala</w:t>
            </w:r>
          </w:p>
        </w:tc>
        <w:tc>
          <w:tcPr>
            <w:tcW w:w="1390" w:type="dxa"/>
            <w:tcBorders>
              <w:top w:val="nil"/>
              <w:left w:val="nil"/>
              <w:bottom w:val="single" w:sz="4" w:space="0" w:color="A6A6A6"/>
              <w:right w:val="single" w:sz="4" w:space="0" w:color="A6A6A6"/>
            </w:tcBorders>
            <w:vAlign w:val="center"/>
            <w:hideMark/>
          </w:tcPr>
          <w:p w14:paraId="6DEC3621"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val="es-MX" w:eastAsia="es-MX"/>
              </w:rPr>
              <w:t>140,930,151.00</w:t>
            </w:r>
          </w:p>
        </w:tc>
      </w:tr>
      <w:tr w:rsidR="00B76E04" w:rsidRPr="00A04E7F" w14:paraId="10DFD380" w14:textId="77777777" w:rsidTr="00A7274D">
        <w:trPr>
          <w:trHeight w:val="300"/>
          <w:jc w:val="center"/>
        </w:trPr>
        <w:tc>
          <w:tcPr>
            <w:tcW w:w="4559" w:type="dxa"/>
            <w:tcBorders>
              <w:top w:val="nil"/>
              <w:left w:val="single" w:sz="4" w:space="0" w:color="A6A6A6"/>
              <w:bottom w:val="single" w:sz="4" w:space="0" w:color="A6A6A6"/>
              <w:right w:val="single" w:sz="4" w:space="0" w:color="A6A6A6"/>
            </w:tcBorders>
            <w:vAlign w:val="center"/>
            <w:hideMark/>
          </w:tcPr>
          <w:p w14:paraId="163E4089" w14:textId="77777777" w:rsidR="00B76E04" w:rsidRPr="00A04E7F" w:rsidRDefault="00B76E04" w:rsidP="004C246C">
            <w:pPr>
              <w:spacing w:line="360" w:lineRule="auto"/>
              <w:jc w:val="both"/>
              <w:rPr>
                <w:color w:val="000000"/>
                <w:sz w:val="20"/>
                <w:szCs w:val="20"/>
                <w:lang w:val="es-MX" w:eastAsia="es-MX"/>
              </w:rPr>
            </w:pPr>
            <w:r w:rsidRPr="00A04E7F">
              <w:rPr>
                <w:color w:val="000000"/>
                <w:sz w:val="20"/>
                <w:szCs w:val="20"/>
                <w:lang w:eastAsia="es-MX"/>
              </w:rPr>
              <w:t>Comisión Estatal de Derechos Humanos</w:t>
            </w:r>
          </w:p>
        </w:tc>
        <w:tc>
          <w:tcPr>
            <w:tcW w:w="1390" w:type="dxa"/>
            <w:tcBorders>
              <w:top w:val="nil"/>
              <w:left w:val="nil"/>
              <w:bottom w:val="single" w:sz="4" w:space="0" w:color="A6A6A6"/>
              <w:right w:val="single" w:sz="4" w:space="0" w:color="A6A6A6"/>
            </w:tcBorders>
            <w:vAlign w:val="center"/>
            <w:hideMark/>
          </w:tcPr>
          <w:p w14:paraId="6D3E7A1E"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val="es-MX" w:eastAsia="es-MX"/>
              </w:rPr>
              <w:t>29,105,439.00</w:t>
            </w:r>
          </w:p>
        </w:tc>
      </w:tr>
      <w:tr w:rsidR="00B76E04" w:rsidRPr="00A04E7F" w14:paraId="6E2711A2" w14:textId="77777777" w:rsidTr="00A7274D">
        <w:trPr>
          <w:trHeight w:val="300"/>
          <w:jc w:val="center"/>
        </w:trPr>
        <w:tc>
          <w:tcPr>
            <w:tcW w:w="4559" w:type="dxa"/>
            <w:tcBorders>
              <w:top w:val="nil"/>
              <w:left w:val="single" w:sz="4" w:space="0" w:color="A6A6A6"/>
              <w:bottom w:val="single" w:sz="4" w:space="0" w:color="A6A6A6"/>
              <w:right w:val="single" w:sz="4" w:space="0" w:color="A6A6A6"/>
            </w:tcBorders>
            <w:vAlign w:val="center"/>
            <w:hideMark/>
          </w:tcPr>
          <w:p w14:paraId="75C1A00D" w14:textId="77777777" w:rsidR="00B76E04" w:rsidRPr="00A04E7F" w:rsidRDefault="00B76E04" w:rsidP="004C246C">
            <w:pPr>
              <w:spacing w:line="360" w:lineRule="auto"/>
              <w:jc w:val="both"/>
              <w:rPr>
                <w:color w:val="000000"/>
                <w:sz w:val="20"/>
                <w:szCs w:val="20"/>
                <w:lang w:val="es-MX" w:eastAsia="es-MX"/>
              </w:rPr>
            </w:pPr>
            <w:r w:rsidRPr="00A04E7F">
              <w:rPr>
                <w:color w:val="000000"/>
                <w:sz w:val="20"/>
                <w:szCs w:val="20"/>
                <w:lang w:eastAsia="es-MX"/>
              </w:rPr>
              <w:t>Instituto Tlaxcalteca de Elecciones</w:t>
            </w:r>
          </w:p>
        </w:tc>
        <w:tc>
          <w:tcPr>
            <w:tcW w:w="1390" w:type="dxa"/>
            <w:tcBorders>
              <w:top w:val="nil"/>
              <w:left w:val="nil"/>
              <w:bottom w:val="single" w:sz="4" w:space="0" w:color="A6A6A6"/>
              <w:right w:val="single" w:sz="4" w:space="0" w:color="A6A6A6"/>
            </w:tcBorders>
            <w:vAlign w:val="center"/>
            <w:hideMark/>
          </w:tcPr>
          <w:p w14:paraId="202608A9"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val="es-MX" w:eastAsia="es-MX"/>
              </w:rPr>
              <w:t>134,990,553.00</w:t>
            </w:r>
          </w:p>
        </w:tc>
      </w:tr>
      <w:tr w:rsidR="00B76E04" w:rsidRPr="00A04E7F" w14:paraId="37B23BDB" w14:textId="77777777" w:rsidTr="00A7274D">
        <w:trPr>
          <w:trHeight w:val="297"/>
          <w:jc w:val="center"/>
        </w:trPr>
        <w:tc>
          <w:tcPr>
            <w:tcW w:w="4559" w:type="dxa"/>
            <w:tcBorders>
              <w:top w:val="nil"/>
              <w:left w:val="single" w:sz="4" w:space="0" w:color="A6A6A6"/>
              <w:bottom w:val="single" w:sz="4" w:space="0" w:color="A6A6A6"/>
              <w:right w:val="single" w:sz="4" w:space="0" w:color="A6A6A6"/>
            </w:tcBorders>
            <w:vAlign w:val="center"/>
            <w:hideMark/>
          </w:tcPr>
          <w:p w14:paraId="6BDC76AD" w14:textId="77777777" w:rsidR="00B76E04" w:rsidRPr="00A04E7F" w:rsidRDefault="00B76E04" w:rsidP="004C246C">
            <w:pPr>
              <w:spacing w:line="360" w:lineRule="auto"/>
              <w:jc w:val="both"/>
              <w:rPr>
                <w:color w:val="000000"/>
                <w:sz w:val="20"/>
                <w:szCs w:val="20"/>
                <w:lang w:val="es-MX" w:eastAsia="es-MX"/>
              </w:rPr>
            </w:pPr>
            <w:r w:rsidRPr="00A04E7F">
              <w:rPr>
                <w:color w:val="000000"/>
                <w:sz w:val="20"/>
                <w:szCs w:val="20"/>
                <w:lang w:eastAsia="es-MX"/>
              </w:rPr>
              <w:t>Tribunal de Conciliación y Arbitraje del Estado</w:t>
            </w:r>
          </w:p>
        </w:tc>
        <w:tc>
          <w:tcPr>
            <w:tcW w:w="1390" w:type="dxa"/>
            <w:tcBorders>
              <w:top w:val="nil"/>
              <w:left w:val="nil"/>
              <w:bottom w:val="single" w:sz="4" w:space="0" w:color="A6A6A6"/>
              <w:right w:val="single" w:sz="4" w:space="0" w:color="A6A6A6"/>
            </w:tcBorders>
            <w:vAlign w:val="center"/>
            <w:hideMark/>
          </w:tcPr>
          <w:p w14:paraId="03C1AA63"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val="es-MX" w:eastAsia="es-MX"/>
              </w:rPr>
              <w:t>19,369,689.00</w:t>
            </w:r>
          </w:p>
        </w:tc>
      </w:tr>
      <w:tr w:rsidR="00B76E04" w:rsidRPr="00A04E7F" w14:paraId="03BAD2A3" w14:textId="77777777" w:rsidTr="00A7274D">
        <w:trPr>
          <w:trHeight w:val="300"/>
          <w:jc w:val="center"/>
        </w:trPr>
        <w:tc>
          <w:tcPr>
            <w:tcW w:w="4559" w:type="dxa"/>
            <w:tcBorders>
              <w:top w:val="nil"/>
              <w:left w:val="single" w:sz="4" w:space="0" w:color="A6A6A6"/>
              <w:bottom w:val="single" w:sz="4" w:space="0" w:color="A6A6A6"/>
              <w:right w:val="single" w:sz="4" w:space="0" w:color="A6A6A6"/>
            </w:tcBorders>
            <w:vAlign w:val="center"/>
            <w:hideMark/>
          </w:tcPr>
          <w:p w14:paraId="4BAF1A9F" w14:textId="77777777" w:rsidR="00B76E04" w:rsidRPr="00A04E7F" w:rsidRDefault="00B76E04" w:rsidP="004C246C">
            <w:pPr>
              <w:spacing w:line="360" w:lineRule="auto"/>
              <w:jc w:val="both"/>
              <w:rPr>
                <w:color w:val="000000"/>
                <w:sz w:val="20"/>
                <w:szCs w:val="20"/>
                <w:lang w:val="es-MX" w:eastAsia="es-MX"/>
              </w:rPr>
            </w:pPr>
            <w:r w:rsidRPr="00A04E7F">
              <w:rPr>
                <w:color w:val="000000"/>
                <w:sz w:val="20"/>
                <w:szCs w:val="20"/>
                <w:lang w:eastAsia="es-MX"/>
              </w:rPr>
              <w:t>Tribunal Electoral de Tlaxcala</w:t>
            </w:r>
          </w:p>
        </w:tc>
        <w:tc>
          <w:tcPr>
            <w:tcW w:w="1390" w:type="dxa"/>
            <w:tcBorders>
              <w:top w:val="nil"/>
              <w:left w:val="nil"/>
              <w:bottom w:val="single" w:sz="4" w:space="0" w:color="A6A6A6"/>
              <w:right w:val="single" w:sz="4" w:space="0" w:color="A6A6A6"/>
            </w:tcBorders>
            <w:vAlign w:val="center"/>
            <w:hideMark/>
          </w:tcPr>
          <w:p w14:paraId="179D2C57"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val="es-MX" w:eastAsia="es-MX"/>
              </w:rPr>
              <w:t>47,970,088.00</w:t>
            </w:r>
          </w:p>
        </w:tc>
      </w:tr>
      <w:tr w:rsidR="00B76E04" w:rsidRPr="00A04E7F" w14:paraId="36611628" w14:textId="77777777" w:rsidTr="00A7274D">
        <w:trPr>
          <w:trHeight w:val="510"/>
          <w:jc w:val="center"/>
        </w:trPr>
        <w:tc>
          <w:tcPr>
            <w:tcW w:w="4559" w:type="dxa"/>
            <w:tcBorders>
              <w:top w:val="nil"/>
              <w:left w:val="single" w:sz="4" w:space="0" w:color="A6A6A6"/>
              <w:bottom w:val="single" w:sz="4" w:space="0" w:color="A6A6A6"/>
              <w:right w:val="single" w:sz="4" w:space="0" w:color="A6A6A6"/>
            </w:tcBorders>
            <w:vAlign w:val="center"/>
            <w:hideMark/>
          </w:tcPr>
          <w:p w14:paraId="312F6034" w14:textId="77777777" w:rsidR="00B76E04" w:rsidRPr="00A04E7F" w:rsidRDefault="00B76E04" w:rsidP="004C246C">
            <w:pPr>
              <w:spacing w:line="360" w:lineRule="auto"/>
              <w:jc w:val="both"/>
              <w:rPr>
                <w:color w:val="000000"/>
                <w:sz w:val="20"/>
                <w:szCs w:val="20"/>
                <w:lang w:val="es-MX" w:eastAsia="es-MX"/>
              </w:rPr>
            </w:pPr>
            <w:r w:rsidRPr="00A04E7F">
              <w:rPr>
                <w:color w:val="000000"/>
                <w:sz w:val="20"/>
                <w:szCs w:val="20"/>
                <w:lang w:eastAsia="es-MX"/>
              </w:rPr>
              <w:t>Secretaria Ejecutiva del Sistema Anticorrupción del Estado de Tlaxcala</w:t>
            </w:r>
          </w:p>
        </w:tc>
        <w:tc>
          <w:tcPr>
            <w:tcW w:w="1390" w:type="dxa"/>
            <w:tcBorders>
              <w:top w:val="nil"/>
              <w:left w:val="nil"/>
              <w:bottom w:val="single" w:sz="4" w:space="0" w:color="A6A6A6"/>
              <w:right w:val="single" w:sz="4" w:space="0" w:color="A6A6A6"/>
            </w:tcBorders>
            <w:vAlign w:val="center"/>
            <w:hideMark/>
          </w:tcPr>
          <w:p w14:paraId="018A6C15"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val="es-MX" w:eastAsia="es-MX"/>
              </w:rPr>
              <w:t>13,591,525.00</w:t>
            </w:r>
          </w:p>
        </w:tc>
      </w:tr>
      <w:tr w:rsidR="00B76E04" w:rsidRPr="00A04E7F" w14:paraId="17B4EC2F" w14:textId="77777777" w:rsidTr="00A7274D">
        <w:trPr>
          <w:trHeight w:val="300"/>
          <w:jc w:val="center"/>
        </w:trPr>
        <w:tc>
          <w:tcPr>
            <w:tcW w:w="4559" w:type="dxa"/>
            <w:tcBorders>
              <w:top w:val="nil"/>
              <w:left w:val="single" w:sz="4" w:space="0" w:color="A6A6A6"/>
              <w:bottom w:val="single" w:sz="4" w:space="0" w:color="A6A6A6"/>
              <w:right w:val="single" w:sz="4" w:space="0" w:color="A6A6A6"/>
            </w:tcBorders>
            <w:vAlign w:val="center"/>
            <w:hideMark/>
          </w:tcPr>
          <w:p w14:paraId="459BBCAC" w14:textId="77777777" w:rsidR="00B76E04" w:rsidRPr="00A04E7F" w:rsidRDefault="00B76E04" w:rsidP="004C246C">
            <w:pPr>
              <w:spacing w:line="360" w:lineRule="auto"/>
              <w:jc w:val="both"/>
              <w:rPr>
                <w:color w:val="000000"/>
                <w:sz w:val="20"/>
                <w:szCs w:val="20"/>
                <w:lang w:val="es-MX" w:eastAsia="es-MX"/>
              </w:rPr>
            </w:pPr>
            <w:r w:rsidRPr="00A04E7F">
              <w:rPr>
                <w:color w:val="000000"/>
                <w:sz w:val="20"/>
                <w:szCs w:val="20"/>
                <w:lang w:eastAsia="es-MX"/>
              </w:rPr>
              <w:t>Tribunal de Justicia Administrativa</w:t>
            </w:r>
          </w:p>
        </w:tc>
        <w:tc>
          <w:tcPr>
            <w:tcW w:w="1390" w:type="dxa"/>
            <w:tcBorders>
              <w:top w:val="nil"/>
              <w:left w:val="nil"/>
              <w:bottom w:val="single" w:sz="4" w:space="0" w:color="A6A6A6"/>
              <w:right w:val="single" w:sz="4" w:space="0" w:color="A6A6A6"/>
            </w:tcBorders>
            <w:vAlign w:val="center"/>
            <w:hideMark/>
          </w:tcPr>
          <w:p w14:paraId="02A1E403"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val="es-MX" w:eastAsia="es-MX"/>
              </w:rPr>
              <w:t>68,702,061.00</w:t>
            </w:r>
          </w:p>
        </w:tc>
      </w:tr>
      <w:tr w:rsidR="00B76E04" w:rsidRPr="00A04E7F" w14:paraId="0C30B9CD" w14:textId="77777777" w:rsidTr="00A7274D">
        <w:trPr>
          <w:trHeight w:val="510"/>
          <w:jc w:val="center"/>
        </w:trPr>
        <w:tc>
          <w:tcPr>
            <w:tcW w:w="4559" w:type="dxa"/>
            <w:tcBorders>
              <w:top w:val="nil"/>
              <w:left w:val="single" w:sz="4" w:space="0" w:color="A6A6A6"/>
              <w:bottom w:val="single" w:sz="4" w:space="0" w:color="A6A6A6"/>
              <w:right w:val="single" w:sz="4" w:space="0" w:color="A6A6A6"/>
            </w:tcBorders>
            <w:vAlign w:val="center"/>
            <w:hideMark/>
          </w:tcPr>
          <w:p w14:paraId="12D5772F" w14:textId="77777777" w:rsidR="00B76E04" w:rsidRPr="00A04E7F" w:rsidRDefault="00B76E04" w:rsidP="004C246C">
            <w:pPr>
              <w:spacing w:line="360" w:lineRule="auto"/>
              <w:jc w:val="both"/>
              <w:rPr>
                <w:color w:val="000000"/>
                <w:sz w:val="20"/>
                <w:szCs w:val="20"/>
                <w:lang w:val="es-MX" w:eastAsia="es-MX"/>
              </w:rPr>
            </w:pPr>
            <w:r w:rsidRPr="00A04E7F">
              <w:rPr>
                <w:color w:val="000000"/>
                <w:sz w:val="20"/>
                <w:szCs w:val="20"/>
                <w:lang w:eastAsia="es-MX"/>
              </w:rPr>
              <w:t>Fiscalía General de Justicia del Estado de Tlaxcala</w:t>
            </w:r>
          </w:p>
        </w:tc>
        <w:tc>
          <w:tcPr>
            <w:tcW w:w="1390" w:type="dxa"/>
            <w:tcBorders>
              <w:top w:val="nil"/>
              <w:left w:val="nil"/>
              <w:bottom w:val="single" w:sz="4" w:space="0" w:color="A6A6A6"/>
              <w:right w:val="single" w:sz="4" w:space="0" w:color="A6A6A6"/>
            </w:tcBorders>
            <w:vAlign w:val="center"/>
            <w:hideMark/>
          </w:tcPr>
          <w:p w14:paraId="224A01B8"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val="es-MX" w:eastAsia="es-MX"/>
              </w:rPr>
              <w:t>538,550,000.00</w:t>
            </w:r>
          </w:p>
        </w:tc>
      </w:tr>
      <w:tr w:rsidR="00B76E04" w:rsidRPr="00A04E7F" w14:paraId="64BC7908" w14:textId="77777777" w:rsidTr="00A7274D">
        <w:trPr>
          <w:trHeight w:val="300"/>
          <w:jc w:val="center"/>
        </w:trPr>
        <w:tc>
          <w:tcPr>
            <w:tcW w:w="4559" w:type="dxa"/>
            <w:tcBorders>
              <w:top w:val="nil"/>
              <w:left w:val="single" w:sz="4" w:space="0" w:color="A6A6A6"/>
              <w:bottom w:val="single" w:sz="4" w:space="0" w:color="A6A6A6"/>
              <w:right w:val="single" w:sz="4" w:space="0" w:color="A6A6A6"/>
            </w:tcBorders>
            <w:shd w:val="clear" w:color="000000" w:fill="CCCCCC"/>
            <w:vAlign w:val="center"/>
            <w:hideMark/>
          </w:tcPr>
          <w:p w14:paraId="4454ABAA" w14:textId="77777777" w:rsidR="00B76E04" w:rsidRPr="00A04E7F" w:rsidRDefault="00B76E04" w:rsidP="004C246C">
            <w:pPr>
              <w:spacing w:line="360" w:lineRule="auto"/>
              <w:jc w:val="center"/>
              <w:rPr>
                <w:b/>
                <w:bCs/>
                <w:color w:val="000000"/>
                <w:sz w:val="20"/>
                <w:szCs w:val="20"/>
                <w:lang w:val="es-MX" w:eastAsia="es-MX"/>
              </w:rPr>
            </w:pPr>
            <w:r w:rsidRPr="00A04E7F">
              <w:rPr>
                <w:b/>
                <w:bCs/>
                <w:color w:val="000000"/>
                <w:sz w:val="20"/>
                <w:szCs w:val="20"/>
                <w:lang w:eastAsia="es-MX"/>
              </w:rPr>
              <w:t>TOTAL</w:t>
            </w:r>
          </w:p>
        </w:tc>
        <w:tc>
          <w:tcPr>
            <w:tcW w:w="1390" w:type="dxa"/>
            <w:tcBorders>
              <w:top w:val="nil"/>
              <w:left w:val="nil"/>
              <w:bottom w:val="single" w:sz="4" w:space="0" w:color="A6A6A6"/>
              <w:right w:val="single" w:sz="4" w:space="0" w:color="A6A6A6"/>
            </w:tcBorders>
            <w:shd w:val="clear" w:color="000000" w:fill="CCCCCC"/>
            <w:vAlign w:val="center"/>
            <w:hideMark/>
          </w:tcPr>
          <w:p w14:paraId="7F4A6974" w14:textId="77777777" w:rsidR="00B76E04" w:rsidRPr="00A04E7F" w:rsidRDefault="00B76E04" w:rsidP="004C246C">
            <w:pPr>
              <w:spacing w:line="360" w:lineRule="auto"/>
              <w:jc w:val="right"/>
              <w:rPr>
                <w:b/>
                <w:bCs/>
                <w:color w:val="000000"/>
                <w:sz w:val="20"/>
                <w:szCs w:val="20"/>
                <w:lang w:val="es-MX" w:eastAsia="es-MX"/>
              </w:rPr>
            </w:pPr>
            <w:r w:rsidRPr="00A04E7F">
              <w:rPr>
                <w:b/>
                <w:bCs/>
                <w:color w:val="000000"/>
                <w:sz w:val="20"/>
                <w:szCs w:val="20"/>
                <w:lang w:eastAsia="es-MX"/>
              </w:rPr>
              <w:t>993,209,506.00</w:t>
            </w:r>
          </w:p>
        </w:tc>
      </w:tr>
    </w:tbl>
    <w:p w14:paraId="2D7C0558" w14:textId="77777777" w:rsidR="00B76E04" w:rsidRDefault="00B76E04" w:rsidP="004C246C">
      <w:pPr>
        <w:spacing w:line="360" w:lineRule="auto"/>
        <w:jc w:val="both"/>
        <w:rPr>
          <w:rFonts w:eastAsia="Calibri"/>
          <w:sz w:val="20"/>
          <w:szCs w:val="20"/>
        </w:rPr>
      </w:pPr>
    </w:p>
    <w:p w14:paraId="09E5C7DB" w14:textId="77777777" w:rsidR="00B76E04" w:rsidRDefault="00B76E04" w:rsidP="004C246C">
      <w:pPr>
        <w:spacing w:line="360" w:lineRule="auto"/>
        <w:jc w:val="center"/>
        <w:rPr>
          <w:b/>
          <w:sz w:val="20"/>
          <w:szCs w:val="20"/>
        </w:rPr>
      </w:pPr>
      <w:r>
        <w:rPr>
          <w:b/>
          <w:sz w:val="20"/>
          <w:szCs w:val="20"/>
        </w:rPr>
        <w:t>MUNICIPIOS</w:t>
      </w:r>
    </w:p>
    <w:p w14:paraId="4F30C997" w14:textId="77777777" w:rsidR="00B76E04" w:rsidRDefault="00B76E04" w:rsidP="004C246C">
      <w:pPr>
        <w:spacing w:line="360" w:lineRule="auto"/>
        <w:jc w:val="both"/>
        <w:rPr>
          <w:sz w:val="20"/>
          <w:szCs w:val="20"/>
        </w:rPr>
      </w:pPr>
      <w:r w:rsidRPr="00206500">
        <w:rPr>
          <w:sz w:val="20"/>
          <w:szCs w:val="20"/>
        </w:rPr>
        <w:t>Para Municipios se prevé un pres</w:t>
      </w:r>
      <w:r>
        <w:rPr>
          <w:sz w:val="20"/>
          <w:szCs w:val="20"/>
        </w:rPr>
        <w:t>upuesto global de $6,134,673,814</w:t>
      </w:r>
      <w:r w:rsidRPr="00206500">
        <w:rPr>
          <w:sz w:val="20"/>
          <w:szCs w:val="20"/>
        </w:rPr>
        <w:t>.00, integrados por $</w:t>
      </w:r>
      <w:r>
        <w:rPr>
          <w:sz w:val="20"/>
          <w:szCs w:val="20"/>
        </w:rPr>
        <w:t>3</w:t>
      </w:r>
      <w:r w:rsidRPr="00206500">
        <w:rPr>
          <w:sz w:val="20"/>
          <w:szCs w:val="20"/>
        </w:rPr>
        <w:t>,</w:t>
      </w:r>
      <w:r>
        <w:rPr>
          <w:sz w:val="20"/>
          <w:szCs w:val="20"/>
        </w:rPr>
        <w:t>162</w:t>
      </w:r>
      <w:r w:rsidRPr="00206500">
        <w:rPr>
          <w:sz w:val="20"/>
          <w:szCs w:val="20"/>
        </w:rPr>
        <w:t>,</w:t>
      </w:r>
      <w:r>
        <w:rPr>
          <w:sz w:val="20"/>
          <w:szCs w:val="20"/>
        </w:rPr>
        <w:t>609</w:t>
      </w:r>
      <w:r w:rsidRPr="00206500">
        <w:rPr>
          <w:sz w:val="20"/>
          <w:szCs w:val="20"/>
        </w:rPr>
        <w:t>,</w:t>
      </w:r>
      <w:r>
        <w:rPr>
          <w:sz w:val="20"/>
          <w:szCs w:val="20"/>
        </w:rPr>
        <w:t>390</w:t>
      </w:r>
      <w:r w:rsidRPr="00206500">
        <w:rPr>
          <w:sz w:val="20"/>
          <w:szCs w:val="20"/>
        </w:rPr>
        <w:t>.00 de Participaciones e Incentivos Derivados de la Colaboración Fiscal, $</w:t>
      </w:r>
      <w:r>
        <w:rPr>
          <w:sz w:val="20"/>
          <w:szCs w:val="20"/>
        </w:rPr>
        <w:t>11</w:t>
      </w:r>
      <w:r w:rsidRPr="00206500">
        <w:rPr>
          <w:sz w:val="20"/>
          <w:szCs w:val="20"/>
        </w:rPr>
        <w:t>9,</w:t>
      </w:r>
      <w:r>
        <w:rPr>
          <w:sz w:val="20"/>
          <w:szCs w:val="20"/>
        </w:rPr>
        <w:t>1</w:t>
      </w:r>
      <w:r w:rsidRPr="00206500">
        <w:rPr>
          <w:sz w:val="20"/>
          <w:szCs w:val="20"/>
        </w:rPr>
        <w:t>6</w:t>
      </w:r>
      <w:r>
        <w:rPr>
          <w:sz w:val="20"/>
          <w:szCs w:val="20"/>
        </w:rPr>
        <w:t>5</w:t>
      </w:r>
      <w:r w:rsidRPr="00206500">
        <w:rPr>
          <w:sz w:val="20"/>
          <w:szCs w:val="20"/>
        </w:rPr>
        <w:t>,</w:t>
      </w:r>
      <w:r>
        <w:rPr>
          <w:sz w:val="20"/>
          <w:szCs w:val="20"/>
        </w:rPr>
        <w:t>82</w:t>
      </w:r>
      <w:r w:rsidRPr="00206500">
        <w:rPr>
          <w:sz w:val="20"/>
          <w:szCs w:val="20"/>
        </w:rPr>
        <w:t>5.00 de Ingresos Derivados de Fuentes Locales participables y $2,</w:t>
      </w:r>
      <w:r>
        <w:rPr>
          <w:sz w:val="20"/>
          <w:szCs w:val="20"/>
        </w:rPr>
        <w:t>8</w:t>
      </w:r>
      <w:r w:rsidRPr="00206500">
        <w:rPr>
          <w:sz w:val="20"/>
          <w:szCs w:val="20"/>
        </w:rPr>
        <w:t>5</w:t>
      </w:r>
      <w:r>
        <w:rPr>
          <w:sz w:val="20"/>
          <w:szCs w:val="20"/>
        </w:rPr>
        <w:t>2</w:t>
      </w:r>
      <w:r w:rsidRPr="00206500">
        <w:rPr>
          <w:sz w:val="20"/>
          <w:szCs w:val="20"/>
        </w:rPr>
        <w:t>,</w:t>
      </w:r>
      <w:r>
        <w:rPr>
          <w:sz w:val="20"/>
          <w:szCs w:val="20"/>
        </w:rPr>
        <w:t>898</w:t>
      </w:r>
      <w:r w:rsidRPr="00206500">
        <w:rPr>
          <w:sz w:val="20"/>
          <w:szCs w:val="20"/>
        </w:rPr>
        <w:t>,</w:t>
      </w:r>
      <w:r>
        <w:rPr>
          <w:sz w:val="20"/>
          <w:szCs w:val="20"/>
        </w:rPr>
        <w:t>599</w:t>
      </w:r>
      <w:r w:rsidRPr="00206500">
        <w:rPr>
          <w:sz w:val="20"/>
          <w:szCs w:val="20"/>
        </w:rPr>
        <w:t>.00 de Aportaciones Federales</w:t>
      </w:r>
      <w:r>
        <w:rPr>
          <w:sz w:val="20"/>
          <w:szCs w:val="20"/>
        </w:rPr>
        <w:t>.</w:t>
      </w:r>
    </w:p>
    <w:p w14:paraId="6CD513BB" w14:textId="77777777" w:rsidR="007B2196" w:rsidRDefault="007B2196" w:rsidP="004C246C">
      <w:pPr>
        <w:spacing w:line="360" w:lineRule="auto"/>
        <w:contextualSpacing/>
        <w:jc w:val="center"/>
        <w:rPr>
          <w:rFonts w:eastAsia="Calibri"/>
          <w:b/>
          <w:sz w:val="20"/>
          <w:szCs w:val="20"/>
        </w:rPr>
      </w:pPr>
    </w:p>
    <w:p w14:paraId="7F3E88BD" w14:textId="77777777" w:rsidR="007B2196" w:rsidRDefault="007B2196" w:rsidP="004C246C">
      <w:pPr>
        <w:spacing w:line="360" w:lineRule="auto"/>
        <w:contextualSpacing/>
        <w:jc w:val="center"/>
        <w:rPr>
          <w:rFonts w:eastAsia="Calibri"/>
          <w:b/>
          <w:sz w:val="20"/>
          <w:szCs w:val="20"/>
        </w:rPr>
      </w:pPr>
    </w:p>
    <w:p w14:paraId="22B5C673" w14:textId="77777777" w:rsidR="007B2196" w:rsidRDefault="007B2196" w:rsidP="004C246C">
      <w:pPr>
        <w:spacing w:line="360" w:lineRule="auto"/>
        <w:contextualSpacing/>
        <w:jc w:val="center"/>
        <w:rPr>
          <w:rFonts w:eastAsia="Calibri"/>
          <w:b/>
          <w:sz w:val="20"/>
          <w:szCs w:val="20"/>
        </w:rPr>
      </w:pPr>
    </w:p>
    <w:p w14:paraId="176D54B9" w14:textId="77777777" w:rsidR="007B2196" w:rsidRDefault="007B2196" w:rsidP="004C246C">
      <w:pPr>
        <w:spacing w:line="360" w:lineRule="auto"/>
        <w:contextualSpacing/>
        <w:jc w:val="center"/>
        <w:rPr>
          <w:rFonts w:eastAsia="Calibri"/>
          <w:b/>
          <w:sz w:val="20"/>
          <w:szCs w:val="20"/>
        </w:rPr>
      </w:pPr>
    </w:p>
    <w:p w14:paraId="434B7DA1" w14:textId="77777777" w:rsidR="007B2196" w:rsidRDefault="007B2196" w:rsidP="004C246C">
      <w:pPr>
        <w:spacing w:line="360" w:lineRule="auto"/>
        <w:contextualSpacing/>
        <w:jc w:val="center"/>
        <w:rPr>
          <w:rFonts w:eastAsia="Calibri"/>
          <w:b/>
          <w:sz w:val="20"/>
          <w:szCs w:val="20"/>
        </w:rPr>
      </w:pPr>
    </w:p>
    <w:p w14:paraId="64CDF657" w14:textId="585801D7" w:rsidR="00B76E04" w:rsidRDefault="00B76E04" w:rsidP="004C246C">
      <w:pPr>
        <w:spacing w:line="360" w:lineRule="auto"/>
        <w:contextualSpacing/>
        <w:jc w:val="center"/>
        <w:rPr>
          <w:rFonts w:eastAsia="Calibri"/>
          <w:b/>
          <w:sz w:val="20"/>
          <w:szCs w:val="20"/>
        </w:rPr>
      </w:pPr>
      <w:r>
        <w:rPr>
          <w:rFonts w:eastAsia="Calibri"/>
          <w:b/>
          <w:sz w:val="20"/>
          <w:szCs w:val="20"/>
        </w:rPr>
        <w:t>RECURSOS FEDERALES A MUNICIPIOS</w:t>
      </w:r>
    </w:p>
    <w:p w14:paraId="2907718C" w14:textId="77777777" w:rsidR="005838DD" w:rsidRDefault="005838DD" w:rsidP="004C246C">
      <w:pPr>
        <w:spacing w:line="360" w:lineRule="auto"/>
        <w:contextualSpacing/>
        <w:jc w:val="center"/>
        <w:rPr>
          <w:rFonts w:eastAsia="Calibri"/>
          <w:b/>
          <w:sz w:val="20"/>
          <w:szCs w:val="20"/>
        </w:rPr>
      </w:pPr>
    </w:p>
    <w:tbl>
      <w:tblPr>
        <w:tblW w:w="7747" w:type="dxa"/>
        <w:jc w:val="center"/>
        <w:tblCellMar>
          <w:left w:w="70" w:type="dxa"/>
          <w:right w:w="70" w:type="dxa"/>
        </w:tblCellMar>
        <w:tblLook w:val="04A0" w:firstRow="1" w:lastRow="0" w:firstColumn="1" w:lastColumn="0" w:noHBand="0" w:noVBand="1"/>
      </w:tblPr>
      <w:tblGrid>
        <w:gridCol w:w="3013"/>
        <w:gridCol w:w="1540"/>
        <w:gridCol w:w="1597"/>
        <w:gridCol w:w="1597"/>
      </w:tblGrid>
      <w:tr w:rsidR="00B76E04" w:rsidRPr="00A04E7F" w14:paraId="275FEDC2" w14:textId="77777777" w:rsidTr="00A7274D">
        <w:trPr>
          <w:trHeight w:val="300"/>
          <w:jc w:val="center"/>
        </w:trPr>
        <w:tc>
          <w:tcPr>
            <w:tcW w:w="3013" w:type="dxa"/>
            <w:tcBorders>
              <w:top w:val="single" w:sz="4" w:space="0" w:color="A6A6A6"/>
              <w:left w:val="single" w:sz="4" w:space="0" w:color="A6A6A6"/>
              <w:bottom w:val="single" w:sz="4" w:space="0" w:color="A6A6A6"/>
              <w:right w:val="single" w:sz="4" w:space="0" w:color="A6A6A6"/>
            </w:tcBorders>
            <w:shd w:val="clear" w:color="000000" w:fill="CCCCCC"/>
            <w:vAlign w:val="center"/>
            <w:hideMark/>
          </w:tcPr>
          <w:p w14:paraId="4C706256" w14:textId="77777777" w:rsidR="00B76E04" w:rsidRPr="00A04E7F" w:rsidRDefault="00B76E04" w:rsidP="004C246C">
            <w:pPr>
              <w:spacing w:line="360" w:lineRule="auto"/>
              <w:jc w:val="center"/>
              <w:rPr>
                <w:b/>
                <w:bCs/>
                <w:color w:val="000000"/>
                <w:sz w:val="20"/>
                <w:szCs w:val="20"/>
                <w:lang w:val="es-MX" w:eastAsia="es-MX"/>
              </w:rPr>
            </w:pPr>
            <w:r w:rsidRPr="00A04E7F">
              <w:rPr>
                <w:b/>
                <w:bCs/>
                <w:color w:val="000000"/>
                <w:sz w:val="20"/>
                <w:szCs w:val="20"/>
                <w:lang w:eastAsia="es-MX"/>
              </w:rPr>
              <w:t>MUNICIPIOS</w:t>
            </w:r>
          </w:p>
        </w:tc>
        <w:tc>
          <w:tcPr>
            <w:tcW w:w="1540" w:type="dxa"/>
            <w:tcBorders>
              <w:top w:val="single" w:sz="4" w:space="0" w:color="A6A6A6"/>
              <w:left w:val="nil"/>
              <w:bottom w:val="single" w:sz="4" w:space="0" w:color="A6A6A6"/>
              <w:right w:val="single" w:sz="4" w:space="0" w:color="A6A6A6"/>
            </w:tcBorders>
            <w:shd w:val="clear" w:color="000000" w:fill="CCCCCC"/>
            <w:vAlign w:val="center"/>
            <w:hideMark/>
          </w:tcPr>
          <w:p w14:paraId="0E796B51" w14:textId="77777777" w:rsidR="00B76E04" w:rsidRPr="00A04E7F" w:rsidRDefault="00B76E04" w:rsidP="004C246C">
            <w:pPr>
              <w:spacing w:line="360" w:lineRule="auto"/>
              <w:jc w:val="center"/>
              <w:rPr>
                <w:b/>
                <w:bCs/>
                <w:color w:val="000000"/>
                <w:sz w:val="20"/>
                <w:szCs w:val="20"/>
                <w:lang w:val="es-MX" w:eastAsia="es-MX"/>
              </w:rPr>
            </w:pPr>
            <w:r w:rsidRPr="00A04E7F">
              <w:rPr>
                <w:b/>
                <w:bCs/>
                <w:color w:val="000000"/>
                <w:sz w:val="20"/>
                <w:szCs w:val="20"/>
                <w:lang w:eastAsia="es-MX"/>
              </w:rPr>
              <w:t>2024</w:t>
            </w:r>
          </w:p>
        </w:tc>
        <w:tc>
          <w:tcPr>
            <w:tcW w:w="1597" w:type="dxa"/>
            <w:tcBorders>
              <w:top w:val="single" w:sz="4" w:space="0" w:color="A6A6A6"/>
              <w:left w:val="nil"/>
              <w:bottom w:val="single" w:sz="4" w:space="0" w:color="A6A6A6"/>
              <w:right w:val="single" w:sz="4" w:space="0" w:color="A6A6A6"/>
            </w:tcBorders>
            <w:shd w:val="clear" w:color="000000" w:fill="CCCCCC"/>
            <w:vAlign w:val="center"/>
            <w:hideMark/>
          </w:tcPr>
          <w:p w14:paraId="6316AF62" w14:textId="77777777" w:rsidR="00B76E04" w:rsidRPr="00A04E7F" w:rsidRDefault="00B76E04" w:rsidP="004C246C">
            <w:pPr>
              <w:spacing w:line="360" w:lineRule="auto"/>
              <w:jc w:val="center"/>
              <w:rPr>
                <w:b/>
                <w:bCs/>
                <w:color w:val="000000"/>
                <w:sz w:val="20"/>
                <w:szCs w:val="20"/>
                <w:lang w:val="es-MX" w:eastAsia="es-MX"/>
              </w:rPr>
            </w:pPr>
            <w:r w:rsidRPr="00A04E7F">
              <w:rPr>
                <w:b/>
                <w:bCs/>
                <w:color w:val="000000"/>
                <w:sz w:val="20"/>
                <w:szCs w:val="20"/>
                <w:lang w:eastAsia="es-MX"/>
              </w:rPr>
              <w:t>2025</w:t>
            </w:r>
          </w:p>
        </w:tc>
        <w:tc>
          <w:tcPr>
            <w:tcW w:w="1597" w:type="dxa"/>
            <w:tcBorders>
              <w:top w:val="single" w:sz="4" w:space="0" w:color="A6A6A6"/>
              <w:left w:val="nil"/>
              <w:bottom w:val="single" w:sz="4" w:space="0" w:color="A6A6A6"/>
              <w:right w:val="single" w:sz="4" w:space="0" w:color="A6A6A6"/>
            </w:tcBorders>
            <w:shd w:val="clear" w:color="000000" w:fill="CCCCCC"/>
            <w:vAlign w:val="center"/>
            <w:hideMark/>
          </w:tcPr>
          <w:p w14:paraId="78531BD7" w14:textId="77777777" w:rsidR="00B76E04" w:rsidRPr="00A04E7F" w:rsidRDefault="00B76E04" w:rsidP="004C246C">
            <w:pPr>
              <w:spacing w:line="360" w:lineRule="auto"/>
              <w:jc w:val="center"/>
              <w:rPr>
                <w:b/>
                <w:bCs/>
                <w:color w:val="000000"/>
                <w:sz w:val="20"/>
                <w:szCs w:val="20"/>
                <w:lang w:val="es-MX" w:eastAsia="es-MX"/>
              </w:rPr>
            </w:pPr>
            <w:r w:rsidRPr="00A04E7F">
              <w:rPr>
                <w:b/>
                <w:bCs/>
                <w:color w:val="000000"/>
                <w:sz w:val="20"/>
                <w:szCs w:val="20"/>
                <w:lang w:eastAsia="es-MX"/>
              </w:rPr>
              <w:t>2026</w:t>
            </w:r>
          </w:p>
        </w:tc>
      </w:tr>
      <w:tr w:rsidR="00B76E04" w:rsidRPr="00A04E7F" w14:paraId="7A5D4CC8" w14:textId="77777777" w:rsidTr="005838DD">
        <w:trPr>
          <w:trHeight w:val="310"/>
          <w:jc w:val="center"/>
        </w:trPr>
        <w:tc>
          <w:tcPr>
            <w:tcW w:w="3013" w:type="dxa"/>
            <w:tcBorders>
              <w:top w:val="nil"/>
              <w:left w:val="single" w:sz="4" w:space="0" w:color="A6A6A6"/>
              <w:bottom w:val="single" w:sz="4" w:space="0" w:color="A6A6A6"/>
              <w:right w:val="single" w:sz="4" w:space="0" w:color="A6A6A6"/>
            </w:tcBorders>
            <w:vAlign w:val="center"/>
            <w:hideMark/>
          </w:tcPr>
          <w:p w14:paraId="2630FF9F" w14:textId="77777777" w:rsidR="00B76E04" w:rsidRPr="00A04E7F" w:rsidRDefault="00B76E04" w:rsidP="004C246C">
            <w:pPr>
              <w:spacing w:line="360" w:lineRule="auto"/>
              <w:jc w:val="both"/>
              <w:rPr>
                <w:color w:val="000000"/>
                <w:sz w:val="20"/>
                <w:szCs w:val="20"/>
                <w:lang w:val="es-MX" w:eastAsia="es-MX"/>
              </w:rPr>
            </w:pPr>
            <w:r w:rsidRPr="00A04E7F">
              <w:rPr>
                <w:color w:val="000000"/>
                <w:sz w:val="20"/>
                <w:szCs w:val="20"/>
                <w:lang w:eastAsia="es-MX"/>
              </w:rPr>
              <w:t>Ingresos Derivados de Fuentes Locales</w:t>
            </w:r>
          </w:p>
        </w:tc>
        <w:tc>
          <w:tcPr>
            <w:tcW w:w="1540" w:type="dxa"/>
            <w:tcBorders>
              <w:top w:val="nil"/>
              <w:left w:val="nil"/>
              <w:bottom w:val="single" w:sz="4" w:space="0" w:color="A6A6A6"/>
              <w:right w:val="single" w:sz="4" w:space="0" w:color="A6A6A6"/>
            </w:tcBorders>
            <w:vAlign w:val="center"/>
            <w:hideMark/>
          </w:tcPr>
          <w:p w14:paraId="40CB4FED"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eastAsia="es-MX"/>
              </w:rPr>
              <w:t>92,476,597.00</w:t>
            </w:r>
          </w:p>
        </w:tc>
        <w:tc>
          <w:tcPr>
            <w:tcW w:w="1597" w:type="dxa"/>
            <w:tcBorders>
              <w:top w:val="nil"/>
              <w:left w:val="nil"/>
              <w:bottom w:val="single" w:sz="4" w:space="0" w:color="A6A6A6"/>
              <w:right w:val="single" w:sz="4" w:space="0" w:color="A6A6A6"/>
            </w:tcBorders>
            <w:vAlign w:val="center"/>
            <w:hideMark/>
          </w:tcPr>
          <w:p w14:paraId="52C616C8"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eastAsia="es-MX"/>
              </w:rPr>
              <w:t>93,806,526.00</w:t>
            </w:r>
          </w:p>
        </w:tc>
        <w:tc>
          <w:tcPr>
            <w:tcW w:w="1597" w:type="dxa"/>
            <w:tcBorders>
              <w:top w:val="nil"/>
              <w:left w:val="nil"/>
              <w:bottom w:val="single" w:sz="4" w:space="0" w:color="A6A6A6"/>
              <w:right w:val="single" w:sz="4" w:space="0" w:color="A6A6A6"/>
            </w:tcBorders>
            <w:vAlign w:val="center"/>
            <w:hideMark/>
          </w:tcPr>
          <w:p w14:paraId="1464CEC6"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val="es-MX" w:eastAsia="es-MX"/>
              </w:rPr>
              <w:t>119,165,825.00</w:t>
            </w:r>
          </w:p>
        </w:tc>
      </w:tr>
      <w:tr w:rsidR="00B76E04" w:rsidRPr="00A04E7F" w14:paraId="10CEB152" w14:textId="77777777" w:rsidTr="00A7274D">
        <w:trPr>
          <w:trHeight w:val="636"/>
          <w:jc w:val="center"/>
        </w:trPr>
        <w:tc>
          <w:tcPr>
            <w:tcW w:w="3013" w:type="dxa"/>
            <w:tcBorders>
              <w:top w:val="nil"/>
              <w:left w:val="single" w:sz="4" w:space="0" w:color="A6A6A6"/>
              <w:bottom w:val="single" w:sz="4" w:space="0" w:color="A6A6A6"/>
              <w:right w:val="single" w:sz="4" w:space="0" w:color="A6A6A6"/>
            </w:tcBorders>
            <w:vAlign w:val="center"/>
            <w:hideMark/>
          </w:tcPr>
          <w:p w14:paraId="6857801A" w14:textId="77777777" w:rsidR="00B76E04" w:rsidRPr="00A04E7F" w:rsidRDefault="00B76E04" w:rsidP="004C246C">
            <w:pPr>
              <w:spacing w:line="360" w:lineRule="auto"/>
              <w:jc w:val="both"/>
              <w:rPr>
                <w:color w:val="000000"/>
                <w:sz w:val="20"/>
                <w:szCs w:val="20"/>
                <w:lang w:val="es-MX" w:eastAsia="es-MX"/>
              </w:rPr>
            </w:pPr>
            <w:r w:rsidRPr="00A04E7F">
              <w:rPr>
                <w:color w:val="000000"/>
                <w:sz w:val="20"/>
                <w:szCs w:val="20"/>
                <w:lang w:eastAsia="es-MX"/>
              </w:rPr>
              <w:t>Participaciones e Incentivos Derivados de la Colaboración Fiscal</w:t>
            </w:r>
          </w:p>
        </w:tc>
        <w:tc>
          <w:tcPr>
            <w:tcW w:w="1540" w:type="dxa"/>
            <w:tcBorders>
              <w:top w:val="nil"/>
              <w:left w:val="nil"/>
              <w:bottom w:val="single" w:sz="4" w:space="0" w:color="A6A6A6"/>
              <w:right w:val="single" w:sz="4" w:space="0" w:color="A6A6A6"/>
            </w:tcBorders>
            <w:vAlign w:val="center"/>
            <w:hideMark/>
          </w:tcPr>
          <w:p w14:paraId="7FDA5190"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eastAsia="es-MX"/>
              </w:rPr>
              <w:t>2,663,608,644.00</w:t>
            </w:r>
          </w:p>
        </w:tc>
        <w:tc>
          <w:tcPr>
            <w:tcW w:w="1597" w:type="dxa"/>
            <w:tcBorders>
              <w:top w:val="nil"/>
              <w:left w:val="nil"/>
              <w:bottom w:val="single" w:sz="4" w:space="0" w:color="A6A6A6"/>
              <w:right w:val="single" w:sz="4" w:space="0" w:color="A6A6A6"/>
            </w:tcBorders>
            <w:vAlign w:val="center"/>
            <w:hideMark/>
          </w:tcPr>
          <w:p w14:paraId="757805A2"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eastAsia="es-MX"/>
              </w:rPr>
              <w:t>2,877,471,528.00</w:t>
            </w:r>
          </w:p>
        </w:tc>
        <w:tc>
          <w:tcPr>
            <w:tcW w:w="1597" w:type="dxa"/>
            <w:tcBorders>
              <w:top w:val="nil"/>
              <w:left w:val="nil"/>
              <w:bottom w:val="single" w:sz="4" w:space="0" w:color="A6A6A6"/>
              <w:right w:val="single" w:sz="4" w:space="0" w:color="A6A6A6"/>
            </w:tcBorders>
            <w:vAlign w:val="center"/>
            <w:hideMark/>
          </w:tcPr>
          <w:p w14:paraId="187D0FAA"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val="es-MX" w:eastAsia="es-MX"/>
              </w:rPr>
              <w:t>3,162,609,390.00</w:t>
            </w:r>
          </w:p>
        </w:tc>
      </w:tr>
      <w:tr w:rsidR="00B76E04" w:rsidRPr="00A04E7F" w14:paraId="4A2DF338" w14:textId="77777777" w:rsidTr="00A7274D">
        <w:trPr>
          <w:trHeight w:val="510"/>
          <w:jc w:val="center"/>
        </w:trPr>
        <w:tc>
          <w:tcPr>
            <w:tcW w:w="3013" w:type="dxa"/>
            <w:tcBorders>
              <w:top w:val="nil"/>
              <w:left w:val="single" w:sz="4" w:space="0" w:color="A6A6A6"/>
              <w:bottom w:val="single" w:sz="4" w:space="0" w:color="A6A6A6"/>
              <w:right w:val="single" w:sz="4" w:space="0" w:color="A6A6A6"/>
            </w:tcBorders>
            <w:vAlign w:val="center"/>
            <w:hideMark/>
          </w:tcPr>
          <w:p w14:paraId="647551FB" w14:textId="77777777" w:rsidR="00B76E04" w:rsidRPr="00A04E7F" w:rsidRDefault="00B76E04" w:rsidP="004C246C">
            <w:pPr>
              <w:spacing w:line="360" w:lineRule="auto"/>
              <w:jc w:val="both"/>
              <w:rPr>
                <w:color w:val="000000"/>
                <w:sz w:val="20"/>
                <w:szCs w:val="20"/>
                <w:lang w:val="es-MX" w:eastAsia="es-MX"/>
              </w:rPr>
            </w:pPr>
            <w:r w:rsidRPr="00A04E7F">
              <w:rPr>
                <w:color w:val="000000"/>
                <w:sz w:val="20"/>
                <w:szCs w:val="20"/>
                <w:lang w:eastAsia="es-MX"/>
              </w:rPr>
              <w:t>Aportaciones Federales (Ramo 33)</w:t>
            </w:r>
          </w:p>
        </w:tc>
        <w:tc>
          <w:tcPr>
            <w:tcW w:w="1540" w:type="dxa"/>
            <w:tcBorders>
              <w:top w:val="nil"/>
              <w:left w:val="nil"/>
              <w:bottom w:val="single" w:sz="4" w:space="0" w:color="A6A6A6"/>
              <w:right w:val="single" w:sz="4" w:space="0" w:color="A6A6A6"/>
            </w:tcBorders>
            <w:vAlign w:val="center"/>
            <w:hideMark/>
          </w:tcPr>
          <w:p w14:paraId="03D6F70F"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eastAsia="es-MX"/>
              </w:rPr>
              <w:t>2,343,412,174.00</w:t>
            </w:r>
          </w:p>
        </w:tc>
        <w:tc>
          <w:tcPr>
            <w:tcW w:w="1597" w:type="dxa"/>
            <w:tcBorders>
              <w:top w:val="nil"/>
              <w:left w:val="nil"/>
              <w:bottom w:val="single" w:sz="4" w:space="0" w:color="A6A6A6"/>
              <w:right w:val="single" w:sz="4" w:space="0" w:color="A6A6A6"/>
            </w:tcBorders>
            <w:vAlign w:val="center"/>
            <w:hideMark/>
          </w:tcPr>
          <w:p w14:paraId="68D0AB00"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eastAsia="es-MX"/>
              </w:rPr>
              <w:t>2,515,236,268.00</w:t>
            </w:r>
          </w:p>
        </w:tc>
        <w:tc>
          <w:tcPr>
            <w:tcW w:w="1597" w:type="dxa"/>
            <w:tcBorders>
              <w:top w:val="nil"/>
              <w:left w:val="nil"/>
              <w:bottom w:val="single" w:sz="4" w:space="0" w:color="A6A6A6"/>
              <w:right w:val="single" w:sz="4" w:space="0" w:color="A6A6A6"/>
            </w:tcBorders>
            <w:vAlign w:val="center"/>
            <w:hideMark/>
          </w:tcPr>
          <w:p w14:paraId="283D13D1" w14:textId="77777777" w:rsidR="00B76E04" w:rsidRPr="00A04E7F" w:rsidRDefault="00B76E04" w:rsidP="004C246C">
            <w:pPr>
              <w:spacing w:line="360" w:lineRule="auto"/>
              <w:jc w:val="right"/>
              <w:rPr>
                <w:color w:val="000000"/>
                <w:sz w:val="20"/>
                <w:szCs w:val="20"/>
                <w:lang w:val="es-MX" w:eastAsia="es-MX"/>
              </w:rPr>
            </w:pPr>
            <w:r w:rsidRPr="00A04E7F">
              <w:rPr>
                <w:color w:val="000000"/>
                <w:sz w:val="20"/>
                <w:szCs w:val="20"/>
                <w:lang w:val="es-MX" w:eastAsia="es-MX"/>
              </w:rPr>
              <w:t>2,852,898,599.00</w:t>
            </w:r>
          </w:p>
        </w:tc>
      </w:tr>
      <w:tr w:rsidR="00B76E04" w:rsidRPr="00A04E7F" w14:paraId="54D73CD9" w14:textId="77777777" w:rsidTr="00A7274D">
        <w:trPr>
          <w:trHeight w:val="300"/>
          <w:jc w:val="center"/>
        </w:trPr>
        <w:tc>
          <w:tcPr>
            <w:tcW w:w="3013" w:type="dxa"/>
            <w:tcBorders>
              <w:top w:val="nil"/>
              <w:left w:val="single" w:sz="4" w:space="0" w:color="A6A6A6"/>
              <w:bottom w:val="single" w:sz="4" w:space="0" w:color="A6A6A6"/>
              <w:right w:val="single" w:sz="4" w:space="0" w:color="A6A6A6"/>
            </w:tcBorders>
            <w:shd w:val="clear" w:color="000000" w:fill="CCCCCC"/>
            <w:vAlign w:val="center"/>
            <w:hideMark/>
          </w:tcPr>
          <w:p w14:paraId="5FD89152" w14:textId="77777777" w:rsidR="00B76E04" w:rsidRPr="00A04E7F" w:rsidRDefault="00B76E04" w:rsidP="004C246C">
            <w:pPr>
              <w:spacing w:line="360" w:lineRule="auto"/>
              <w:jc w:val="center"/>
              <w:rPr>
                <w:b/>
                <w:bCs/>
                <w:color w:val="000000"/>
                <w:sz w:val="20"/>
                <w:szCs w:val="20"/>
                <w:lang w:val="es-MX" w:eastAsia="es-MX"/>
              </w:rPr>
            </w:pPr>
            <w:r w:rsidRPr="00A04E7F">
              <w:rPr>
                <w:b/>
                <w:bCs/>
                <w:color w:val="000000"/>
                <w:sz w:val="20"/>
                <w:szCs w:val="20"/>
                <w:lang w:eastAsia="es-MX"/>
              </w:rPr>
              <w:t>TOTAL</w:t>
            </w:r>
          </w:p>
        </w:tc>
        <w:tc>
          <w:tcPr>
            <w:tcW w:w="1540" w:type="dxa"/>
            <w:tcBorders>
              <w:top w:val="nil"/>
              <w:left w:val="nil"/>
              <w:bottom w:val="single" w:sz="4" w:space="0" w:color="A6A6A6"/>
              <w:right w:val="single" w:sz="4" w:space="0" w:color="A6A6A6"/>
            </w:tcBorders>
            <w:shd w:val="clear" w:color="000000" w:fill="CCCCCC"/>
            <w:vAlign w:val="center"/>
            <w:hideMark/>
          </w:tcPr>
          <w:p w14:paraId="124BD8CC" w14:textId="77777777" w:rsidR="00B76E04" w:rsidRPr="00A04E7F" w:rsidRDefault="00B76E04" w:rsidP="004C246C">
            <w:pPr>
              <w:spacing w:line="360" w:lineRule="auto"/>
              <w:jc w:val="right"/>
              <w:rPr>
                <w:b/>
                <w:bCs/>
                <w:color w:val="000000"/>
                <w:sz w:val="20"/>
                <w:szCs w:val="20"/>
                <w:lang w:val="es-MX" w:eastAsia="es-MX"/>
              </w:rPr>
            </w:pPr>
            <w:r w:rsidRPr="00A04E7F">
              <w:rPr>
                <w:b/>
                <w:bCs/>
                <w:color w:val="000000"/>
                <w:sz w:val="20"/>
                <w:szCs w:val="20"/>
                <w:lang w:eastAsia="es-MX"/>
              </w:rPr>
              <w:t>5,099,497,415.00</w:t>
            </w:r>
          </w:p>
        </w:tc>
        <w:tc>
          <w:tcPr>
            <w:tcW w:w="1597" w:type="dxa"/>
            <w:tcBorders>
              <w:top w:val="nil"/>
              <w:left w:val="nil"/>
              <w:bottom w:val="single" w:sz="4" w:space="0" w:color="A6A6A6"/>
              <w:right w:val="single" w:sz="4" w:space="0" w:color="A6A6A6"/>
            </w:tcBorders>
            <w:shd w:val="clear" w:color="000000" w:fill="CCCCCC"/>
            <w:vAlign w:val="center"/>
            <w:hideMark/>
          </w:tcPr>
          <w:p w14:paraId="02C8D411" w14:textId="77777777" w:rsidR="00B76E04" w:rsidRPr="00A04E7F" w:rsidRDefault="00B76E04" w:rsidP="004C246C">
            <w:pPr>
              <w:spacing w:line="360" w:lineRule="auto"/>
              <w:jc w:val="right"/>
              <w:rPr>
                <w:b/>
                <w:bCs/>
                <w:color w:val="000000"/>
                <w:sz w:val="20"/>
                <w:szCs w:val="20"/>
                <w:lang w:val="es-MX" w:eastAsia="es-MX"/>
              </w:rPr>
            </w:pPr>
            <w:r w:rsidRPr="00A04E7F">
              <w:rPr>
                <w:b/>
                <w:bCs/>
                <w:color w:val="000000"/>
                <w:sz w:val="20"/>
                <w:szCs w:val="20"/>
                <w:lang w:eastAsia="es-MX"/>
              </w:rPr>
              <w:t>5,486,514,322.00</w:t>
            </w:r>
          </w:p>
        </w:tc>
        <w:tc>
          <w:tcPr>
            <w:tcW w:w="1597" w:type="dxa"/>
            <w:tcBorders>
              <w:top w:val="nil"/>
              <w:left w:val="nil"/>
              <w:bottom w:val="single" w:sz="4" w:space="0" w:color="A6A6A6"/>
              <w:right w:val="single" w:sz="4" w:space="0" w:color="A6A6A6"/>
            </w:tcBorders>
            <w:shd w:val="clear" w:color="000000" w:fill="CCCCCC"/>
            <w:vAlign w:val="center"/>
            <w:hideMark/>
          </w:tcPr>
          <w:p w14:paraId="6D7C4E5D" w14:textId="77777777" w:rsidR="00B76E04" w:rsidRPr="00A04E7F" w:rsidRDefault="00B76E04" w:rsidP="004C246C">
            <w:pPr>
              <w:spacing w:line="360" w:lineRule="auto"/>
              <w:jc w:val="right"/>
              <w:rPr>
                <w:b/>
                <w:bCs/>
                <w:color w:val="000000"/>
                <w:sz w:val="20"/>
                <w:szCs w:val="20"/>
                <w:lang w:val="es-MX" w:eastAsia="es-MX"/>
              </w:rPr>
            </w:pPr>
            <w:r w:rsidRPr="00A04E7F">
              <w:rPr>
                <w:b/>
                <w:bCs/>
                <w:color w:val="000000"/>
                <w:sz w:val="20"/>
                <w:szCs w:val="20"/>
                <w:lang w:eastAsia="es-MX"/>
              </w:rPr>
              <w:t>6,134,673,814.00</w:t>
            </w:r>
          </w:p>
        </w:tc>
      </w:tr>
    </w:tbl>
    <w:p w14:paraId="6046335C" w14:textId="77777777" w:rsidR="00B76E04" w:rsidRDefault="00B76E04" w:rsidP="004C246C">
      <w:pPr>
        <w:spacing w:line="360" w:lineRule="auto"/>
        <w:contextualSpacing/>
        <w:jc w:val="center"/>
        <w:rPr>
          <w:rFonts w:eastAsia="Calibri"/>
          <w:b/>
          <w:sz w:val="20"/>
          <w:szCs w:val="20"/>
        </w:rPr>
      </w:pPr>
    </w:p>
    <w:p w14:paraId="64A9053C" w14:textId="12A9FDB7" w:rsidR="00B76E04" w:rsidRDefault="007B2196" w:rsidP="004C246C">
      <w:pPr>
        <w:spacing w:line="360" w:lineRule="auto"/>
        <w:jc w:val="both"/>
        <w:rPr>
          <w:rFonts w:eastAsia="Calibri"/>
          <w:sz w:val="20"/>
          <w:szCs w:val="20"/>
        </w:rPr>
      </w:pPr>
      <w:r w:rsidRPr="007B2196">
        <w:rPr>
          <w:rFonts w:eastAsia="Calibri"/>
          <w:sz w:val="20"/>
          <w:szCs w:val="20"/>
        </w:rPr>
        <w:t>Por lo que se refiere a recursos destinados a Municipios, se estima un incremento equivalente al 11.8%, correspondiente a los recursos del Fondo para el Fortalecimiento Municipal (FORTAMUN) y del Fondo de Aportaciones para</w:t>
      </w:r>
      <w:r>
        <w:rPr>
          <w:rFonts w:eastAsia="Calibri"/>
          <w:sz w:val="20"/>
          <w:szCs w:val="20"/>
        </w:rPr>
        <w:t xml:space="preserve"> la</w:t>
      </w:r>
      <w:r w:rsidRPr="007B2196">
        <w:rPr>
          <w:rFonts w:eastAsia="Calibri"/>
          <w:sz w:val="20"/>
          <w:szCs w:val="20"/>
        </w:rPr>
        <w:t xml:space="preserve"> Infraestructura Social Municipal y de las Demarcaciones Territoriales del Distrito Federal (FAISMUN), así como de Participaciones e Incentivos Derivados de la Colaboración Fiscal y los Ingresos Derivados de Fuentes Locales.</w:t>
      </w:r>
    </w:p>
    <w:p w14:paraId="40CDF08F" w14:textId="77777777" w:rsidR="004C246C" w:rsidRDefault="004C246C" w:rsidP="004C246C">
      <w:pPr>
        <w:spacing w:line="360" w:lineRule="auto"/>
        <w:jc w:val="center"/>
        <w:rPr>
          <w:rFonts w:eastAsia="Calibri"/>
          <w:b/>
          <w:sz w:val="20"/>
          <w:szCs w:val="20"/>
        </w:rPr>
      </w:pPr>
    </w:p>
    <w:p w14:paraId="4129FE4F" w14:textId="58B8B393" w:rsidR="00B76E04" w:rsidRDefault="00B76E04" w:rsidP="004C246C">
      <w:pPr>
        <w:spacing w:line="360" w:lineRule="auto"/>
        <w:jc w:val="center"/>
        <w:rPr>
          <w:rFonts w:eastAsia="Calibri"/>
          <w:b/>
          <w:sz w:val="20"/>
          <w:szCs w:val="20"/>
        </w:rPr>
      </w:pPr>
      <w:r>
        <w:rPr>
          <w:rFonts w:eastAsia="Calibri"/>
          <w:b/>
          <w:sz w:val="20"/>
          <w:szCs w:val="20"/>
        </w:rPr>
        <w:t>PODER EJECUTIVO</w:t>
      </w:r>
    </w:p>
    <w:p w14:paraId="08BF956C" w14:textId="77777777" w:rsidR="004C246C" w:rsidRDefault="004C246C" w:rsidP="004C246C">
      <w:pPr>
        <w:spacing w:line="360" w:lineRule="auto"/>
        <w:jc w:val="center"/>
        <w:rPr>
          <w:rFonts w:eastAsia="Calibri"/>
          <w:b/>
          <w:sz w:val="20"/>
          <w:szCs w:val="20"/>
        </w:rPr>
      </w:pPr>
    </w:p>
    <w:p w14:paraId="030DFE8F" w14:textId="379275D7" w:rsidR="00B76E04" w:rsidRDefault="00B76E04" w:rsidP="004C246C">
      <w:pPr>
        <w:spacing w:line="360" w:lineRule="auto"/>
        <w:jc w:val="center"/>
        <w:rPr>
          <w:rFonts w:eastAsia="Calibri"/>
          <w:b/>
          <w:sz w:val="20"/>
          <w:szCs w:val="20"/>
        </w:rPr>
      </w:pPr>
      <w:r>
        <w:rPr>
          <w:rFonts w:eastAsia="Calibri"/>
          <w:b/>
          <w:sz w:val="20"/>
          <w:szCs w:val="20"/>
        </w:rPr>
        <w:t>CLASIFICACIÓN ADMINISTRATIVA</w:t>
      </w:r>
    </w:p>
    <w:p w14:paraId="5A42F248" w14:textId="77777777" w:rsidR="007B2196" w:rsidRDefault="007B2196" w:rsidP="004C246C">
      <w:pPr>
        <w:spacing w:line="360" w:lineRule="auto"/>
        <w:jc w:val="center"/>
        <w:rPr>
          <w:rFonts w:eastAsia="Calibri"/>
          <w:b/>
          <w:sz w:val="20"/>
          <w:szCs w:val="20"/>
        </w:rPr>
      </w:pPr>
    </w:p>
    <w:p w14:paraId="4AEB6FF7" w14:textId="037A1580" w:rsidR="00B76E04" w:rsidRDefault="00B76E04" w:rsidP="004C246C">
      <w:pPr>
        <w:spacing w:line="360" w:lineRule="auto"/>
        <w:jc w:val="both"/>
        <w:rPr>
          <w:rFonts w:eastAsia="Calibri"/>
          <w:sz w:val="20"/>
          <w:szCs w:val="20"/>
        </w:rPr>
      </w:pPr>
      <w:r w:rsidRPr="00206500">
        <w:rPr>
          <w:rFonts w:eastAsia="Calibri"/>
          <w:sz w:val="20"/>
          <w:szCs w:val="20"/>
        </w:rPr>
        <w:t>En la clasificación administrativa del presupuesto, presenta una proporción bajo e</w:t>
      </w:r>
      <w:r>
        <w:rPr>
          <w:rFonts w:eastAsia="Calibri"/>
          <w:sz w:val="20"/>
          <w:szCs w:val="20"/>
        </w:rPr>
        <w:t>l siguiente detalle; con el 2</w:t>
      </w:r>
      <w:r w:rsidR="007B2196">
        <w:rPr>
          <w:rFonts w:eastAsia="Calibri"/>
          <w:sz w:val="20"/>
          <w:szCs w:val="20"/>
        </w:rPr>
        <w:t>7.8</w:t>
      </w:r>
      <w:r w:rsidRPr="00206500">
        <w:rPr>
          <w:rFonts w:eastAsia="Calibri"/>
          <w:sz w:val="20"/>
          <w:szCs w:val="20"/>
        </w:rPr>
        <w:t>% del presupuesto para la Administrac</w:t>
      </w:r>
      <w:r>
        <w:rPr>
          <w:rFonts w:eastAsia="Calibri"/>
          <w:sz w:val="20"/>
          <w:szCs w:val="20"/>
        </w:rPr>
        <w:t>ión Pública Centralizada, el 2.</w:t>
      </w:r>
      <w:r w:rsidR="007B2196">
        <w:rPr>
          <w:rFonts w:eastAsia="Calibri"/>
          <w:sz w:val="20"/>
          <w:szCs w:val="20"/>
        </w:rPr>
        <w:t>7</w:t>
      </w:r>
      <w:r w:rsidRPr="00206500">
        <w:rPr>
          <w:rFonts w:eastAsia="Calibri"/>
          <w:sz w:val="20"/>
          <w:szCs w:val="20"/>
        </w:rPr>
        <w:t>% para la Administración Desconcentrada, el 4</w:t>
      </w:r>
      <w:r w:rsidR="007B2196">
        <w:rPr>
          <w:rFonts w:eastAsia="Calibri"/>
          <w:sz w:val="20"/>
          <w:szCs w:val="20"/>
        </w:rPr>
        <w:t>2</w:t>
      </w:r>
      <w:r w:rsidRPr="00206500">
        <w:rPr>
          <w:rFonts w:eastAsia="Calibri"/>
          <w:sz w:val="20"/>
          <w:szCs w:val="20"/>
        </w:rPr>
        <w:t>.</w:t>
      </w:r>
      <w:r w:rsidR="007B2196">
        <w:rPr>
          <w:rFonts w:eastAsia="Calibri"/>
          <w:sz w:val="20"/>
          <w:szCs w:val="20"/>
        </w:rPr>
        <w:t>2</w:t>
      </w:r>
      <w:r w:rsidRPr="00206500">
        <w:rPr>
          <w:rFonts w:eastAsia="Calibri"/>
          <w:sz w:val="20"/>
          <w:szCs w:val="20"/>
        </w:rPr>
        <w:t xml:space="preserve">% para la Administración Pública Descentralizada, el </w:t>
      </w:r>
      <w:r w:rsidR="007B2196">
        <w:rPr>
          <w:rFonts w:eastAsia="Calibri"/>
          <w:sz w:val="20"/>
          <w:szCs w:val="20"/>
        </w:rPr>
        <w:t>20.4</w:t>
      </w:r>
      <w:r w:rsidRPr="00206500">
        <w:rPr>
          <w:rFonts w:eastAsia="Calibri"/>
          <w:sz w:val="20"/>
          <w:szCs w:val="20"/>
        </w:rPr>
        <w:t>% para Municipios, y 6.</w:t>
      </w:r>
      <w:r w:rsidR="007B2196">
        <w:rPr>
          <w:rFonts w:eastAsia="Calibri"/>
          <w:sz w:val="20"/>
          <w:szCs w:val="20"/>
        </w:rPr>
        <w:t>9</w:t>
      </w:r>
      <w:r w:rsidRPr="00206500">
        <w:rPr>
          <w:rFonts w:eastAsia="Calibri"/>
          <w:sz w:val="20"/>
          <w:szCs w:val="20"/>
        </w:rPr>
        <w:t>% para Poderes y Órganos Autónomos, como sigue</w:t>
      </w:r>
      <w:r>
        <w:rPr>
          <w:rFonts w:eastAsia="Calibri"/>
          <w:sz w:val="20"/>
          <w:szCs w:val="20"/>
        </w:rPr>
        <w:t>:</w:t>
      </w:r>
    </w:p>
    <w:p w14:paraId="7E541709" w14:textId="77777777" w:rsidR="005838DD" w:rsidRDefault="005838DD" w:rsidP="004C246C">
      <w:pPr>
        <w:spacing w:line="360" w:lineRule="auto"/>
        <w:jc w:val="both"/>
        <w:rPr>
          <w:rFonts w:eastAsia="Calibri"/>
          <w:sz w:val="20"/>
          <w:szCs w:val="20"/>
        </w:rPr>
      </w:pPr>
    </w:p>
    <w:p w14:paraId="45334387" w14:textId="77777777" w:rsidR="00B76E04" w:rsidRDefault="00B76E04" w:rsidP="004C246C">
      <w:pPr>
        <w:spacing w:line="360" w:lineRule="auto"/>
        <w:contextualSpacing/>
        <w:jc w:val="center"/>
        <w:rPr>
          <w:rFonts w:eastAsia="Calibri"/>
          <w:b/>
          <w:sz w:val="20"/>
          <w:szCs w:val="20"/>
        </w:rPr>
      </w:pPr>
      <w:r>
        <w:rPr>
          <w:rFonts w:eastAsia="Calibri"/>
          <w:b/>
          <w:sz w:val="20"/>
          <w:szCs w:val="20"/>
        </w:rPr>
        <w:t>Clasificación Administrativa</w:t>
      </w:r>
    </w:p>
    <w:tbl>
      <w:tblPr>
        <w:tblW w:w="5098" w:type="dxa"/>
        <w:jc w:val="center"/>
        <w:tblCellMar>
          <w:left w:w="70" w:type="dxa"/>
          <w:right w:w="70" w:type="dxa"/>
        </w:tblCellMar>
        <w:tblLook w:val="04A0" w:firstRow="1" w:lastRow="0" w:firstColumn="1" w:lastColumn="0" w:noHBand="0" w:noVBand="1"/>
      </w:tblPr>
      <w:tblGrid>
        <w:gridCol w:w="2544"/>
        <w:gridCol w:w="1640"/>
        <w:gridCol w:w="914"/>
      </w:tblGrid>
      <w:tr w:rsidR="00B76E04" w:rsidRPr="00520930" w14:paraId="4462BA80" w14:textId="77777777" w:rsidTr="005838DD">
        <w:trPr>
          <w:trHeight w:val="300"/>
          <w:tblHeader/>
          <w:jc w:val="center"/>
        </w:trPr>
        <w:tc>
          <w:tcPr>
            <w:tcW w:w="2544" w:type="dxa"/>
            <w:vMerge w:val="restart"/>
            <w:tcBorders>
              <w:top w:val="single" w:sz="4" w:space="0" w:color="A6A6A6"/>
              <w:left w:val="single" w:sz="4" w:space="0" w:color="A6A6A6"/>
              <w:bottom w:val="single" w:sz="4" w:space="0" w:color="A6A6A6"/>
              <w:right w:val="single" w:sz="4" w:space="0" w:color="A6A6A6"/>
            </w:tcBorders>
            <w:shd w:val="clear" w:color="000000" w:fill="CCCCCC"/>
            <w:vAlign w:val="center"/>
            <w:hideMark/>
          </w:tcPr>
          <w:p w14:paraId="5AB278FE" w14:textId="77777777" w:rsidR="00B76E04" w:rsidRPr="00520930" w:rsidRDefault="00B76E04" w:rsidP="004C246C">
            <w:pPr>
              <w:spacing w:line="360" w:lineRule="auto"/>
              <w:jc w:val="center"/>
              <w:rPr>
                <w:b/>
                <w:bCs/>
                <w:sz w:val="20"/>
                <w:szCs w:val="20"/>
                <w:lang w:eastAsia="es-MX"/>
              </w:rPr>
            </w:pPr>
            <w:r w:rsidRPr="00520930">
              <w:rPr>
                <w:b/>
                <w:bCs/>
                <w:sz w:val="20"/>
                <w:szCs w:val="20"/>
                <w:lang w:eastAsia="es-MX"/>
              </w:rPr>
              <w:t>RAMOS PRESUPUESTARIOS</w:t>
            </w:r>
          </w:p>
        </w:tc>
        <w:tc>
          <w:tcPr>
            <w:tcW w:w="1640" w:type="dxa"/>
            <w:tcBorders>
              <w:top w:val="single" w:sz="4" w:space="0" w:color="A6A6A6"/>
              <w:left w:val="nil"/>
              <w:bottom w:val="nil"/>
              <w:right w:val="single" w:sz="4" w:space="0" w:color="A6A6A6"/>
            </w:tcBorders>
            <w:shd w:val="clear" w:color="000000" w:fill="CCCCCC"/>
            <w:vAlign w:val="center"/>
            <w:hideMark/>
          </w:tcPr>
          <w:p w14:paraId="0BD89825" w14:textId="77777777" w:rsidR="00B76E04" w:rsidRPr="00520930" w:rsidRDefault="00B76E04" w:rsidP="004C246C">
            <w:pPr>
              <w:spacing w:line="360" w:lineRule="auto"/>
              <w:jc w:val="center"/>
              <w:rPr>
                <w:b/>
                <w:bCs/>
                <w:sz w:val="20"/>
                <w:szCs w:val="20"/>
                <w:lang w:eastAsia="es-MX"/>
              </w:rPr>
            </w:pPr>
            <w:r w:rsidRPr="00520930">
              <w:rPr>
                <w:b/>
                <w:bCs/>
                <w:sz w:val="20"/>
                <w:szCs w:val="20"/>
                <w:lang w:eastAsia="es-MX"/>
              </w:rPr>
              <w:t xml:space="preserve">MONTO </w:t>
            </w:r>
          </w:p>
        </w:tc>
        <w:tc>
          <w:tcPr>
            <w:tcW w:w="914" w:type="dxa"/>
            <w:vMerge w:val="restart"/>
            <w:tcBorders>
              <w:top w:val="single" w:sz="4" w:space="0" w:color="A6A6A6"/>
              <w:left w:val="single" w:sz="4" w:space="0" w:color="A6A6A6"/>
              <w:bottom w:val="single" w:sz="4" w:space="0" w:color="A6A6A6"/>
              <w:right w:val="single" w:sz="4" w:space="0" w:color="A6A6A6"/>
            </w:tcBorders>
            <w:shd w:val="clear" w:color="000000" w:fill="CCCCCC"/>
            <w:vAlign w:val="center"/>
            <w:hideMark/>
          </w:tcPr>
          <w:p w14:paraId="0F517E30" w14:textId="77777777" w:rsidR="00B76E04" w:rsidRPr="00520930" w:rsidRDefault="00B76E04" w:rsidP="004C246C">
            <w:pPr>
              <w:spacing w:line="360" w:lineRule="auto"/>
              <w:jc w:val="center"/>
              <w:rPr>
                <w:b/>
                <w:bCs/>
                <w:sz w:val="20"/>
                <w:szCs w:val="20"/>
                <w:lang w:eastAsia="es-MX"/>
              </w:rPr>
            </w:pPr>
            <w:r w:rsidRPr="00520930">
              <w:rPr>
                <w:b/>
                <w:bCs/>
                <w:sz w:val="20"/>
                <w:szCs w:val="20"/>
                <w:lang w:eastAsia="es-MX"/>
              </w:rPr>
              <w:t>%</w:t>
            </w:r>
          </w:p>
        </w:tc>
      </w:tr>
      <w:tr w:rsidR="00B76E04" w:rsidRPr="00520930" w14:paraId="4C94FA7D" w14:textId="77777777" w:rsidTr="00A7274D">
        <w:trPr>
          <w:trHeight w:val="300"/>
          <w:jc w:val="center"/>
        </w:trPr>
        <w:tc>
          <w:tcPr>
            <w:tcW w:w="2544" w:type="dxa"/>
            <w:vMerge/>
            <w:tcBorders>
              <w:top w:val="single" w:sz="4" w:space="0" w:color="A6A6A6"/>
              <w:left w:val="single" w:sz="4" w:space="0" w:color="A6A6A6"/>
              <w:bottom w:val="single" w:sz="4" w:space="0" w:color="A6A6A6"/>
              <w:right w:val="single" w:sz="4" w:space="0" w:color="A6A6A6"/>
            </w:tcBorders>
            <w:vAlign w:val="center"/>
            <w:hideMark/>
          </w:tcPr>
          <w:p w14:paraId="1A9989C8" w14:textId="77777777" w:rsidR="00B76E04" w:rsidRPr="00520930" w:rsidRDefault="00B76E04" w:rsidP="004C246C">
            <w:pPr>
              <w:spacing w:line="360" w:lineRule="auto"/>
              <w:rPr>
                <w:b/>
                <w:bCs/>
                <w:color w:val="000000"/>
                <w:sz w:val="20"/>
                <w:szCs w:val="20"/>
                <w:lang w:val="es-MX" w:eastAsia="es-MX"/>
              </w:rPr>
            </w:pPr>
          </w:p>
        </w:tc>
        <w:tc>
          <w:tcPr>
            <w:tcW w:w="1640" w:type="dxa"/>
            <w:tcBorders>
              <w:top w:val="nil"/>
              <w:left w:val="nil"/>
              <w:bottom w:val="single" w:sz="4" w:space="0" w:color="A6A6A6"/>
              <w:right w:val="single" w:sz="4" w:space="0" w:color="A6A6A6"/>
            </w:tcBorders>
            <w:shd w:val="clear" w:color="000000" w:fill="CCCCCC"/>
            <w:vAlign w:val="center"/>
            <w:hideMark/>
          </w:tcPr>
          <w:p w14:paraId="0F4789DD" w14:textId="77777777" w:rsidR="00B76E04" w:rsidRPr="00520930" w:rsidRDefault="00B76E04" w:rsidP="004C246C">
            <w:pPr>
              <w:spacing w:line="360" w:lineRule="auto"/>
              <w:jc w:val="center"/>
              <w:rPr>
                <w:b/>
                <w:bCs/>
                <w:color w:val="000000"/>
                <w:sz w:val="20"/>
                <w:szCs w:val="20"/>
                <w:lang w:val="es-MX" w:eastAsia="es-MX"/>
              </w:rPr>
            </w:pPr>
            <w:r w:rsidRPr="00520930">
              <w:rPr>
                <w:b/>
                <w:bCs/>
                <w:color w:val="000000"/>
                <w:sz w:val="20"/>
                <w:szCs w:val="20"/>
                <w:lang w:eastAsia="es-MX"/>
              </w:rPr>
              <w:t>($)</w:t>
            </w:r>
          </w:p>
        </w:tc>
        <w:tc>
          <w:tcPr>
            <w:tcW w:w="914" w:type="dxa"/>
            <w:vMerge/>
            <w:tcBorders>
              <w:top w:val="single" w:sz="4" w:space="0" w:color="A6A6A6"/>
              <w:left w:val="single" w:sz="4" w:space="0" w:color="A6A6A6"/>
              <w:bottom w:val="single" w:sz="4" w:space="0" w:color="A6A6A6"/>
              <w:right w:val="single" w:sz="4" w:space="0" w:color="A6A6A6"/>
            </w:tcBorders>
            <w:vAlign w:val="center"/>
            <w:hideMark/>
          </w:tcPr>
          <w:p w14:paraId="46808C59" w14:textId="77777777" w:rsidR="00B76E04" w:rsidRPr="00520930" w:rsidRDefault="00B76E04" w:rsidP="004C246C">
            <w:pPr>
              <w:spacing w:line="360" w:lineRule="auto"/>
              <w:rPr>
                <w:b/>
                <w:bCs/>
                <w:color w:val="000000"/>
                <w:sz w:val="20"/>
                <w:szCs w:val="20"/>
                <w:lang w:val="es-MX" w:eastAsia="es-MX"/>
              </w:rPr>
            </w:pPr>
          </w:p>
        </w:tc>
      </w:tr>
      <w:tr w:rsidR="00B76E04" w:rsidRPr="00520930" w14:paraId="3D22678A" w14:textId="77777777" w:rsidTr="00A7274D">
        <w:trPr>
          <w:trHeight w:val="300"/>
          <w:jc w:val="center"/>
        </w:trPr>
        <w:tc>
          <w:tcPr>
            <w:tcW w:w="2544" w:type="dxa"/>
            <w:tcBorders>
              <w:top w:val="nil"/>
              <w:left w:val="single" w:sz="4" w:space="0" w:color="A6A6A6"/>
              <w:bottom w:val="single" w:sz="4" w:space="0" w:color="A6A6A6"/>
              <w:right w:val="single" w:sz="4" w:space="0" w:color="A6A6A6"/>
            </w:tcBorders>
            <w:vAlign w:val="center"/>
            <w:hideMark/>
          </w:tcPr>
          <w:p w14:paraId="0A5A642E" w14:textId="77777777" w:rsidR="00B76E04" w:rsidRPr="00520930" w:rsidRDefault="00B76E04" w:rsidP="004C246C">
            <w:pPr>
              <w:spacing w:line="360" w:lineRule="auto"/>
              <w:jc w:val="both"/>
              <w:rPr>
                <w:color w:val="000000"/>
                <w:sz w:val="20"/>
                <w:szCs w:val="20"/>
                <w:lang w:val="es-MX" w:eastAsia="es-MX"/>
              </w:rPr>
            </w:pPr>
            <w:r w:rsidRPr="00520930">
              <w:rPr>
                <w:color w:val="000000"/>
                <w:sz w:val="20"/>
                <w:szCs w:val="20"/>
                <w:lang w:eastAsia="es-MX"/>
              </w:rPr>
              <w:t xml:space="preserve">Centralizadas </w:t>
            </w:r>
          </w:p>
        </w:tc>
        <w:tc>
          <w:tcPr>
            <w:tcW w:w="1640" w:type="dxa"/>
            <w:tcBorders>
              <w:top w:val="nil"/>
              <w:left w:val="nil"/>
              <w:bottom w:val="single" w:sz="4" w:space="0" w:color="A6A6A6"/>
              <w:right w:val="single" w:sz="4" w:space="0" w:color="A6A6A6"/>
            </w:tcBorders>
            <w:vAlign w:val="center"/>
            <w:hideMark/>
          </w:tcPr>
          <w:p w14:paraId="48C1F939" w14:textId="77777777" w:rsidR="00B76E04" w:rsidRPr="00520930" w:rsidRDefault="00B76E04" w:rsidP="004C246C">
            <w:pPr>
              <w:spacing w:line="360" w:lineRule="auto"/>
              <w:jc w:val="right"/>
              <w:rPr>
                <w:color w:val="000000"/>
                <w:sz w:val="20"/>
                <w:szCs w:val="20"/>
                <w:lang w:val="es-MX" w:eastAsia="es-MX"/>
              </w:rPr>
            </w:pPr>
            <w:r w:rsidRPr="00520930">
              <w:rPr>
                <w:color w:val="000000"/>
                <w:sz w:val="20"/>
                <w:szCs w:val="20"/>
                <w:lang w:val="es-MX" w:eastAsia="es-MX"/>
              </w:rPr>
              <w:t>8,352,705,598.00</w:t>
            </w:r>
          </w:p>
        </w:tc>
        <w:tc>
          <w:tcPr>
            <w:tcW w:w="914" w:type="dxa"/>
            <w:tcBorders>
              <w:top w:val="nil"/>
              <w:left w:val="nil"/>
              <w:bottom w:val="single" w:sz="4" w:space="0" w:color="A6A6A6"/>
              <w:right w:val="single" w:sz="4" w:space="0" w:color="A6A6A6"/>
            </w:tcBorders>
            <w:vAlign w:val="center"/>
            <w:hideMark/>
          </w:tcPr>
          <w:p w14:paraId="5482E89B" w14:textId="77777777" w:rsidR="00B76E04" w:rsidRPr="00520930" w:rsidRDefault="00B76E04" w:rsidP="004C246C">
            <w:pPr>
              <w:spacing w:line="360" w:lineRule="auto"/>
              <w:jc w:val="center"/>
              <w:rPr>
                <w:color w:val="000000"/>
                <w:sz w:val="20"/>
                <w:szCs w:val="20"/>
                <w:lang w:val="es-MX" w:eastAsia="es-MX"/>
              </w:rPr>
            </w:pPr>
            <w:r w:rsidRPr="00520930">
              <w:rPr>
                <w:color w:val="000000"/>
                <w:sz w:val="20"/>
                <w:szCs w:val="20"/>
                <w:lang w:eastAsia="es-MX"/>
              </w:rPr>
              <w:t>27.8</w:t>
            </w:r>
          </w:p>
        </w:tc>
      </w:tr>
      <w:tr w:rsidR="00B76E04" w:rsidRPr="00520930" w14:paraId="73B793AD" w14:textId="77777777" w:rsidTr="00A7274D">
        <w:trPr>
          <w:trHeight w:val="300"/>
          <w:jc w:val="center"/>
        </w:trPr>
        <w:tc>
          <w:tcPr>
            <w:tcW w:w="2544" w:type="dxa"/>
            <w:tcBorders>
              <w:top w:val="nil"/>
              <w:left w:val="single" w:sz="4" w:space="0" w:color="A6A6A6"/>
              <w:bottom w:val="single" w:sz="4" w:space="0" w:color="A6A6A6"/>
              <w:right w:val="single" w:sz="4" w:space="0" w:color="A6A6A6"/>
            </w:tcBorders>
            <w:vAlign w:val="center"/>
            <w:hideMark/>
          </w:tcPr>
          <w:p w14:paraId="6BEADBD1" w14:textId="77777777" w:rsidR="00B76E04" w:rsidRPr="00520930" w:rsidRDefault="00B76E04" w:rsidP="004C246C">
            <w:pPr>
              <w:spacing w:line="360" w:lineRule="auto"/>
              <w:jc w:val="both"/>
              <w:rPr>
                <w:color w:val="000000"/>
                <w:sz w:val="20"/>
                <w:szCs w:val="20"/>
                <w:lang w:val="es-MX" w:eastAsia="es-MX"/>
              </w:rPr>
            </w:pPr>
            <w:r w:rsidRPr="00520930">
              <w:rPr>
                <w:color w:val="000000"/>
                <w:sz w:val="20"/>
                <w:szCs w:val="20"/>
                <w:lang w:eastAsia="es-MX"/>
              </w:rPr>
              <w:t xml:space="preserve">Desconcentradas </w:t>
            </w:r>
          </w:p>
        </w:tc>
        <w:tc>
          <w:tcPr>
            <w:tcW w:w="1640" w:type="dxa"/>
            <w:tcBorders>
              <w:top w:val="nil"/>
              <w:left w:val="nil"/>
              <w:bottom w:val="single" w:sz="4" w:space="0" w:color="A6A6A6"/>
              <w:right w:val="single" w:sz="4" w:space="0" w:color="A6A6A6"/>
            </w:tcBorders>
            <w:vAlign w:val="center"/>
            <w:hideMark/>
          </w:tcPr>
          <w:p w14:paraId="2BFFD418" w14:textId="77777777" w:rsidR="00B76E04" w:rsidRPr="00520930" w:rsidRDefault="00B76E04" w:rsidP="004C246C">
            <w:pPr>
              <w:spacing w:line="360" w:lineRule="auto"/>
              <w:jc w:val="right"/>
              <w:rPr>
                <w:color w:val="000000"/>
                <w:sz w:val="20"/>
                <w:szCs w:val="20"/>
                <w:lang w:val="es-MX" w:eastAsia="es-MX"/>
              </w:rPr>
            </w:pPr>
            <w:r w:rsidRPr="00520930">
              <w:rPr>
                <w:color w:val="000000"/>
                <w:sz w:val="20"/>
                <w:szCs w:val="20"/>
                <w:lang w:val="es-MX" w:eastAsia="es-MX"/>
              </w:rPr>
              <w:t>828,414,683.00</w:t>
            </w:r>
          </w:p>
        </w:tc>
        <w:tc>
          <w:tcPr>
            <w:tcW w:w="914" w:type="dxa"/>
            <w:tcBorders>
              <w:top w:val="nil"/>
              <w:left w:val="nil"/>
              <w:bottom w:val="single" w:sz="4" w:space="0" w:color="A6A6A6"/>
              <w:right w:val="single" w:sz="4" w:space="0" w:color="A6A6A6"/>
            </w:tcBorders>
            <w:vAlign w:val="center"/>
            <w:hideMark/>
          </w:tcPr>
          <w:p w14:paraId="1078573E" w14:textId="77777777" w:rsidR="00B76E04" w:rsidRPr="00520930" w:rsidRDefault="00B76E04" w:rsidP="004C246C">
            <w:pPr>
              <w:spacing w:line="360" w:lineRule="auto"/>
              <w:jc w:val="center"/>
              <w:rPr>
                <w:color w:val="000000"/>
                <w:sz w:val="20"/>
                <w:szCs w:val="20"/>
                <w:lang w:val="es-MX" w:eastAsia="es-MX"/>
              </w:rPr>
            </w:pPr>
            <w:r w:rsidRPr="00520930">
              <w:rPr>
                <w:color w:val="000000"/>
                <w:sz w:val="20"/>
                <w:szCs w:val="20"/>
                <w:lang w:eastAsia="es-MX"/>
              </w:rPr>
              <w:t>2.7</w:t>
            </w:r>
          </w:p>
        </w:tc>
      </w:tr>
      <w:tr w:rsidR="00B76E04" w:rsidRPr="00520930" w14:paraId="2F71E664" w14:textId="77777777" w:rsidTr="00A7274D">
        <w:trPr>
          <w:trHeight w:val="300"/>
          <w:jc w:val="center"/>
        </w:trPr>
        <w:tc>
          <w:tcPr>
            <w:tcW w:w="2544" w:type="dxa"/>
            <w:tcBorders>
              <w:top w:val="nil"/>
              <w:left w:val="single" w:sz="4" w:space="0" w:color="A6A6A6"/>
              <w:bottom w:val="single" w:sz="4" w:space="0" w:color="A6A6A6"/>
              <w:right w:val="single" w:sz="4" w:space="0" w:color="A6A6A6"/>
            </w:tcBorders>
            <w:vAlign w:val="center"/>
            <w:hideMark/>
          </w:tcPr>
          <w:p w14:paraId="64A94FDA" w14:textId="77777777" w:rsidR="00B76E04" w:rsidRPr="00520930" w:rsidRDefault="00B76E04" w:rsidP="004C246C">
            <w:pPr>
              <w:spacing w:line="360" w:lineRule="auto"/>
              <w:jc w:val="both"/>
              <w:rPr>
                <w:color w:val="000000"/>
                <w:sz w:val="20"/>
                <w:szCs w:val="20"/>
                <w:lang w:val="es-MX" w:eastAsia="es-MX"/>
              </w:rPr>
            </w:pPr>
            <w:r w:rsidRPr="00520930">
              <w:rPr>
                <w:color w:val="000000"/>
                <w:sz w:val="20"/>
                <w:szCs w:val="20"/>
                <w:lang w:eastAsia="es-MX"/>
              </w:rPr>
              <w:t xml:space="preserve">Descentralizadas </w:t>
            </w:r>
          </w:p>
        </w:tc>
        <w:tc>
          <w:tcPr>
            <w:tcW w:w="1640" w:type="dxa"/>
            <w:tcBorders>
              <w:top w:val="nil"/>
              <w:left w:val="nil"/>
              <w:bottom w:val="single" w:sz="4" w:space="0" w:color="A6A6A6"/>
              <w:right w:val="single" w:sz="4" w:space="0" w:color="A6A6A6"/>
            </w:tcBorders>
            <w:vAlign w:val="center"/>
            <w:hideMark/>
          </w:tcPr>
          <w:p w14:paraId="4E694FB6" w14:textId="77777777" w:rsidR="00B76E04" w:rsidRPr="00520930" w:rsidRDefault="00B76E04" w:rsidP="004C246C">
            <w:pPr>
              <w:spacing w:line="360" w:lineRule="auto"/>
              <w:jc w:val="right"/>
              <w:rPr>
                <w:color w:val="000000"/>
                <w:sz w:val="20"/>
                <w:szCs w:val="20"/>
                <w:lang w:val="es-MX" w:eastAsia="es-MX"/>
              </w:rPr>
            </w:pPr>
            <w:r w:rsidRPr="00520930">
              <w:rPr>
                <w:color w:val="000000"/>
                <w:sz w:val="20"/>
                <w:szCs w:val="20"/>
                <w:lang w:val="es-MX" w:eastAsia="es-MX"/>
              </w:rPr>
              <w:t>12,697,665,767.00</w:t>
            </w:r>
          </w:p>
        </w:tc>
        <w:tc>
          <w:tcPr>
            <w:tcW w:w="914" w:type="dxa"/>
            <w:tcBorders>
              <w:top w:val="nil"/>
              <w:left w:val="nil"/>
              <w:bottom w:val="single" w:sz="4" w:space="0" w:color="A6A6A6"/>
              <w:right w:val="single" w:sz="4" w:space="0" w:color="A6A6A6"/>
            </w:tcBorders>
            <w:vAlign w:val="center"/>
            <w:hideMark/>
          </w:tcPr>
          <w:p w14:paraId="3923DA13" w14:textId="77777777" w:rsidR="00B76E04" w:rsidRPr="00520930" w:rsidRDefault="00B76E04" w:rsidP="004C246C">
            <w:pPr>
              <w:spacing w:line="360" w:lineRule="auto"/>
              <w:jc w:val="center"/>
              <w:rPr>
                <w:color w:val="000000"/>
                <w:sz w:val="20"/>
                <w:szCs w:val="20"/>
                <w:lang w:val="es-MX" w:eastAsia="es-MX"/>
              </w:rPr>
            </w:pPr>
            <w:r w:rsidRPr="00520930">
              <w:rPr>
                <w:color w:val="000000"/>
                <w:sz w:val="20"/>
                <w:szCs w:val="20"/>
                <w:lang w:eastAsia="es-MX"/>
              </w:rPr>
              <w:t>42.2</w:t>
            </w:r>
          </w:p>
        </w:tc>
      </w:tr>
      <w:tr w:rsidR="00B76E04" w:rsidRPr="00520930" w14:paraId="07EB01F0" w14:textId="77777777" w:rsidTr="00A7274D">
        <w:trPr>
          <w:trHeight w:val="300"/>
          <w:jc w:val="center"/>
        </w:trPr>
        <w:tc>
          <w:tcPr>
            <w:tcW w:w="2544" w:type="dxa"/>
            <w:tcBorders>
              <w:top w:val="nil"/>
              <w:left w:val="single" w:sz="4" w:space="0" w:color="A6A6A6"/>
              <w:bottom w:val="single" w:sz="4" w:space="0" w:color="A6A6A6"/>
              <w:right w:val="single" w:sz="4" w:space="0" w:color="A6A6A6"/>
            </w:tcBorders>
            <w:vAlign w:val="center"/>
            <w:hideMark/>
          </w:tcPr>
          <w:p w14:paraId="3FA05BDA" w14:textId="77777777" w:rsidR="00B76E04" w:rsidRPr="00520930" w:rsidRDefault="00B76E04" w:rsidP="004C246C">
            <w:pPr>
              <w:spacing w:line="360" w:lineRule="auto"/>
              <w:jc w:val="both"/>
              <w:rPr>
                <w:color w:val="000000"/>
                <w:sz w:val="20"/>
                <w:szCs w:val="20"/>
                <w:lang w:val="es-MX" w:eastAsia="es-MX"/>
              </w:rPr>
            </w:pPr>
            <w:r w:rsidRPr="00520930">
              <w:rPr>
                <w:color w:val="000000"/>
                <w:sz w:val="20"/>
                <w:szCs w:val="20"/>
                <w:lang w:eastAsia="es-MX"/>
              </w:rPr>
              <w:lastRenderedPageBreak/>
              <w:t>Poder Legislativo y Judicial</w:t>
            </w:r>
          </w:p>
        </w:tc>
        <w:tc>
          <w:tcPr>
            <w:tcW w:w="1640" w:type="dxa"/>
            <w:tcBorders>
              <w:top w:val="nil"/>
              <w:left w:val="nil"/>
              <w:bottom w:val="single" w:sz="4" w:space="0" w:color="A6A6A6"/>
              <w:right w:val="single" w:sz="4" w:space="0" w:color="A6A6A6"/>
            </w:tcBorders>
            <w:vAlign w:val="center"/>
            <w:hideMark/>
          </w:tcPr>
          <w:p w14:paraId="05F085A7" w14:textId="77777777" w:rsidR="00B76E04" w:rsidRPr="00520930" w:rsidRDefault="00B76E04" w:rsidP="004C246C">
            <w:pPr>
              <w:spacing w:line="360" w:lineRule="auto"/>
              <w:jc w:val="right"/>
              <w:rPr>
                <w:color w:val="000000"/>
                <w:sz w:val="20"/>
                <w:szCs w:val="20"/>
                <w:lang w:val="es-MX" w:eastAsia="es-MX"/>
              </w:rPr>
            </w:pPr>
            <w:r w:rsidRPr="00520930">
              <w:rPr>
                <w:color w:val="000000"/>
                <w:sz w:val="20"/>
                <w:szCs w:val="20"/>
                <w:lang w:eastAsia="es-MX"/>
              </w:rPr>
              <w:t>1,079,409,660.00</w:t>
            </w:r>
          </w:p>
        </w:tc>
        <w:tc>
          <w:tcPr>
            <w:tcW w:w="914" w:type="dxa"/>
            <w:tcBorders>
              <w:top w:val="nil"/>
              <w:left w:val="nil"/>
              <w:bottom w:val="single" w:sz="4" w:space="0" w:color="A6A6A6"/>
              <w:right w:val="single" w:sz="4" w:space="0" w:color="A6A6A6"/>
            </w:tcBorders>
            <w:vAlign w:val="center"/>
            <w:hideMark/>
          </w:tcPr>
          <w:p w14:paraId="774407C5" w14:textId="77777777" w:rsidR="00B76E04" w:rsidRPr="00520930" w:rsidRDefault="00B76E04" w:rsidP="004C246C">
            <w:pPr>
              <w:spacing w:line="360" w:lineRule="auto"/>
              <w:jc w:val="center"/>
              <w:rPr>
                <w:color w:val="000000"/>
                <w:sz w:val="20"/>
                <w:szCs w:val="20"/>
                <w:lang w:val="es-MX" w:eastAsia="es-MX"/>
              </w:rPr>
            </w:pPr>
            <w:r w:rsidRPr="00520930">
              <w:rPr>
                <w:color w:val="000000"/>
                <w:sz w:val="20"/>
                <w:szCs w:val="20"/>
                <w:lang w:eastAsia="es-MX"/>
              </w:rPr>
              <w:t>3.6</w:t>
            </w:r>
          </w:p>
        </w:tc>
      </w:tr>
      <w:tr w:rsidR="00B76E04" w:rsidRPr="00520930" w14:paraId="0101FFAD" w14:textId="77777777" w:rsidTr="00A7274D">
        <w:trPr>
          <w:trHeight w:val="300"/>
          <w:jc w:val="center"/>
        </w:trPr>
        <w:tc>
          <w:tcPr>
            <w:tcW w:w="2544" w:type="dxa"/>
            <w:tcBorders>
              <w:top w:val="nil"/>
              <w:left w:val="single" w:sz="4" w:space="0" w:color="A6A6A6"/>
              <w:bottom w:val="single" w:sz="4" w:space="0" w:color="A6A6A6"/>
              <w:right w:val="single" w:sz="4" w:space="0" w:color="A6A6A6"/>
            </w:tcBorders>
            <w:vAlign w:val="center"/>
            <w:hideMark/>
          </w:tcPr>
          <w:p w14:paraId="5DB600EB" w14:textId="77777777" w:rsidR="00B76E04" w:rsidRPr="00520930" w:rsidRDefault="00B76E04" w:rsidP="004C246C">
            <w:pPr>
              <w:spacing w:line="360" w:lineRule="auto"/>
              <w:jc w:val="both"/>
              <w:rPr>
                <w:color w:val="000000"/>
                <w:sz w:val="20"/>
                <w:szCs w:val="20"/>
                <w:lang w:val="es-MX" w:eastAsia="es-MX"/>
              </w:rPr>
            </w:pPr>
            <w:r w:rsidRPr="00520930">
              <w:rPr>
                <w:color w:val="000000"/>
                <w:sz w:val="20"/>
                <w:szCs w:val="20"/>
                <w:lang w:eastAsia="es-MX"/>
              </w:rPr>
              <w:t>Órganos Autónomos</w:t>
            </w:r>
          </w:p>
        </w:tc>
        <w:tc>
          <w:tcPr>
            <w:tcW w:w="1640" w:type="dxa"/>
            <w:tcBorders>
              <w:top w:val="nil"/>
              <w:left w:val="nil"/>
              <w:bottom w:val="single" w:sz="4" w:space="0" w:color="A6A6A6"/>
              <w:right w:val="single" w:sz="4" w:space="0" w:color="A6A6A6"/>
            </w:tcBorders>
            <w:vAlign w:val="center"/>
            <w:hideMark/>
          </w:tcPr>
          <w:p w14:paraId="2A4E2212" w14:textId="77777777" w:rsidR="00B76E04" w:rsidRPr="00520930" w:rsidRDefault="00B76E04" w:rsidP="004C246C">
            <w:pPr>
              <w:spacing w:line="360" w:lineRule="auto"/>
              <w:jc w:val="right"/>
              <w:rPr>
                <w:color w:val="000000"/>
                <w:sz w:val="20"/>
                <w:szCs w:val="20"/>
                <w:lang w:val="es-MX" w:eastAsia="es-MX"/>
              </w:rPr>
            </w:pPr>
            <w:r w:rsidRPr="00520930">
              <w:rPr>
                <w:color w:val="000000"/>
                <w:sz w:val="20"/>
                <w:szCs w:val="20"/>
                <w:lang w:eastAsia="es-MX"/>
              </w:rPr>
              <w:t>993,209,506.00</w:t>
            </w:r>
          </w:p>
        </w:tc>
        <w:tc>
          <w:tcPr>
            <w:tcW w:w="914" w:type="dxa"/>
            <w:tcBorders>
              <w:top w:val="nil"/>
              <w:left w:val="nil"/>
              <w:bottom w:val="single" w:sz="4" w:space="0" w:color="A6A6A6"/>
              <w:right w:val="single" w:sz="4" w:space="0" w:color="A6A6A6"/>
            </w:tcBorders>
            <w:vAlign w:val="center"/>
            <w:hideMark/>
          </w:tcPr>
          <w:p w14:paraId="127DD932" w14:textId="77777777" w:rsidR="00B76E04" w:rsidRPr="00520930" w:rsidRDefault="00B76E04" w:rsidP="004C246C">
            <w:pPr>
              <w:spacing w:line="360" w:lineRule="auto"/>
              <w:jc w:val="center"/>
              <w:rPr>
                <w:color w:val="000000"/>
                <w:sz w:val="20"/>
                <w:szCs w:val="20"/>
                <w:lang w:val="es-MX" w:eastAsia="es-MX"/>
              </w:rPr>
            </w:pPr>
            <w:r w:rsidRPr="00520930">
              <w:rPr>
                <w:color w:val="000000"/>
                <w:sz w:val="20"/>
                <w:szCs w:val="20"/>
                <w:lang w:eastAsia="es-MX"/>
              </w:rPr>
              <w:t>3.3</w:t>
            </w:r>
          </w:p>
        </w:tc>
      </w:tr>
      <w:tr w:rsidR="00B76E04" w:rsidRPr="00520930" w14:paraId="6371457C" w14:textId="77777777" w:rsidTr="00A7274D">
        <w:trPr>
          <w:trHeight w:val="300"/>
          <w:jc w:val="center"/>
        </w:trPr>
        <w:tc>
          <w:tcPr>
            <w:tcW w:w="2544" w:type="dxa"/>
            <w:tcBorders>
              <w:top w:val="nil"/>
              <w:left w:val="single" w:sz="4" w:space="0" w:color="A6A6A6"/>
              <w:bottom w:val="single" w:sz="4" w:space="0" w:color="A6A6A6"/>
              <w:right w:val="single" w:sz="4" w:space="0" w:color="A6A6A6"/>
            </w:tcBorders>
            <w:vAlign w:val="center"/>
            <w:hideMark/>
          </w:tcPr>
          <w:p w14:paraId="44BA3F47" w14:textId="77777777" w:rsidR="00B76E04" w:rsidRPr="00520930" w:rsidRDefault="00B76E04" w:rsidP="004C246C">
            <w:pPr>
              <w:spacing w:line="360" w:lineRule="auto"/>
              <w:jc w:val="both"/>
              <w:rPr>
                <w:color w:val="000000"/>
                <w:sz w:val="20"/>
                <w:szCs w:val="20"/>
                <w:lang w:val="es-MX" w:eastAsia="es-MX"/>
              </w:rPr>
            </w:pPr>
            <w:r w:rsidRPr="00520930">
              <w:rPr>
                <w:color w:val="000000"/>
                <w:sz w:val="20"/>
                <w:szCs w:val="20"/>
                <w:lang w:eastAsia="es-MX"/>
              </w:rPr>
              <w:t xml:space="preserve">Municipios </w:t>
            </w:r>
          </w:p>
        </w:tc>
        <w:tc>
          <w:tcPr>
            <w:tcW w:w="1640" w:type="dxa"/>
            <w:tcBorders>
              <w:top w:val="nil"/>
              <w:left w:val="nil"/>
              <w:bottom w:val="single" w:sz="4" w:space="0" w:color="A6A6A6"/>
              <w:right w:val="single" w:sz="4" w:space="0" w:color="A6A6A6"/>
            </w:tcBorders>
            <w:vAlign w:val="center"/>
            <w:hideMark/>
          </w:tcPr>
          <w:p w14:paraId="381A5FCF" w14:textId="77777777" w:rsidR="00B76E04" w:rsidRPr="00520930" w:rsidRDefault="00B76E04" w:rsidP="004C246C">
            <w:pPr>
              <w:spacing w:line="360" w:lineRule="auto"/>
              <w:jc w:val="right"/>
              <w:rPr>
                <w:color w:val="000000"/>
                <w:sz w:val="20"/>
                <w:szCs w:val="20"/>
                <w:lang w:val="es-MX" w:eastAsia="es-MX"/>
              </w:rPr>
            </w:pPr>
            <w:r w:rsidRPr="00520930">
              <w:rPr>
                <w:color w:val="000000"/>
                <w:sz w:val="20"/>
                <w:szCs w:val="20"/>
                <w:lang w:eastAsia="es-MX"/>
              </w:rPr>
              <w:t>6,134,673,814.00</w:t>
            </w:r>
          </w:p>
        </w:tc>
        <w:tc>
          <w:tcPr>
            <w:tcW w:w="914" w:type="dxa"/>
            <w:tcBorders>
              <w:top w:val="nil"/>
              <w:left w:val="nil"/>
              <w:bottom w:val="single" w:sz="4" w:space="0" w:color="A6A6A6"/>
              <w:right w:val="single" w:sz="4" w:space="0" w:color="A6A6A6"/>
            </w:tcBorders>
            <w:vAlign w:val="center"/>
            <w:hideMark/>
          </w:tcPr>
          <w:p w14:paraId="66DA6568" w14:textId="77777777" w:rsidR="00B76E04" w:rsidRPr="00520930" w:rsidRDefault="00B76E04" w:rsidP="004C246C">
            <w:pPr>
              <w:spacing w:line="360" w:lineRule="auto"/>
              <w:jc w:val="center"/>
              <w:rPr>
                <w:color w:val="000000"/>
                <w:sz w:val="20"/>
                <w:szCs w:val="20"/>
                <w:lang w:val="es-MX" w:eastAsia="es-MX"/>
              </w:rPr>
            </w:pPr>
            <w:r w:rsidRPr="00520930">
              <w:rPr>
                <w:color w:val="000000"/>
                <w:sz w:val="20"/>
                <w:szCs w:val="20"/>
                <w:lang w:eastAsia="es-MX"/>
              </w:rPr>
              <w:t>20.4</w:t>
            </w:r>
          </w:p>
        </w:tc>
      </w:tr>
      <w:tr w:rsidR="00B76E04" w:rsidRPr="00520930" w14:paraId="5C4DD30D" w14:textId="77777777" w:rsidTr="00A7274D">
        <w:trPr>
          <w:trHeight w:val="300"/>
          <w:jc w:val="center"/>
        </w:trPr>
        <w:tc>
          <w:tcPr>
            <w:tcW w:w="2544" w:type="dxa"/>
            <w:tcBorders>
              <w:top w:val="nil"/>
              <w:left w:val="single" w:sz="4" w:space="0" w:color="A6A6A6"/>
              <w:bottom w:val="single" w:sz="4" w:space="0" w:color="A6A6A6"/>
              <w:right w:val="single" w:sz="4" w:space="0" w:color="A6A6A6"/>
            </w:tcBorders>
            <w:shd w:val="clear" w:color="000000" w:fill="CCCCCC"/>
            <w:vAlign w:val="center"/>
            <w:hideMark/>
          </w:tcPr>
          <w:p w14:paraId="0B8385CF" w14:textId="77777777" w:rsidR="00B76E04" w:rsidRPr="00520930" w:rsidRDefault="00B76E04" w:rsidP="004C246C">
            <w:pPr>
              <w:spacing w:line="360" w:lineRule="auto"/>
              <w:jc w:val="center"/>
              <w:rPr>
                <w:b/>
                <w:bCs/>
                <w:color w:val="000000"/>
                <w:sz w:val="20"/>
                <w:szCs w:val="20"/>
                <w:lang w:val="es-MX" w:eastAsia="es-MX"/>
              </w:rPr>
            </w:pPr>
            <w:r w:rsidRPr="00520930">
              <w:rPr>
                <w:b/>
                <w:bCs/>
                <w:color w:val="000000"/>
                <w:sz w:val="20"/>
                <w:szCs w:val="20"/>
                <w:lang w:eastAsia="es-MX"/>
              </w:rPr>
              <w:t>TOTAL</w:t>
            </w:r>
          </w:p>
        </w:tc>
        <w:tc>
          <w:tcPr>
            <w:tcW w:w="1640" w:type="dxa"/>
            <w:tcBorders>
              <w:top w:val="nil"/>
              <w:left w:val="nil"/>
              <w:bottom w:val="single" w:sz="4" w:space="0" w:color="A6A6A6"/>
              <w:right w:val="single" w:sz="4" w:space="0" w:color="A6A6A6"/>
            </w:tcBorders>
            <w:shd w:val="clear" w:color="000000" w:fill="CCCCCC"/>
            <w:vAlign w:val="center"/>
            <w:hideMark/>
          </w:tcPr>
          <w:p w14:paraId="4FB10EEB" w14:textId="77777777" w:rsidR="00B76E04" w:rsidRPr="00520930" w:rsidRDefault="00B76E04" w:rsidP="004C246C">
            <w:pPr>
              <w:spacing w:line="360" w:lineRule="auto"/>
              <w:jc w:val="right"/>
              <w:rPr>
                <w:b/>
                <w:bCs/>
                <w:color w:val="000000"/>
                <w:sz w:val="20"/>
                <w:szCs w:val="20"/>
                <w:lang w:val="es-MX" w:eastAsia="es-MX"/>
              </w:rPr>
            </w:pPr>
            <w:r w:rsidRPr="00520930">
              <w:rPr>
                <w:b/>
                <w:bCs/>
                <w:color w:val="000000"/>
                <w:sz w:val="20"/>
                <w:szCs w:val="20"/>
                <w:lang w:eastAsia="es-MX"/>
              </w:rPr>
              <w:t>30,086,079,028.00</w:t>
            </w:r>
          </w:p>
        </w:tc>
        <w:tc>
          <w:tcPr>
            <w:tcW w:w="914" w:type="dxa"/>
            <w:tcBorders>
              <w:top w:val="nil"/>
              <w:left w:val="nil"/>
              <w:bottom w:val="single" w:sz="4" w:space="0" w:color="A6A6A6"/>
              <w:right w:val="single" w:sz="4" w:space="0" w:color="A6A6A6"/>
            </w:tcBorders>
            <w:shd w:val="clear" w:color="000000" w:fill="CCCCCC"/>
            <w:vAlign w:val="center"/>
            <w:hideMark/>
          </w:tcPr>
          <w:p w14:paraId="56963A77" w14:textId="77777777" w:rsidR="00B76E04" w:rsidRPr="00520930" w:rsidRDefault="00B76E04" w:rsidP="004C246C">
            <w:pPr>
              <w:spacing w:line="360" w:lineRule="auto"/>
              <w:jc w:val="center"/>
              <w:rPr>
                <w:b/>
                <w:bCs/>
                <w:color w:val="000000"/>
                <w:sz w:val="20"/>
                <w:szCs w:val="20"/>
                <w:lang w:val="es-MX" w:eastAsia="es-MX"/>
              </w:rPr>
            </w:pPr>
            <w:r w:rsidRPr="00520930">
              <w:rPr>
                <w:b/>
                <w:bCs/>
                <w:color w:val="000000"/>
                <w:sz w:val="20"/>
                <w:szCs w:val="20"/>
                <w:lang w:eastAsia="es-MX"/>
              </w:rPr>
              <w:t>100.0</w:t>
            </w:r>
          </w:p>
        </w:tc>
      </w:tr>
    </w:tbl>
    <w:p w14:paraId="7CE5CAA3" w14:textId="77777777" w:rsidR="005838DD" w:rsidRDefault="005838DD" w:rsidP="004C246C">
      <w:pPr>
        <w:spacing w:line="360" w:lineRule="auto"/>
        <w:jc w:val="both"/>
        <w:rPr>
          <w:rFonts w:eastAsia="Calibri"/>
          <w:sz w:val="20"/>
          <w:szCs w:val="20"/>
        </w:rPr>
      </w:pPr>
    </w:p>
    <w:p w14:paraId="73E9419D" w14:textId="7B04A974" w:rsidR="00B76E04" w:rsidRPr="009962A5" w:rsidRDefault="00B76E04" w:rsidP="004C246C">
      <w:pPr>
        <w:spacing w:line="360" w:lineRule="auto"/>
        <w:jc w:val="both"/>
        <w:rPr>
          <w:rFonts w:eastAsia="Calibri"/>
          <w:sz w:val="20"/>
          <w:szCs w:val="20"/>
        </w:rPr>
      </w:pPr>
      <w:r w:rsidRPr="009962A5">
        <w:rPr>
          <w:rFonts w:eastAsia="Calibri"/>
          <w:sz w:val="20"/>
          <w:szCs w:val="20"/>
        </w:rPr>
        <w:t xml:space="preserve">El presupuesto de recursos estatales del Poder Ejecutivo asciende a un monto total de $10,989,942,403.00, el cual representa un incremento porcentual de 11.4% respecto al ejercicio fiscal 2025. </w:t>
      </w:r>
    </w:p>
    <w:p w14:paraId="375D3D46" w14:textId="77777777" w:rsidR="004C246C" w:rsidRDefault="004C246C" w:rsidP="004C246C">
      <w:pPr>
        <w:spacing w:line="360" w:lineRule="auto"/>
        <w:jc w:val="both"/>
        <w:rPr>
          <w:rFonts w:eastAsia="Calibri"/>
          <w:sz w:val="20"/>
          <w:szCs w:val="20"/>
        </w:rPr>
      </w:pPr>
    </w:p>
    <w:p w14:paraId="568714F3" w14:textId="38D3FB52" w:rsidR="00B76E04" w:rsidRDefault="00B76E04" w:rsidP="004C246C">
      <w:pPr>
        <w:spacing w:line="360" w:lineRule="auto"/>
        <w:jc w:val="both"/>
        <w:rPr>
          <w:rFonts w:eastAsia="Calibri"/>
          <w:sz w:val="20"/>
          <w:szCs w:val="20"/>
        </w:rPr>
      </w:pPr>
      <w:r w:rsidRPr="009962A5">
        <w:rPr>
          <w:rFonts w:eastAsia="Calibri"/>
          <w:sz w:val="20"/>
          <w:szCs w:val="20"/>
        </w:rPr>
        <w:t>De igual manera con referencia al actual ejercicio, las Aportaciones Federales del Ramo 33 etiquetadas en el Presupuesto de Egresos de la Federación, se estima que se tenga un incremento del 1.5%.</w:t>
      </w:r>
    </w:p>
    <w:p w14:paraId="7289508E" w14:textId="77777777" w:rsidR="00FD1A45" w:rsidRDefault="00FD1A45" w:rsidP="004C246C">
      <w:pPr>
        <w:spacing w:line="360" w:lineRule="auto"/>
        <w:jc w:val="center"/>
        <w:rPr>
          <w:rFonts w:eastAsia="Calibri"/>
          <w:b/>
          <w:sz w:val="20"/>
          <w:szCs w:val="20"/>
        </w:rPr>
      </w:pPr>
    </w:p>
    <w:p w14:paraId="661A87F1" w14:textId="77777777" w:rsidR="00B76E04" w:rsidRDefault="00B76E04" w:rsidP="004C246C">
      <w:pPr>
        <w:spacing w:line="360" w:lineRule="auto"/>
        <w:jc w:val="center"/>
        <w:rPr>
          <w:rFonts w:eastAsia="Calibri"/>
          <w:b/>
          <w:sz w:val="20"/>
          <w:szCs w:val="20"/>
        </w:rPr>
      </w:pPr>
      <w:r>
        <w:rPr>
          <w:rFonts w:eastAsia="Calibri"/>
          <w:b/>
          <w:sz w:val="20"/>
          <w:szCs w:val="20"/>
        </w:rPr>
        <w:t xml:space="preserve">Clasificación por </w:t>
      </w:r>
      <w:proofErr w:type="spellStart"/>
      <w:r>
        <w:rPr>
          <w:rFonts w:eastAsia="Calibri"/>
          <w:b/>
          <w:sz w:val="20"/>
          <w:szCs w:val="20"/>
        </w:rPr>
        <w:t>Subfuente</w:t>
      </w:r>
      <w:proofErr w:type="spellEnd"/>
      <w:r>
        <w:rPr>
          <w:rFonts w:eastAsia="Calibri"/>
          <w:b/>
          <w:sz w:val="20"/>
          <w:szCs w:val="20"/>
        </w:rPr>
        <w:t xml:space="preserve"> de Financiamiento </w:t>
      </w:r>
    </w:p>
    <w:tbl>
      <w:tblPr>
        <w:tblW w:w="5212" w:type="dxa"/>
        <w:jc w:val="center"/>
        <w:tblCellMar>
          <w:left w:w="70" w:type="dxa"/>
          <w:right w:w="70" w:type="dxa"/>
        </w:tblCellMar>
        <w:tblLook w:val="04A0" w:firstRow="1" w:lastRow="0" w:firstColumn="1" w:lastColumn="0" w:noHBand="0" w:noVBand="1"/>
      </w:tblPr>
      <w:tblGrid>
        <w:gridCol w:w="3492"/>
        <w:gridCol w:w="1720"/>
      </w:tblGrid>
      <w:tr w:rsidR="00B76E04" w:rsidRPr="00520930" w14:paraId="2AAED3EF" w14:textId="77777777" w:rsidTr="00A7274D">
        <w:trPr>
          <w:trHeight w:val="300"/>
          <w:jc w:val="center"/>
        </w:trPr>
        <w:tc>
          <w:tcPr>
            <w:tcW w:w="3492" w:type="dxa"/>
            <w:vMerge w:val="restart"/>
            <w:tcBorders>
              <w:top w:val="single" w:sz="4" w:space="0" w:color="A6A6A6"/>
              <w:left w:val="single" w:sz="4" w:space="0" w:color="A6A6A6"/>
              <w:bottom w:val="single" w:sz="4" w:space="0" w:color="A6A6A6"/>
              <w:right w:val="single" w:sz="4" w:space="0" w:color="A6A6A6"/>
            </w:tcBorders>
            <w:shd w:val="clear" w:color="000000" w:fill="CCCCCC"/>
            <w:vAlign w:val="center"/>
            <w:hideMark/>
          </w:tcPr>
          <w:p w14:paraId="22DE1952" w14:textId="77777777" w:rsidR="00B76E04" w:rsidRPr="00520930" w:rsidRDefault="00B76E04" w:rsidP="004C246C">
            <w:pPr>
              <w:spacing w:line="360" w:lineRule="auto"/>
              <w:jc w:val="center"/>
              <w:rPr>
                <w:b/>
                <w:bCs/>
                <w:color w:val="000000"/>
                <w:sz w:val="20"/>
                <w:szCs w:val="20"/>
                <w:lang w:val="es-MX" w:eastAsia="es-MX"/>
              </w:rPr>
            </w:pPr>
            <w:r w:rsidRPr="00520930">
              <w:rPr>
                <w:b/>
                <w:bCs/>
                <w:color w:val="000000"/>
                <w:sz w:val="20"/>
                <w:szCs w:val="20"/>
                <w:lang w:eastAsia="es-MX"/>
              </w:rPr>
              <w:t>FUENTE DE FINANCIAMIENTO</w:t>
            </w:r>
          </w:p>
        </w:tc>
        <w:tc>
          <w:tcPr>
            <w:tcW w:w="1720" w:type="dxa"/>
            <w:tcBorders>
              <w:top w:val="single" w:sz="4" w:space="0" w:color="A6A6A6"/>
              <w:left w:val="nil"/>
              <w:bottom w:val="nil"/>
              <w:right w:val="single" w:sz="4" w:space="0" w:color="A6A6A6"/>
            </w:tcBorders>
            <w:shd w:val="clear" w:color="000000" w:fill="CCCCCC"/>
            <w:vAlign w:val="center"/>
            <w:hideMark/>
          </w:tcPr>
          <w:p w14:paraId="3D7E206D" w14:textId="77777777" w:rsidR="00B76E04" w:rsidRPr="00520930" w:rsidRDefault="00B76E04" w:rsidP="004C246C">
            <w:pPr>
              <w:spacing w:line="360" w:lineRule="auto"/>
              <w:jc w:val="center"/>
              <w:rPr>
                <w:b/>
                <w:bCs/>
                <w:color w:val="000000"/>
                <w:sz w:val="20"/>
                <w:szCs w:val="20"/>
                <w:lang w:val="es-MX" w:eastAsia="es-MX"/>
              </w:rPr>
            </w:pPr>
            <w:r w:rsidRPr="00520930">
              <w:rPr>
                <w:b/>
                <w:bCs/>
                <w:color w:val="000000"/>
                <w:sz w:val="20"/>
                <w:szCs w:val="20"/>
                <w:lang w:eastAsia="es-MX"/>
              </w:rPr>
              <w:t>MONTO</w:t>
            </w:r>
          </w:p>
        </w:tc>
      </w:tr>
      <w:tr w:rsidR="00B76E04" w:rsidRPr="00520930" w14:paraId="3CD994F4" w14:textId="77777777" w:rsidTr="00A7274D">
        <w:trPr>
          <w:trHeight w:val="300"/>
          <w:jc w:val="center"/>
        </w:trPr>
        <w:tc>
          <w:tcPr>
            <w:tcW w:w="3492" w:type="dxa"/>
            <w:vMerge/>
            <w:tcBorders>
              <w:top w:val="single" w:sz="4" w:space="0" w:color="A6A6A6"/>
              <w:left w:val="single" w:sz="4" w:space="0" w:color="A6A6A6"/>
              <w:bottom w:val="single" w:sz="4" w:space="0" w:color="A6A6A6"/>
              <w:right w:val="single" w:sz="4" w:space="0" w:color="A6A6A6"/>
            </w:tcBorders>
            <w:vAlign w:val="center"/>
            <w:hideMark/>
          </w:tcPr>
          <w:p w14:paraId="1005459A" w14:textId="77777777" w:rsidR="00B76E04" w:rsidRPr="00520930" w:rsidRDefault="00B76E04" w:rsidP="004C246C">
            <w:pPr>
              <w:spacing w:line="360" w:lineRule="auto"/>
              <w:rPr>
                <w:b/>
                <w:bCs/>
                <w:color w:val="000000"/>
                <w:sz w:val="20"/>
                <w:szCs w:val="20"/>
                <w:lang w:val="es-MX" w:eastAsia="es-MX"/>
              </w:rPr>
            </w:pPr>
          </w:p>
        </w:tc>
        <w:tc>
          <w:tcPr>
            <w:tcW w:w="1720" w:type="dxa"/>
            <w:tcBorders>
              <w:top w:val="nil"/>
              <w:left w:val="nil"/>
              <w:bottom w:val="single" w:sz="4" w:space="0" w:color="A6A6A6"/>
              <w:right w:val="single" w:sz="4" w:space="0" w:color="A6A6A6"/>
            </w:tcBorders>
            <w:shd w:val="clear" w:color="000000" w:fill="CCCCCC"/>
            <w:vAlign w:val="center"/>
            <w:hideMark/>
          </w:tcPr>
          <w:p w14:paraId="354BED41" w14:textId="77777777" w:rsidR="00B76E04" w:rsidRPr="00520930" w:rsidRDefault="00B76E04" w:rsidP="004C246C">
            <w:pPr>
              <w:spacing w:line="360" w:lineRule="auto"/>
              <w:jc w:val="center"/>
              <w:rPr>
                <w:b/>
                <w:bCs/>
                <w:color w:val="000000"/>
                <w:sz w:val="20"/>
                <w:szCs w:val="20"/>
                <w:lang w:val="es-MX" w:eastAsia="es-MX"/>
              </w:rPr>
            </w:pPr>
            <w:r w:rsidRPr="00520930">
              <w:rPr>
                <w:b/>
                <w:bCs/>
                <w:color w:val="000000"/>
                <w:sz w:val="20"/>
                <w:szCs w:val="20"/>
                <w:lang w:eastAsia="es-MX"/>
              </w:rPr>
              <w:t>($)</w:t>
            </w:r>
          </w:p>
        </w:tc>
      </w:tr>
      <w:tr w:rsidR="00B76E04" w:rsidRPr="00520930" w14:paraId="3D7D5374" w14:textId="77777777" w:rsidTr="00A7274D">
        <w:trPr>
          <w:trHeight w:val="300"/>
          <w:jc w:val="center"/>
        </w:trPr>
        <w:tc>
          <w:tcPr>
            <w:tcW w:w="3492" w:type="dxa"/>
            <w:tcBorders>
              <w:top w:val="nil"/>
              <w:left w:val="single" w:sz="4" w:space="0" w:color="A6A6A6"/>
              <w:bottom w:val="single" w:sz="4" w:space="0" w:color="A6A6A6"/>
              <w:right w:val="single" w:sz="4" w:space="0" w:color="A6A6A6"/>
            </w:tcBorders>
            <w:vAlign w:val="center"/>
            <w:hideMark/>
          </w:tcPr>
          <w:p w14:paraId="02343347" w14:textId="77777777" w:rsidR="00B76E04" w:rsidRPr="00520930" w:rsidRDefault="00B76E04" w:rsidP="004C246C">
            <w:pPr>
              <w:spacing w:line="360" w:lineRule="auto"/>
              <w:jc w:val="both"/>
              <w:rPr>
                <w:color w:val="000000"/>
                <w:sz w:val="20"/>
                <w:szCs w:val="20"/>
                <w:lang w:val="es-MX" w:eastAsia="es-MX"/>
              </w:rPr>
            </w:pPr>
            <w:r w:rsidRPr="00520930">
              <w:rPr>
                <w:color w:val="000000"/>
                <w:sz w:val="20"/>
                <w:szCs w:val="20"/>
                <w:lang w:eastAsia="es-MX"/>
              </w:rPr>
              <w:t>Fuentes locales</w:t>
            </w:r>
          </w:p>
        </w:tc>
        <w:tc>
          <w:tcPr>
            <w:tcW w:w="1720" w:type="dxa"/>
            <w:tcBorders>
              <w:top w:val="nil"/>
              <w:left w:val="nil"/>
              <w:bottom w:val="single" w:sz="4" w:space="0" w:color="A6A6A6"/>
              <w:right w:val="single" w:sz="4" w:space="0" w:color="A6A6A6"/>
            </w:tcBorders>
            <w:vAlign w:val="center"/>
            <w:hideMark/>
          </w:tcPr>
          <w:p w14:paraId="279FEE15" w14:textId="77777777" w:rsidR="00B76E04" w:rsidRPr="00520930" w:rsidRDefault="00B76E04" w:rsidP="004C246C">
            <w:pPr>
              <w:spacing w:line="360" w:lineRule="auto"/>
              <w:jc w:val="right"/>
              <w:rPr>
                <w:color w:val="000000"/>
                <w:sz w:val="20"/>
                <w:szCs w:val="20"/>
                <w:lang w:val="es-MX" w:eastAsia="es-MX"/>
              </w:rPr>
            </w:pPr>
            <w:r w:rsidRPr="00520930">
              <w:rPr>
                <w:color w:val="000000"/>
                <w:sz w:val="20"/>
                <w:szCs w:val="20"/>
                <w:lang w:eastAsia="es-MX"/>
              </w:rPr>
              <w:t>2,058,643,201.00</w:t>
            </w:r>
          </w:p>
        </w:tc>
      </w:tr>
      <w:tr w:rsidR="00B76E04" w:rsidRPr="00520930" w14:paraId="64690752" w14:textId="77777777" w:rsidTr="00A7274D">
        <w:trPr>
          <w:trHeight w:val="300"/>
          <w:jc w:val="center"/>
        </w:trPr>
        <w:tc>
          <w:tcPr>
            <w:tcW w:w="3492" w:type="dxa"/>
            <w:tcBorders>
              <w:top w:val="nil"/>
              <w:left w:val="single" w:sz="4" w:space="0" w:color="A6A6A6"/>
              <w:bottom w:val="single" w:sz="4" w:space="0" w:color="A6A6A6"/>
              <w:right w:val="single" w:sz="4" w:space="0" w:color="A6A6A6"/>
            </w:tcBorders>
            <w:vAlign w:val="center"/>
            <w:hideMark/>
          </w:tcPr>
          <w:p w14:paraId="0BF75FFC" w14:textId="77777777" w:rsidR="00B76E04" w:rsidRPr="00520930" w:rsidRDefault="00B76E04" w:rsidP="004C246C">
            <w:pPr>
              <w:spacing w:line="360" w:lineRule="auto"/>
              <w:jc w:val="both"/>
              <w:rPr>
                <w:color w:val="000000"/>
                <w:sz w:val="20"/>
                <w:szCs w:val="20"/>
                <w:lang w:val="es-MX" w:eastAsia="es-MX"/>
              </w:rPr>
            </w:pPr>
            <w:r w:rsidRPr="00520930">
              <w:rPr>
                <w:color w:val="000000"/>
                <w:sz w:val="20"/>
                <w:szCs w:val="20"/>
                <w:lang w:eastAsia="es-MX"/>
              </w:rPr>
              <w:t>Participaciones e Incentivos</w:t>
            </w:r>
          </w:p>
        </w:tc>
        <w:tc>
          <w:tcPr>
            <w:tcW w:w="1720" w:type="dxa"/>
            <w:tcBorders>
              <w:top w:val="nil"/>
              <w:left w:val="nil"/>
              <w:bottom w:val="single" w:sz="4" w:space="0" w:color="A6A6A6"/>
              <w:right w:val="single" w:sz="4" w:space="0" w:color="A6A6A6"/>
            </w:tcBorders>
            <w:vAlign w:val="center"/>
            <w:hideMark/>
          </w:tcPr>
          <w:p w14:paraId="2C2A0E08" w14:textId="77777777" w:rsidR="00B76E04" w:rsidRPr="00520930" w:rsidRDefault="00B76E04" w:rsidP="004C246C">
            <w:pPr>
              <w:spacing w:line="360" w:lineRule="auto"/>
              <w:jc w:val="right"/>
              <w:rPr>
                <w:color w:val="000000"/>
                <w:sz w:val="20"/>
                <w:szCs w:val="20"/>
                <w:lang w:val="es-MX" w:eastAsia="es-MX"/>
              </w:rPr>
            </w:pPr>
            <w:r w:rsidRPr="00520930">
              <w:rPr>
                <w:color w:val="000000"/>
                <w:sz w:val="20"/>
                <w:szCs w:val="20"/>
                <w:lang w:eastAsia="es-MX"/>
              </w:rPr>
              <w:t>8,931,299,202.00</w:t>
            </w:r>
          </w:p>
        </w:tc>
      </w:tr>
      <w:tr w:rsidR="00B76E04" w:rsidRPr="00520930" w14:paraId="4FB2771E" w14:textId="77777777" w:rsidTr="00A7274D">
        <w:trPr>
          <w:trHeight w:val="300"/>
          <w:jc w:val="center"/>
        </w:trPr>
        <w:tc>
          <w:tcPr>
            <w:tcW w:w="3492" w:type="dxa"/>
            <w:tcBorders>
              <w:top w:val="nil"/>
              <w:left w:val="single" w:sz="4" w:space="0" w:color="A6A6A6"/>
              <w:bottom w:val="single" w:sz="4" w:space="0" w:color="A6A6A6"/>
              <w:right w:val="single" w:sz="4" w:space="0" w:color="A6A6A6"/>
            </w:tcBorders>
            <w:vAlign w:val="center"/>
            <w:hideMark/>
          </w:tcPr>
          <w:p w14:paraId="2C4ABA65" w14:textId="77777777" w:rsidR="00B76E04" w:rsidRPr="00520930" w:rsidRDefault="00B76E04" w:rsidP="004C246C">
            <w:pPr>
              <w:spacing w:line="360" w:lineRule="auto"/>
              <w:jc w:val="both"/>
              <w:rPr>
                <w:b/>
                <w:bCs/>
                <w:color w:val="000000"/>
                <w:sz w:val="20"/>
                <w:szCs w:val="20"/>
                <w:lang w:val="es-MX" w:eastAsia="es-MX"/>
              </w:rPr>
            </w:pPr>
            <w:r w:rsidRPr="00520930">
              <w:rPr>
                <w:b/>
                <w:bCs/>
                <w:color w:val="000000"/>
                <w:sz w:val="20"/>
                <w:szCs w:val="20"/>
                <w:lang w:eastAsia="es-MX"/>
              </w:rPr>
              <w:t>SUBTOTAL ESTATALES</w:t>
            </w:r>
          </w:p>
        </w:tc>
        <w:tc>
          <w:tcPr>
            <w:tcW w:w="1720" w:type="dxa"/>
            <w:tcBorders>
              <w:top w:val="nil"/>
              <w:left w:val="nil"/>
              <w:bottom w:val="single" w:sz="4" w:space="0" w:color="A6A6A6"/>
              <w:right w:val="single" w:sz="4" w:space="0" w:color="A6A6A6"/>
            </w:tcBorders>
            <w:vAlign w:val="center"/>
            <w:hideMark/>
          </w:tcPr>
          <w:p w14:paraId="49DD73DB" w14:textId="77777777" w:rsidR="00B76E04" w:rsidRPr="00520930" w:rsidRDefault="00B76E04" w:rsidP="004C246C">
            <w:pPr>
              <w:spacing w:line="360" w:lineRule="auto"/>
              <w:jc w:val="right"/>
              <w:rPr>
                <w:b/>
                <w:bCs/>
                <w:color w:val="000000"/>
                <w:sz w:val="20"/>
                <w:szCs w:val="20"/>
                <w:lang w:val="es-MX" w:eastAsia="es-MX"/>
              </w:rPr>
            </w:pPr>
            <w:r w:rsidRPr="00520930">
              <w:rPr>
                <w:b/>
                <w:bCs/>
                <w:color w:val="000000"/>
                <w:sz w:val="20"/>
                <w:szCs w:val="20"/>
                <w:lang w:eastAsia="es-MX"/>
              </w:rPr>
              <w:t>10,989,942,403.00</w:t>
            </w:r>
          </w:p>
        </w:tc>
      </w:tr>
      <w:tr w:rsidR="00B76E04" w:rsidRPr="00520930" w14:paraId="2FE2E45E" w14:textId="77777777" w:rsidTr="00A7274D">
        <w:trPr>
          <w:trHeight w:val="300"/>
          <w:jc w:val="center"/>
        </w:trPr>
        <w:tc>
          <w:tcPr>
            <w:tcW w:w="3492" w:type="dxa"/>
            <w:tcBorders>
              <w:top w:val="nil"/>
              <w:left w:val="single" w:sz="4" w:space="0" w:color="A6A6A6"/>
              <w:bottom w:val="single" w:sz="4" w:space="0" w:color="A6A6A6"/>
              <w:right w:val="single" w:sz="4" w:space="0" w:color="A6A6A6"/>
            </w:tcBorders>
            <w:vAlign w:val="center"/>
            <w:hideMark/>
          </w:tcPr>
          <w:p w14:paraId="0C909C95" w14:textId="77777777" w:rsidR="00B76E04" w:rsidRPr="00520930" w:rsidRDefault="00B76E04" w:rsidP="004C246C">
            <w:pPr>
              <w:spacing w:line="360" w:lineRule="auto"/>
              <w:jc w:val="both"/>
              <w:rPr>
                <w:color w:val="000000"/>
                <w:sz w:val="20"/>
                <w:szCs w:val="20"/>
                <w:lang w:val="es-MX" w:eastAsia="es-MX"/>
              </w:rPr>
            </w:pPr>
            <w:r w:rsidRPr="00520930">
              <w:rPr>
                <w:color w:val="000000"/>
                <w:sz w:val="20"/>
                <w:szCs w:val="20"/>
                <w:lang w:eastAsia="es-MX"/>
              </w:rPr>
              <w:t>Aportaciones Federales</w:t>
            </w:r>
          </w:p>
        </w:tc>
        <w:tc>
          <w:tcPr>
            <w:tcW w:w="1720" w:type="dxa"/>
            <w:tcBorders>
              <w:top w:val="nil"/>
              <w:left w:val="nil"/>
              <w:bottom w:val="single" w:sz="4" w:space="0" w:color="A6A6A6"/>
              <w:right w:val="single" w:sz="4" w:space="0" w:color="A6A6A6"/>
            </w:tcBorders>
            <w:vAlign w:val="center"/>
            <w:hideMark/>
          </w:tcPr>
          <w:p w14:paraId="22D3BC13" w14:textId="77777777" w:rsidR="00B76E04" w:rsidRPr="00520930" w:rsidRDefault="00B76E04" w:rsidP="004C246C">
            <w:pPr>
              <w:spacing w:line="360" w:lineRule="auto"/>
              <w:jc w:val="right"/>
              <w:rPr>
                <w:color w:val="000000"/>
                <w:sz w:val="20"/>
                <w:szCs w:val="20"/>
                <w:lang w:val="es-MX" w:eastAsia="es-MX"/>
              </w:rPr>
            </w:pPr>
            <w:r w:rsidRPr="00520930">
              <w:rPr>
                <w:color w:val="000000"/>
                <w:sz w:val="20"/>
                <w:szCs w:val="20"/>
                <w:lang w:eastAsia="es-MX"/>
              </w:rPr>
              <w:t>10,888,843,645.00</w:t>
            </w:r>
          </w:p>
        </w:tc>
      </w:tr>
      <w:tr w:rsidR="00B76E04" w:rsidRPr="00520930" w14:paraId="724C5DEF" w14:textId="77777777" w:rsidTr="00A7274D">
        <w:trPr>
          <w:trHeight w:val="300"/>
          <w:jc w:val="center"/>
        </w:trPr>
        <w:tc>
          <w:tcPr>
            <w:tcW w:w="3492" w:type="dxa"/>
            <w:tcBorders>
              <w:top w:val="nil"/>
              <w:left w:val="single" w:sz="4" w:space="0" w:color="A6A6A6"/>
              <w:bottom w:val="single" w:sz="4" w:space="0" w:color="A6A6A6"/>
              <w:right w:val="single" w:sz="4" w:space="0" w:color="A6A6A6"/>
            </w:tcBorders>
            <w:shd w:val="clear" w:color="000000" w:fill="CCCCCC"/>
            <w:vAlign w:val="center"/>
            <w:hideMark/>
          </w:tcPr>
          <w:p w14:paraId="2E5FBE38" w14:textId="77777777" w:rsidR="00B76E04" w:rsidRPr="00520930" w:rsidRDefault="00B76E04" w:rsidP="004C246C">
            <w:pPr>
              <w:spacing w:line="360" w:lineRule="auto"/>
              <w:jc w:val="center"/>
              <w:rPr>
                <w:b/>
                <w:bCs/>
                <w:color w:val="000000"/>
                <w:sz w:val="20"/>
                <w:szCs w:val="20"/>
                <w:lang w:val="es-MX" w:eastAsia="es-MX"/>
              </w:rPr>
            </w:pPr>
            <w:r w:rsidRPr="00520930">
              <w:rPr>
                <w:b/>
                <w:bCs/>
                <w:sz w:val="20"/>
                <w:szCs w:val="20"/>
                <w:lang w:eastAsia="es-MX"/>
              </w:rPr>
              <w:t>TOTAL</w:t>
            </w:r>
          </w:p>
        </w:tc>
        <w:tc>
          <w:tcPr>
            <w:tcW w:w="1720" w:type="dxa"/>
            <w:tcBorders>
              <w:top w:val="nil"/>
              <w:left w:val="nil"/>
              <w:bottom w:val="single" w:sz="4" w:space="0" w:color="A6A6A6"/>
              <w:right w:val="single" w:sz="4" w:space="0" w:color="A6A6A6"/>
            </w:tcBorders>
            <w:shd w:val="clear" w:color="000000" w:fill="CCCCCC"/>
            <w:vAlign w:val="center"/>
            <w:hideMark/>
          </w:tcPr>
          <w:p w14:paraId="2A113C8B" w14:textId="77777777" w:rsidR="00B76E04" w:rsidRPr="00520930" w:rsidRDefault="00B76E04" w:rsidP="004C246C">
            <w:pPr>
              <w:spacing w:line="360" w:lineRule="auto"/>
              <w:jc w:val="right"/>
              <w:rPr>
                <w:b/>
                <w:bCs/>
                <w:color w:val="000000"/>
                <w:sz w:val="20"/>
                <w:szCs w:val="20"/>
                <w:lang w:val="es-MX" w:eastAsia="es-MX"/>
              </w:rPr>
            </w:pPr>
            <w:r w:rsidRPr="00520930">
              <w:rPr>
                <w:b/>
                <w:bCs/>
                <w:color w:val="000000"/>
                <w:sz w:val="20"/>
                <w:szCs w:val="20"/>
                <w:lang w:eastAsia="es-MX"/>
              </w:rPr>
              <w:t>21,878,786,048.00</w:t>
            </w:r>
          </w:p>
        </w:tc>
      </w:tr>
    </w:tbl>
    <w:p w14:paraId="76BC97ED" w14:textId="77777777" w:rsidR="00B76E04" w:rsidRDefault="00B76E04" w:rsidP="004C246C">
      <w:pPr>
        <w:spacing w:line="360" w:lineRule="auto"/>
        <w:jc w:val="center"/>
        <w:rPr>
          <w:rFonts w:eastAsia="Calibri"/>
          <w:b/>
          <w:sz w:val="20"/>
          <w:szCs w:val="20"/>
        </w:rPr>
      </w:pPr>
    </w:p>
    <w:p w14:paraId="3C1D53E9" w14:textId="77777777" w:rsidR="00B76E04" w:rsidRDefault="00B76E04" w:rsidP="004C246C">
      <w:pPr>
        <w:spacing w:line="360" w:lineRule="auto"/>
        <w:jc w:val="center"/>
        <w:rPr>
          <w:rFonts w:eastAsia="Calibri"/>
          <w:b/>
          <w:sz w:val="20"/>
          <w:szCs w:val="20"/>
        </w:rPr>
      </w:pPr>
      <w:r>
        <w:rPr>
          <w:rFonts w:eastAsia="Calibri"/>
          <w:b/>
          <w:sz w:val="20"/>
          <w:szCs w:val="20"/>
        </w:rPr>
        <w:t>Clasificación por Finalidad</w:t>
      </w:r>
    </w:p>
    <w:tbl>
      <w:tblPr>
        <w:tblW w:w="5360" w:type="dxa"/>
        <w:jc w:val="center"/>
        <w:tblCellMar>
          <w:left w:w="70" w:type="dxa"/>
          <w:right w:w="70" w:type="dxa"/>
        </w:tblCellMar>
        <w:tblLook w:val="04A0" w:firstRow="1" w:lastRow="0" w:firstColumn="1" w:lastColumn="0" w:noHBand="0" w:noVBand="1"/>
      </w:tblPr>
      <w:tblGrid>
        <w:gridCol w:w="2689"/>
        <w:gridCol w:w="1842"/>
        <w:gridCol w:w="829"/>
      </w:tblGrid>
      <w:tr w:rsidR="00B76E04" w:rsidRPr="008A67B8" w14:paraId="619387AD" w14:textId="77777777" w:rsidTr="00A7274D">
        <w:trPr>
          <w:trHeight w:val="300"/>
          <w:jc w:val="center"/>
        </w:trPr>
        <w:tc>
          <w:tcPr>
            <w:tcW w:w="2689" w:type="dxa"/>
            <w:vMerge w:val="restart"/>
            <w:tcBorders>
              <w:top w:val="single" w:sz="4" w:space="0" w:color="A6A6A6"/>
              <w:left w:val="single" w:sz="4" w:space="0" w:color="A6A6A6"/>
              <w:bottom w:val="single" w:sz="4" w:space="0" w:color="A6A6A6"/>
              <w:right w:val="single" w:sz="4" w:space="0" w:color="A6A6A6"/>
            </w:tcBorders>
            <w:shd w:val="clear" w:color="000000" w:fill="D9D9D9"/>
            <w:noWrap/>
            <w:vAlign w:val="center"/>
            <w:hideMark/>
          </w:tcPr>
          <w:p w14:paraId="4C28F260" w14:textId="77777777" w:rsidR="00B76E04" w:rsidRPr="008A67B8" w:rsidRDefault="00B76E04" w:rsidP="004C246C">
            <w:pPr>
              <w:spacing w:line="360" w:lineRule="auto"/>
              <w:jc w:val="center"/>
              <w:rPr>
                <w:b/>
                <w:bCs/>
                <w:color w:val="000000"/>
                <w:sz w:val="20"/>
                <w:szCs w:val="20"/>
                <w:lang w:val="es-MX" w:eastAsia="es-MX"/>
              </w:rPr>
            </w:pPr>
            <w:r w:rsidRPr="008A67B8">
              <w:rPr>
                <w:b/>
                <w:bCs/>
                <w:color w:val="000000"/>
                <w:sz w:val="20"/>
                <w:szCs w:val="20"/>
                <w:lang w:val="es-MX" w:eastAsia="es-MX"/>
              </w:rPr>
              <w:t>FINALIDAD</w:t>
            </w:r>
          </w:p>
        </w:tc>
        <w:tc>
          <w:tcPr>
            <w:tcW w:w="1842" w:type="dxa"/>
            <w:tcBorders>
              <w:top w:val="single" w:sz="4" w:space="0" w:color="A6A6A6"/>
              <w:left w:val="nil"/>
              <w:bottom w:val="nil"/>
              <w:right w:val="single" w:sz="4" w:space="0" w:color="A6A6A6"/>
            </w:tcBorders>
            <w:shd w:val="clear" w:color="000000" w:fill="D9D9D9"/>
            <w:noWrap/>
            <w:vAlign w:val="center"/>
            <w:hideMark/>
          </w:tcPr>
          <w:p w14:paraId="59E739D2" w14:textId="77777777" w:rsidR="00B76E04" w:rsidRPr="008A67B8" w:rsidRDefault="00B76E04" w:rsidP="004C246C">
            <w:pPr>
              <w:spacing w:line="360" w:lineRule="auto"/>
              <w:jc w:val="center"/>
              <w:rPr>
                <w:b/>
                <w:bCs/>
                <w:color w:val="000000"/>
                <w:sz w:val="20"/>
                <w:szCs w:val="20"/>
                <w:lang w:val="es-MX" w:eastAsia="es-MX"/>
              </w:rPr>
            </w:pPr>
            <w:r w:rsidRPr="008A67B8">
              <w:rPr>
                <w:b/>
                <w:bCs/>
                <w:color w:val="000000"/>
                <w:sz w:val="20"/>
                <w:szCs w:val="20"/>
                <w:lang w:val="es-MX" w:eastAsia="es-MX"/>
              </w:rPr>
              <w:t>MONTO</w:t>
            </w:r>
          </w:p>
        </w:tc>
        <w:tc>
          <w:tcPr>
            <w:tcW w:w="829" w:type="dxa"/>
            <w:vMerge w:val="restart"/>
            <w:tcBorders>
              <w:top w:val="single" w:sz="4" w:space="0" w:color="A6A6A6"/>
              <w:left w:val="single" w:sz="4" w:space="0" w:color="A6A6A6"/>
              <w:bottom w:val="single" w:sz="4" w:space="0" w:color="A6A6A6"/>
              <w:right w:val="single" w:sz="4" w:space="0" w:color="A6A6A6"/>
            </w:tcBorders>
            <w:shd w:val="clear" w:color="000000" w:fill="D9D9D9"/>
            <w:noWrap/>
            <w:vAlign w:val="center"/>
            <w:hideMark/>
          </w:tcPr>
          <w:p w14:paraId="16A20B2D" w14:textId="77777777" w:rsidR="00B76E04" w:rsidRPr="008A67B8" w:rsidRDefault="00B76E04" w:rsidP="004C246C">
            <w:pPr>
              <w:spacing w:line="360" w:lineRule="auto"/>
              <w:jc w:val="center"/>
              <w:rPr>
                <w:b/>
                <w:bCs/>
                <w:color w:val="000000"/>
                <w:sz w:val="20"/>
                <w:szCs w:val="20"/>
                <w:lang w:val="es-MX" w:eastAsia="es-MX"/>
              </w:rPr>
            </w:pPr>
            <w:r w:rsidRPr="008A67B8">
              <w:rPr>
                <w:b/>
                <w:bCs/>
                <w:color w:val="000000"/>
                <w:sz w:val="20"/>
                <w:szCs w:val="20"/>
                <w:lang w:val="es-MX" w:eastAsia="es-MX"/>
              </w:rPr>
              <w:t>%</w:t>
            </w:r>
          </w:p>
        </w:tc>
      </w:tr>
      <w:tr w:rsidR="00B76E04" w:rsidRPr="008A67B8" w14:paraId="4D9EA752" w14:textId="77777777" w:rsidTr="00A7274D">
        <w:trPr>
          <w:trHeight w:val="300"/>
          <w:jc w:val="center"/>
        </w:trPr>
        <w:tc>
          <w:tcPr>
            <w:tcW w:w="2689" w:type="dxa"/>
            <w:vMerge/>
            <w:tcBorders>
              <w:top w:val="single" w:sz="4" w:space="0" w:color="A6A6A6"/>
              <w:left w:val="single" w:sz="4" w:space="0" w:color="A6A6A6"/>
              <w:bottom w:val="single" w:sz="4" w:space="0" w:color="A6A6A6"/>
              <w:right w:val="single" w:sz="4" w:space="0" w:color="A6A6A6"/>
            </w:tcBorders>
            <w:vAlign w:val="center"/>
            <w:hideMark/>
          </w:tcPr>
          <w:p w14:paraId="73C8D8E1" w14:textId="77777777" w:rsidR="00B76E04" w:rsidRPr="008A67B8" w:rsidRDefault="00B76E04" w:rsidP="004C246C">
            <w:pPr>
              <w:spacing w:line="360" w:lineRule="auto"/>
              <w:rPr>
                <w:b/>
                <w:bCs/>
                <w:color w:val="000000"/>
                <w:sz w:val="20"/>
                <w:szCs w:val="20"/>
                <w:lang w:val="es-MX" w:eastAsia="es-MX"/>
              </w:rPr>
            </w:pPr>
          </w:p>
        </w:tc>
        <w:tc>
          <w:tcPr>
            <w:tcW w:w="1842" w:type="dxa"/>
            <w:tcBorders>
              <w:top w:val="nil"/>
              <w:left w:val="nil"/>
              <w:bottom w:val="single" w:sz="4" w:space="0" w:color="A6A6A6"/>
              <w:right w:val="single" w:sz="4" w:space="0" w:color="A6A6A6"/>
            </w:tcBorders>
            <w:shd w:val="clear" w:color="000000" w:fill="D9D9D9"/>
            <w:noWrap/>
            <w:vAlign w:val="center"/>
            <w:hideMark/>
          </w:tcPr>
          <w:p w14:paraId="7B351231" w14:textId="77777777" w:rsidR="00B76E04" w:rsidRPr="008A67B8" w:rsidRDefault="00B76E04" w:rsidP="004C246C">
            <w:pPr>
              <w:spacing w:line="360" w:lineRule="auto"/>
              <w:jc w:val="center"/>
              <w:rPr>
                <w:b/>
                <w:bCs/>
                <w:color w:val="000000"/>
                <w:sz w:val="20"/>
                <w:szCs w:val="20"/>
                <w:lang w:val="es-MX" w:eastAsia="es-MX"/>
              </w:rPr>
            </w:pPr>
            <w:r w:rsidRPr="008A67B8">
              <w:rPr>
                <w:b/>
                <w:bCs/>
                <w:color w:val="000000"/>
                <w:sz w:val="20"/>
                <w:szCs w:val="20"/>
                <w:lang w:val="es-MX" w:eastAsia="es-MX"/>
              </w:rPr>
              <w:t>($)</w:t>
            </w:r>
          </w:p>
        </w:tc>
        <w:tc>
          <w:tcPr>
            <w:tcW w:w="829" w:type="dxa"/>
            <w:vMerge/>
            <w:tcBorders>
              <w:top w:val="single" w:sz="4" w:space="0" w:color="A6A6A6"/>
              <w:left w:val="single" w:sz="4" w:space="0" w:color="A6A6A6"/>
              <w:bottom w:val="single" w:sz="4" w:space="0" w:color="A6A6A6"/>
              <w:right w:val="single" w:sz="4" w:space="0" w:color="A6A6A6"/>
            </w:tcBorders>
            <w:vAlign w:val="center"/>
            <w:hideMark/>
          </w:tcPr>
          <w:p w14:paraId="3E07D5B7" w14:textId="77777777" w:rsidR="00B76E04" w:rsidRPr="008A67B8" w:rsidRDefault="00B76E04" w:rsidP="004C246C">
            <w:pPr>
              <w:spacing w:line="360" w:lineRule="auto"/>
              <w:rPr>
                <w:b/>
                <w:bCs/>
                <w:color w:val="000000"/>
                <w:sz w:val="20"/>
                <w:szCs w:val="20"/>
                <w:lang w:val="es-MX" w:eastAsia="es-MX"/>
              </w:rPr>
            </w:pPr>
          </w:p>
        </w:tc>
      </w:tr>
      <w:tr w:rsidR="00B76E04" w:rsidRPr="008A67B8" w14:paraId="176CE6A5" w14:textId="77777777" w:rsidTr="00A7274D">
        <w:trPr>
          <w:trHeight w:val="300"/>
          <w:jc w:val="center"/>
        </w:trPr>
        <w:tc>
          <w:tcPr>
            <w:tcW w:w="2689" w:type="dxa"/>
            <w:tcBorders>
              <w:top w:val="nil"/>
              <w:left w:val="single" w:sz="4" w:space="0" w:color="A6A6A6"/>
              <w:bottom w:val="single" w:sz="4" w:space="0" w:color="A6A6A6"/>
              <w:right w:val="single" w:sz="4" w:space="0" w:color="A6A6A6"/>
            </w:tcBorders>
            <w:noWrap/>
            <w:vAlign w:val="center"/>
            <w:hideMark/>
          </w:tcPr>
          <w:p w14:paraId="5A85C676" w14:textId="77777777" w:rsidR="00B76E04" w:rsidRPr="008A67B8" w:rsidRDefault="00B76E04" w:rsidP="004C246C">
            <w:pPr>
              <w:spacing w:line="360" w:lineRule="auto"/>
              <w:rPr>
                <w:color w:val="000000"/>
                <w:sz w:val="20"/>
                <w:szCs w:val="20"/>
                <w:lang w:val="es-MX" w:eastAsia="es-MX"/>
              </w:rPr>
            </w:pPr>
            <w:r w:rsidRPr="008A67B8">
              <w:rPr>
                <w:color w:val="000000"/>
                <w:sz w:val="20"/>
                <w:szCs w:val="20"/>
                <w:lang w:eastAsia="es-MX"/>
              </w:rPr>
              <w:t>Gobierno</w:t>
            </w:r>
          </w:p>
        </w:tc>
        <w:tc>
          <w:tcPr>
            <w:tcW w:w="1842" w:type="dxa"/>
            <w:tcBorders>
              <w:top w:val="nil"/>
              <w:left w:val="nil"/>
              <w:bottom w:val="single" w:sz="4" w:space="0" w:color="A6A6A6"/>
              <w:right w:val="single" w:sz="4" w:space="0" w:color="A6A6A6"/>
            </w:tcBorders>
            <w:noWrap/>
            <w:vAlign w:val="center"/>
            <w:hideMark/>
          </w:tcPr>
          <w:p w14:paraId="591B7641" w14:textId="77777777" w:rsidR="00B76E04" w:rsidRPr="008A67B8" w:rsidRDefault="00B76E04" w:rsidP="004C246C">
            <w:pPr>
              <w:spacing w:line="360" w:lineRule="auto"/>
              <w:jc w:val="right"/>
              <w:rPr>
                <w:color w:val="000000"/>
                <w:sz w:val="20"/>
                <w:szCs w:val="20"/>
                <w:lang w:val="es-MX" w:eastAsia="es-MX"/>
              </w:rPr>
            </w:pPr>
            <w:r w:rsidRPr="008A67B8">
              <w:rPr>
                <w:color w:val="000000"/>
                <w:sz w:val="20"/>
                <w:szCs w:val="20"/>
                <w:lang w:val="es-MX" w:eastAsia="es-MX"/>
              </w:rPr>
              <w:t>3,903,683,956.00</w:t>
            </w:r>
          </w:p>
        </w:tc>
        <w:tc>
          <w:tcPr>
            <w:tcW w:w="829" w:type="dxa"/>
            <w:tcBorders>
              <w:top w:val="nil"/>
              <w:left w:val="nil"/>
              <w:bottom w:val="single" w:sz="4" w:space="0" w:color="A6A6A6"/>
              <w:right w:val="single" w:sz="4" w:space="0" w:color="A6A6A6"/>
            </w:tcBorders>
            <w:noWrap/>
            <w:vAlign w:val="center"/>
            <w:hideMark/>
          </w:tcPr>
          <w:p w14:paraId="0D949035" w14:textId="77777777" w:rsidR="00B76E04" w:rsidRPr="008A67B8" w:rsidRDefault="00B76E04" w:rsidP="004C246C">
            <w:pPr>
              <w:spacing w:line="360" w:lineRule="auto"/>
              <w:jc w:val="center"/>
              <w:rPr>
                <w:color w:val="000000"/>
                <w:sz w:val="20"/>
                <w:szCs w:val="20"/>
                <w:lang w:val="es-MX" w:eastAsia="es-MX"/>
              </w:rPr>
            </w:pPr>
            <w:r w:rsidRPr="008A67B8">
              <w:rPr>
                <w:color w:val="000000"/>
                <w:sz w:val="20"/>
                <w:szCs w:val="20"/>
                <w:lang w:eastAsia="es-MX"/>
              </w:rPr>
              <w:t>17.8</w:t>
            </w:r>
          </w:p>
        </w:tc>
      </w:tr>
      <w:tr w:rsidR="00B76E04" w:rsidRPr="008A67B8" w14:paraId="35812EFF" w14:textId="77777777" w:rsidTr="00A7274D">
        <w:trPr>
          <w:trHeight w:val="300"/>
          <w:jc w:val="center"/>
        </w:trPr>
        <w:tc>
          <w:tcPr>
            <w:tcW w:w="2689" w:type="dxa"/>
            <w:tcBorders>
              <w:top w:val="nil"/>
              <w:left w:val="single" w:sz="4" w:space="0" w:color="A6A6A6"/>
              <w:bottom w:val="single" w:sz="4" w:space="0" w:color="A6A6A6"/>
              <w:right w:val="single" w:sz="4" w:space="0" w:color="A6A6A6"/>
            </w:tcBorders>
            <w:noWrap/>
            <w:vAlign w:val="center"/>
            <w:hideMark/>
          </w:tcPr>
          <w:p w14:paraId="47D913EB" w14:textId="77777777" w:rsidR="00B76E04" w:rsidRPr="008A67B8" w:rsidRDefault="00B76E04" w:rsidP="004C246C">
            <w:pPr>
              <w:spacing w:line="360" w:lineRule="auto"/>
              <w:rPr>
                <w:color w:val="000000"/>
                <w:sz w:val="20"/>
                <w:szCs w:val="20"/>
                <w:lang w:val="es-MX" w:eastAsia="es-MX"/>
              </w:rPr>
            </w:pPr>
            <w:r w:rsidRPr="008A67B8">
              <w:rPr>
                <w:color w:val="000000"/>
                <w:sz w:val="20"/>
                <w:szCs w:val="20"/>
                <w:lang w:eastAsia="es-MX"/>
              </w:rPr>
              <w:t xml:space="preserve">Desarrollo Social </w:t>
            </w:r>
          </w:p>
        </w:tc>
        <w:tc>
          <w:tcPr>
            <w:tcW w:w="1842" w:type="dxa"/>
            <w:tcBorders>
              <w:top w:val="nil"/>
              <w:left w:val="nil"/>
              <w:bottom w:val="single" w:sz="4" w:space="0" w:color="A6A6A6"/>
              <w:right w:val="single" w:sz="4" w:space="0" w:color="A6A6A6"/>
            </w:tcBorders>
            <w:noWrap/>
            <w:vAlign w:val="center"/>
            <w:hideMark/>
          </w:tcPr>
          <w:p w14:paraId="6DDDFF40" w14:textId="77777777" w:rsidR="00B76E04" w:rsidRPr="008A67B8" w:rsidRDefault="00B76E04" w:rsidP="004C246C">
            <w:pPr>
              <w:spacing w:line="360" w:lineRule="auto"/>
              <w:jc w:val="right"/>
              <w:rPr>
                <w:color w:val="000000"/>
                <w:sz w:val="20"/>
                <w:szCs w:val="20"/>
                <w:lang w:val="es-MX" w:eastAsia="es-MX"/>
              </w:rPr>
            </w:pPr>
            <w:r w:rsidRPr="008A67B8">
              <w:rPr>
                <w:color w:val="000000"/>
                <w:sz w:val="20"/>
                <w:szCs w:val="20"/>
                <w:lang w:val="es-MX" w:eastAsia="es-MX"/>
              </w:rPr>
              <w:t>17,057,091,150.00</w:t>
            </w:r>
          </w:p>
        </w:tc>
        <w:tc>
          <w:tcPr>
            <w:tcW w:w="829" w:type="dxa"/>
            <w:tcBorders>
              <w:top w:val="nil"/>
              <w:left w:val="nil"/>
              <w:bottom w:val="single" w:sz="4" w:space="0" w:color="A6A6A6"/>
              <w:right w:val="single" w:sz="4" w:space="0" w:color="A6A6A6"/>
            </w:tcBorders>
            <w:noWrap/>
            <w:vAlign w:val="center"/>
            <w:hideMark/>
          </w:tcPr>
          <w:p w14:paraId="78963521" w14:textId="77777777" w:rsidR="00B76E04" w:rsidRPr="008A67B8" w:rsidRDefault="00B76E04" w:rsidP="004C246C">
            <w:pPr>
              <w:spacing w:line="360" w:lineRule="auto"/>
              <w:jc w:val="center"/>
              <w:rPr>
                <w:color w:val="000000"/>
                <w:sz w:val="20"/>
                <w:szCs w:val="20"/>
                <w:lang w:val="es-MX" w:eastAsia="es-MX"/>
              </w:rPr>
            </w:pPr>
            <w:r w:rsidRPr="008A67B8">
              <w:rPr>
                <w:color w:val="000000"/>
                <w:sz w:val="20"/>
                <w:szCs w:val="20"/>
                <w:lang w:eastAsia="es-MX"/>
              </w:rPr>
              <w:t>78.0</w:t>
            </w:r>
          </w:p>
        </w:tc>
      </w:tr>
      <w:tr w:rsidR="00B76E04" w:rsidRPr="008A67B8" w14:paraId="7125043D" w14:textId="77777777" w:rsidTr="00A7274D">
        <w:trPr>
          <w:trHeight w:val="300"/>
          <w:jc w:val="center"/>
        </w:trPr>
        <w:tc>
          <w:tcPr>
            <w:tcW w:w="2689" w:type="dxa"/>
            <w:tcBorders>
              <w:top w:val="nil"/>
              <w:left w:val="single" w:sz="4" w:space="0" w:color="A6A6A6"/>
              <w:bottom w:val="single" w:sz="4" w:space="0" w:color="A6A6A6"/>
              <w:right w:val="single" w:sz="4" w:space="0" w:color="A6A6A6"/>
            </w:tcBorders>
            <w:noWrap/>
            <w:vAlign w:val="center"/>
            <w:hideMark/>
          </w:tcPr>
          <w:p w14:paraId="37F4B7CA" w14:textId="77777777" w:rsidR="00B76E04" w:rsidRPr="008A67B8" w:rsidRDefault="00B76E04" w:rsidP="004C246C">
            <w:pPr>
              <w:spacing w:line="360" w:lineRule="auto"/>
              <w:rPr>
                <w:color w:val="000000"/>
                <w:sz w:val="20"/>
                <w:szCs w:val="20"/>
                <w:lang w:val="es-MX" w:eastAsia="es-MX"/>
              </w:rPr>
            </w:pPr>
            <w:r w:rsidRPr="008A67B8">
              <w:rPr>
                <w:color w:val="000000"/>
                <w:sz w:val="20"/>
                <w:szCs w:val="20"/>
                <w:lang w:eastAsia="es-MX"/>
              </w:rPr>
              <w:t>Desarrollo Económico</w:t>
            </w:r>
          </w:p>
        </w:tc>
        <w:tc>
          <w:tcPr>
            <w:tcW w:w="1842" w:type="dxa"/>
            <w:tcBorders>
              <w:top w:val="nil"/>
              <w:left w:val="nil"/>
              <w:bottom w:val="single" w:sz="4" w:space="0" w:color="A6A6A6"/>
              <w:right w:val="single" w:sz="4" w:space="0" w:color="A6A6A6"/>
            </w:tcBorders>
            <w:noWrap/>
            <w:vAlign w:val="center"/>
            <w:hideMark/>
          </w:tcPr>
          <w:p w14:paraId="423BA157" w14:textId="77777777" w:rsidR="00B76E04" w:rsidRPr="008A67B8" w:rsidRDefault="00B76E04" w:rsidP="004C246C">
            <w:pPr>
              <w:spacing w:line="360" w:lineRule="auto"/>
              <w:jc w:val="right"/>
              <w:rPr>
                <w:color w:val="000000"/>
                <w:sz w:val="20"/>
                <w:szCs w:val="20"/>
                <w:lang w:val="es-MX" w:eastAsia="es-MX"/>
              </w:rPr>
            </w:pPr>
            <w:r w:rsidRPr="008A67B8">
              <w:rPr>
                <w:color w:val="000000"/>
                <w:sz w:val="20"/>
                <w:szCs w:val="20"/>
                <w:lang w:val="es-MX" w:eastAsia="es-MX"/>
              </w:rPr>
              <w:t>918,010,942.00</w:t>
            </w:r>
          </w:p>
        </w:tc>
        <w:tc>
          <w:tcPr>
            <w:tcW w:w="829" w:type="dxa"/>
            <w:tcBorders>
              <w:top w:val="nil"/>
              <w:left w:val="nil"/>
              <w:bottom w:val="single" w:sz="4" w:space="0" w:color="A6A6A6"/>
              <w:right w:val="single" w:sz="4" w:space="0" w:color="A6A6A6"/>
            </w:tcBorders>
            <w:noWrap/>
            <w:vAlign w:val="center"/>
            <w:hideMark/>
          </w:tcPr>
          <w:p w14:paraId="04A96219" w14:textId="77777777" w:rsidR="00B76E04" w:rsidRPr="008A67B8" w:rsidRDefault="00B76E04" w:rsidP="004C246C">
            <w:pPr>
              <w:spacing w:line="360" w:lineRule="auto"/>
              <w:jc w:val="center"/>
              <w:rPr>
                <w:color w:val="000000"/>
                <w:sz w:val="20"/>
                <w:szCs w:val="20"/>
                <w:lang w:val="es-MX" w:eastAsia="es-MX"/>
              </w:rPr>
            </w:pPr>
            <w:r w:rsidRPr="008A67B8">
              <w:rPr>
                <w:color w:val="000000"/>
                <w:sz w:val="20"/>
                <w:szCs w:val="20"/>
                <w:lang w:val="es-MX" w:eastAsia="es-MX"/>
              </w:rPr>
              <w:t>4.2</w:t>
            </w:r>
          </w:p>
        </w:tc>
      </w:tr>
      <w:tr w:rsidR="00B76E04" w:rsidRPr="008A67B8" w14:paraId="378A2060" w14:textId="77777777" w:rsidTr="00A7274D">
        <w:trPr>
          <w:trHeight w:val="300"/>
          <w:jc w:val="center"/>
        </w:trPr>
        <w:tc>
          <w:tcPr>
            <w:tcW w:w="2689" w:type="dxa"/>
            <w:tcBorders>
              <w:top w:val="nil"/>
              <w:left w:val="single" w:sz="4" w:space="0" w:color="A6A6A6"/>
              <w:bottom w:val="single" w:sz="4" w:space="0" w:color="A6A6A6"/>
              <w:right w:val="single" w:sz="4" w:space="0" w:color="A6A6A6"/>
            </w:tcBorders>
            <w:shd w:val="clear" w:color="000000" w:fill="D9D9D9"/>
            <w:noWrap/>
            <w:vAlign w:val="center"/>
            <w:hideMark/>
          </w:tcPr>
          <w:p w14:paraId="342089FA" w14:textId="77777777" w:rsidR="00B76E04" w:rsidRPr="008A67B8" w:rsidRDefault="00B76E04" w:rsidP="004C246C">
            <w:pPr>
              <w:spacing w:line="360" w:lineRule="auto"/>
              <w:jc w:val="center"/>
              <w:rPr>
                <w:b/>
                <w:bCs/>
                <w:color w:val="000000"/>
                <w:sz w:val="20"/>
                <w:szCs w:val="20"/>
                <w:lang w:val="es-MX" w:eastAsia="es-MX"/>
              </w:rPr>
            </w:pPr>
            <w:r w:rsidRPr="008A67B8">
              <w:rPr>
                <w:b/>
                <w:bCs/>
                <w:sz w:val="20"/>
                <w:szCs w:val="20"/>
                <w:lang w:eastAsia="es-MX"/>
              </w:rPr>
              <w:t>TOTAL</w:t>
            </w:r>
          </w:p>
        </w:tc>
        <w:tc>
          <w:tcPr>
            <w:tcW w:w="1842" w:type="dxa"/>
            <w:tcBorders>
              <w:top w:val="nil"/>
              <w:left w:val="nil"/>
              <w:bottom w:val="single" w:sz="4" w:space="0" w:color="A6A6A6"/>
              <w:right w:val="single" w:sz="4" w:space="0" w:color="A6A6A6"/>
            </w:tcBorders>
            <w:shd w:val="clear" w:color="000000" w:fill="D9D9D9"/>
            <w:noWrap/>
            <w:vAlign w:val="center"/>
            <w:hideMark/>
          </w:tcPr>
          <w:p w14:paraId="5F5A125C" w14:textId="77777777" w:rsidR="00B76E04" w:rsidRPr="008A67B8" w:rsidRDefault="00B76E04" w:rsidP="004C246C">
            <w:pPr>
              <w:spacing w:line="360" w:lineRule="auto"/>
              <w:jc w:val="right"/>
              <w:rPr>
                <w:b/>
                <w:bCs/>
                <w:color w:val="000000"/>
                <w:sz w:val="20"/>
                <w:szCs w:val="20"/>
                <w:lang w:val="es-MX" w:eastAsia="es-MX"/>
              </w:rPr>
            </w:pPr>
            <w:r w:rsidRPr="008A67B8">
              <w:rPr>
                <w:b/>
                <w:bCs/>
                <w:color w:val="000000"/>
                <w:sz w:val="20"/>
                <w:szCs w:val="20"/>
                <w:lang w:eastAsia="es-MX"/>
              </w:rPr>
              <w:t>21,878,786,048.00</w:t>
            </w:r>
          </w:p>
        </w:tc>
        <w:tc>
          <w:tcPr>
            <w:tcW w:w="829" w:type="dxa"/>
            <w:tcBorders>
              <w:top w:val="nil"/>
              <w:left w:val="nil"/>
              <w:bottom w:val="single" w:sz="4" w:space="0" w:color="A6A6A6"/>
              <w:right w:val="single" w:sz="4" w:space="0" w:color="A6A6A6"/>
            </w:tcBorders>
            <w:shd w:val="clear" w:color="000000" w:fill="D9D9D9"/>
            <w:noWrap/>
            <w:vAlign w:val="center"/>
            <w:hideMark/>
          </w:tcPr>
          <w:p w14:paraId="1D7F4BC2" w14:textId="77777777" w:rsidR="00B76E04" w:rsidRPr="008A67B8" w:rsidRDefault="00B76E04" w:rsidP="004C246C">
            <w:pPr>
              <w:spacing w:line="360" w:lineRule="auto"/>
              <w:jc w:val="center"/>
              <w:rPr>
                <w:b/>
                <w:bCs/>
                <w:color w:val="000000"/>
                <w:sz w:val="20"/>
                <w:szCs w:val="20"/>
                <w:lang w:val="es-MX" w:eastAsia="es-MX"/>
              </w:rPr>
            </w:pPr>
            <w:r w:rsidRPr="008A67B8">
              <w:rPr>
                <w:b/>
                <w:bCs/>
                <w:color w:val="000000"/>
                <w:sz w:val="20"/>
                <w:szCs w:val="20"/>
                <w:lang w:val="es-MX" w:eastAsia="es-MX"/>
              </w:rPr>
              <w:t>100.0</w:t>
            </w:r>
          </w:p>
        </w:tc>
      </w:tr>
    </w:tbl>
    <w:p w14:paraId="4908E6FB" w14:textId="77777777" w:rsidR="00B76E04" w:rsidRDefault="00B76E04" w:rsidP="004C246C">
      <w:pPr>
        <w:spacing w:line="360" w:lineRule="auto"/>
        <w:jc w:val="center"/>
        <w:rPr>
          <w:rFonts w:eastAsia="Calibri"/>
          <w:b/>
          <w:sz w:val="20"/>
          <w:szCs w:val="20"/>
        </w:rPr>
      </w:pPr>
    </w:p>
    <w:p w14:paraId="7591F86F" w14:textId="77777777" w:rsidR="00B76E04" w:rsidRPr="009A2CD6" w:rsidRDefault="00B76E04" w:rsidP="004C246C">
      <w:pPr>
        <w:spacing w:line="360" w:lineRule="auto"/>
        <w:jc w:val="both"/>
        <w:rPr>
          <w:color w:val="FF0000"/>
          <w:sz w:val="20"/>
          <w:szCs w:val="20"/>
        </w:rPr>
      </w:pPr>
      <w:r w:rsidRPr="009F321B">
        <w:rPr>
          <w:sz w:val="20"/>
          <w:szCs w:val="20"/>
        </w:rPr>
        <w:t xml:space="preserve">De acuerdo a la anterior clasificación, la política de desarrollo social en el Estado de Tlaxcala, vinculada y coordinada con la política de planeación nacional, promueve, respeta, protege y garantiza </w:t>
      </w:r>
      <w:r w:rsidRPr="009F321B">
        <w:rPr>
          <w:sz w:val="20"/>
          <w:szCs w:val="20"/>
        </w:rPr>
        <w:lastRenderedPageBreak/>
        <w:t>los derechos sociales de la población, en cumplimiento a lo establecido en la Constitución Política de los Estados Unidos Mexicanos, Constitución Política del Estado Libre y Soberano de Tlaxcala, Ley General de Desarrollo Social, Ley de Desarrollo Social del Estado de Tlaxcala y Ley de los Derechos de Niñas, Niños y Adolescentes del Estado de Tlaxcala</w:t>
      </w:r>
      <w:r>
        <w:rPr>
          <w:sz w:val="20"/>
          <w:szCs w:val="20"/>
        </w:rPr>
        <w:t>.</w:t>
      </w:r>
      <w:r w:rsidRPr="009A2CD6">
        <w:rPr>
          <w:color w:val="FF0000"/>
          <w:sz w:val="20"/>
          <w:szCs w:val="20"/>
        </w:rPr>
        <w:t xml:space="preserve"> </w:t>
      </w:r>
    </w:p>
    <w:p w14:paraId="1A9DFDF3" w14:textId="77777777" w:rsidR="004C246C" w:rsidRDefault="004C246C" w:rsidP="004C246C">
      <w:pPr>
        <w:spacing w:line="360" w:lineRule="auto"/>
        <w:jc w:val="center"/>
        <w:rPr>
          <w:b/>
          <w:sz w:val="20"/>
          <w:szCs w:val="20"/>
        </w:rPr>
      </w:pPr>
    </w:p>
    <w:p w14:paraId="7BF49E93" w14:textId="180533B9" w:rsidR="00B76E04" w:rsidRDefault="00B76E04" w:rsidP="004C246C">
      <w:pPr>
        <w:spacing w:line="360" w:lineRule="auto"/>
        <w:jc w:val="center"/>
        <w:rPr>
          <w:b/>
          <w:sz w:val="20"/>
          <w:szCs w:val="20"/>
        </w:rPr>
      </w:pPr>
      <w:r>
        <w:rPr>
          <w:b/>
          <w:sz w:val="20"/>
          <w:szCs w:val="20"/>
        </w:rPr>
        <w:t>Sectorización del Poder Ejecutivo</w:t>
      </w:r>
    </w:p>
    <w:p w14:paraId="1700BF4D" w14:textId="77777777" w:rsidR="004C246C" w:rsidRDefault="004C246C" w:rsidP="004C246C">
      <w:pPr>
        <w:spacing w:line="360" w:lineRule="auto"/>
        <w:jc w:val="both"/>
        <w:rPr>
          <w:sz w:val="20"/>
          <w:szCs w:val="20"/>
        </w:rPr>
      </w:pPr>
    </w:p>
    <w:p w14:paraId="72746F1A" w14:textId="3A242087" w:rsidR="00B76E04" w:rsidRPr="00A53CC2" w:rsidRDefault="00B76E04" w:rsidP="004C246C">
      <w:pPr>
        <w:spacing w:line="360" w:lineRule="auto"/>
        <w:jc w:val="both"/>
        <w:rPr>
          <w:sz w:val="20"/>
          <w:szCs w:val="20"/>
        </w:rPr>
      </w:pPr>
      <w:r w:rsidRPr="00A53CC2">
        <w:rPr>
          <w:sz w:val="20"/>
          <w:szCs w:val="20"/>
        </w:rPr>
        <w:t>Integran la Administración Pública Centralizada: el Despacho de la Persona Titular del Ejecutivo, las unidades y departamentos administrativos adscritos a éste, las Secretarías, las Coordinaciones, la Oficialía Mayor, la Consejería Jurídica del Ejecutivo y los Órganos Desconcentrados, creados por la Persona Titular del Ejecutivo mediante Decreto.</w:t>
      </w:r>
    </w:p>
    <w:p w14:paraId="335D6980" w14:textId="77777777" w:rsidR="0038568A" w:rsidRDefault="0038568A" w:rsidP="004C246C">
      <w:pPr>
        <w:spacing w:line="360" w:lineRule="auto"/>
        <w:jc w:val="both"/>
        <w:rPr>
          <w:sz w:val="20"/>
          <w:szCs w:val="20"/>
        </w:rPr>
      </w:pPr>
    </w:p>
    <w:p w14:paraId="77D72277" w14:textId="2A525396" w:rsidR="00B76E04" w:rsidRPr="00A53CC2" w:rsidRDefault="00B76E04" w:rsidP="004C246C">
      <w:pPr>
        <w:spacing w:line="360" w:lineRule="auto"/>
        <w:jc w:val="both"/>
        <w:rPr>
          <w:sz w:val="20"/>
          <w:szCs w:val="20"/>
        </w:rPr>
      </w:pPr>
      <w:r w:rsidRPr="00A53CC2">
        <w:rPr>
          <w:sz w:val="20"/>
          <w:szCs w:val="20"/>
        </w:rPr>
        <w:t>Constituyen la administración pública descentralizada, los organismos públicos descentralizados, las empresas de participación estatal mayoritaria y los fideicomisos públicos, creados por el Ejecutivo mediante Decreto.</w:t>
      </w:r>
    </w:p>
    <w:p w14:paraId="563CB1A2" w14:textId="77777777" w:rsidR="0038568A" w:rsidRDefault="0038568A" w:rsidP="004C246C">
      <w:pPr>
        <w:spacing w:line="360" w:lineRule="auto"/>
        <w:jc w:val="both"/>
        <w:rPr>
          <w:sz w:val="20"/>
          <w:szCs w:val="20"/>
        </w:rPr>
      </w:pPr>
    </w:p>
    <w:p w14:paraId="13523056" w14:textId="21A51C55" w:rsidR="00B76E04" w:rsidRDefault="00B76E04" w:rsidP="004C246C">
      <w:pPr>
        <w:spacing w:line="360" w:lineRule="auto"/>
        <w:jc w:val="both"/>
        <w:rPr>
          <w:rFonts w:eastAsia="Calibri"/>
          <w:sz w:val="20"/>
          <w:szCs w:val="20"/>
        </w:rPr>
      </w:pPr>
      <w:r w:rsidRPr="00A53CC2">
        <w:rPr>
          <w:sz w:val="20"/>
          <w:szCs w:val="20"/>
        </w:rPr>
        <w:t>Por lo que se clasifican en Sectores con la finalidad de poder visualizar un panorama claro y distinto en la presentación del Presupuesto de Egresos del Poder Ejecutivo, con base en el cuadro siguiente</w:t>
      </w:r>
      <w:r>
        <w:rPr>
          <w:rFonts w:eastAsia="Calibri"/>
          <w:sz w:val="20"/>
          <w:szCs w:val="20"/>
        </w:rPr>
        <w:t>:</w:t>
      </w:r>
    </w:p>
    <w:p w14:paraId="29C6EB1F" w14:textId="77777777" w:rsidR="004C246C" w:rsidRDefault="004C246C" w:rsidP="004C246C">
      <w:pPr>
        <w:spacing w:line="360" w:lineRule="auto"/>
        <w:jc w:val="center"/>
        <w:rPr>
          <w:rFonts w:eastAsia="Calibri"/>
          <w:b/>
          <w:sz w:val="20"/>
          <w:szCs w:val="20"/>
        </w:rPr>
      </w:pPr>
    </w:p>
    <w:p w14:paraId="53150585" w14:textId="12B7A1CD" w:rsidR="00B76E04" w:rsidRDefault="00B76E04" w:rsidP="004C246C">
      <w:pPr>
        <w:spacing w:line="360" w:lineRule="auto"/>
        <w:jc w:val="center"/>
        <w:rPr>
          <w:rFonts w:eastAsia="Calibri"/>
          <w:b/>
          <w:sz w:val="20"/>
          <w:szCs w:val="20"/>
        </w:rPr>
      </w:pPr>
      <w:r>
        <w:rPr>
          <w:rFonts w:eastAsia="Calibri"/>
          <w:b/>
          <w:sz w:val="20"/>
          <w:szCs w:val="20"/>
        </w:rPr>
        <w:t>Clasificación por Sector</w:t>
      </w:r>
    </w:p>
    <w:tbl>
      <w:tblPr>
        <w:tblW w:w="0" w:type="auto"/>
        <w:jc w:val="center"/>
        <w:tblCellMar>
          <w:left w:w="70" w:type="dxa"/>
          <w:right w:w="70" w:type="dxa"/>
        </w:tblCellMar>
        <w:tblLook w:val="04A0" w:firstRow="1" w:lastRow="0" w:firstColumn="1" w:lastColumn="0" w:noHBand="0" w:noVBand="1"/>
      </w:tblPr>
      <w:tblGrid>
        <w:gridCol w:w="1907"/>
        <w:gridCol w:w="1640"/>
        <w:gridCol w:w="1640"/>
        <w:gridCol w:w="1540"/>
        <w:gridCol w:w="639"/>
      </w:tblGrid>
      <w:tr w:rsidR="00B76E04" w:rsidRPr="00953658" w14:paraId="7B6E1ED8" w14:textId="77777777" w:rsidTr="00A7274D">
        <w:trPr>
          <w:trHeight w:val="300"/>
          <w:jc w:val="center"/>
        </w:trPr>
        <w:tc>
          <w:tcPr>
            <w:tcW w:w="0" w:type="auto"/>
            <w:vMerge w:val="restart"/>
            <w:tcBorders>
              <w:top w:val="single" w:sz="4" w:space="0" w:color="A6A6A6"/>
              <w:left w:val="single" w:sz="4" w:space="0" w:color="A6A6A6"/>
              <w:bottom w:val="single" w:sz="4" w:space="0" w:color="A6A6A6"/>
              <w:right w:val="single" w:sz="4" w:space="0" w:color="A6A6A6"/>
            </w:tcBorders>
            <w:shd w:val="clear" w:color="000000" w:fill="D9D9D9"/>
            <w:noWrap/>
            <w:vAlign w:val="center"/>
            <w:hideMark/>
          </w:tcPr>
          <w:p w14:paraId="68819495" w14:textId="77777777" w:rsidR="00B76E04" w:rsidRPr="00953658" w:rsidRDefault="00B76E04" w:rsidP="004C246C">
            <w:pPr>
              <w:spacing w:line="360" w:lineRule="auto"/>
              <w:jc w:val="center"/>
              <w:rPr>
                <w:b/>
                <w:bCs/>
                <w:color w:val="000000"/>
                <w:sz w:val="20"/>
                <w:szCs w:val="20"/>
                <w:lang w:val="es-MX" w:eastAsia="es-MX"/>
              </w:rPr>
            </w:pPr>
            <w:r w:rsidRPr="00953658">
              <w:rPr>
                <w:b/>
                <w:bCs/>
                <w:color w:val="000000"/>
                <w:sz w:val="20"/>
                <w:szCs w:val="20"/>
                <w:lang w:val="es-MX" w:eastAsia="es-MX"/>
              </w:rPr>
              <w:t>SECTOR</w:t>
            </w:r>
          </w:p>
        </w:tc>
        <w:tc>
          <w:tcPr>
            <w:tcW w:w="0" w:type="auto"/>
            <w:vMerge w:val="restart"/>
            <w:tcBorders>
              <w:top w:val="single" w:sz="4" w:space="0" w:color="A6A6A6"/>
              <w:left w:val="single" w:sz="4" w:space="0" w:color="A6A6A6"/>
              <w:bottom w:val="single" w:sz="4" w:space="0" w:color="A6A6A6"/>
              <w:right w:val="single" w:sz="4" w:space="0" w:color="A6A6A6"/>
            </w:tcBorders>
            <w:shd w:val="clear" w:color="000000" w:fill="D9D9D9"/>
            <w:noWrap/>
            <w:vAlign w:val="center"/>
            <w:hideMark/>
          </w:tcPr>
          <w:p w14:paraId="4E2E0D17" w14:textId="77777777" w:rsidR="00B76E04" w:rsidRPr="00953658" w:rsidRDefault="00B76E04" w:rsidP="004C246C">
            <w:pPr>
              <w:spacing w:line="360" w:lineRule="auto"/>
              <w:jc w:val="center"/>
              <w:rPr>
                <w:b/>
                <w:bCs/>
                <w:color w:val="000000"/>
                <w:sz w:val="20"/>
                <w:szCs w:val="20"/>
                <w:lang w:val="es-MX" w:eastAsia="es-MX"/>
              </w:rPr>
            </w:pPr>
            <w:r w:rsidRPr="00953658">
              <w:rPr>
                <w:b/>
                <w:bCs/>
                <w:color w:val="000000"/>
                <w:sz w:val="20"/>
                <w:szCs w:val="20"/>
                <w:lang w:val="es-MX" w:eastAsia="es-MX"/>
              </w:rPr>
              <w:t>2025</w:t>
            </w:r>
          </w:p>
        </w:tc>
        <w:tc>
          <w:tcPr>
            <w:tcW w:w="0" w:type="auto"/>
            <w:vMerge w:val="restart"/>
            <w:tcBorders>
              <w:top w:val="single" w:sz="4" w:space="0" w:color="A6A6A6"/>
              <w:left w:val="single" w:sz="4" w:space="0" w:color="A6A6A6"/>
              <w:bottom w:val="single" w:sz="4" w:space="0" w:color="A6A6A6"/>
              <w:right w:val="single" w:sz="4" w:space="0" w:color="A6A6A6"/>
            </w:tcBorders>
            <w:shd w:val="clear" w:color="000000" w:fill="D9D9D9"/>
            <w:noWrap/>
            <w:vAlign w:val="center"/>
            <w:hideMark/>
          </w:tcPr>
          <w:p w14:paraId="57B919F3" w14:textId="77777777" w:rsidR="00B76E04" w:rsidRPr="00953658" w:rsidRDefault="00B76E04" w:rsidP="004C246C">
            <w:pPr>
              <w:spacing w:line="360" w:lineRule="auto"/>
              <w:jc w:val="center"/>
              <w:rPr>
                <w:b/>
                <w:bCs/>
                <w:color w:val="000000"/>
                <w:sz w:val="20"/>
                <w:szCs w:val="20"/>
                <w:lang w:val="es-MX" w:eastAsia="es-MX"/>
              </w:rPr>
            </w:pPr>
            <w:r w:rsidRPr="00953658">
              <w:rPr>
                <w:b/>
                <w:bCs/>
                <w:color w:val="000000"/>
                <w:sz w:val="20"/>
                <w:szCs w:val="20"/>
                <w:lang w:val="es-MX" w:eastAsia="es-MX"/>
              </w:rPr>
              <w:t>2026</w:t>
            </w:r>
          </w:p>
        </w:tc>
        <w:tc>
          <w:tcPr>
            <w:tcW w:w="2179" w:type="dxa"/>
            <w:gridSpan w:val="2"/>
            <w:tcBorders>
              <w:top w:val="single" w:sz="4" w:space="0" w:color="A6A6A6"/>
              <w:left w:val="nil"/>
              <w:bottom w:val="single" w:sz="4" w:space="0" w:color="A6A6A6"/>
              <w:right w:val="single" w:sz="4" w:space="0" w:color="A6A6A6"/>
            </w:tcBorders>
            <w:shd w:val="clear" w:color="000000" w:fill="D9D9D9"/>
            <w:noWrap/>
            <w:vAlign w:val="center"/>
            <w:hideMark/>
          </w:tcPr>
          <w:p w14:paraId="73255D03" w14:textId="77777777" w:rsidR="00B76E04" w:rsidRPr="00953658" w:rsidRDefault="00B76E04" w:rsidP="004C246C">
            <w:pPr>
              <w:spacing w:line="360" w:lineRule="auto"/>
              <w:jc w:val="center"/>
              <w:rPr>
                <w:b/>
                <w:bCs/>
                <w:color w:val="000000"/>
                <w:sz w:val="20"/>
                <w:szCs w:val="20"/>
                <w:lang w:val="es-MX" w:eastAsia="es-MX"/>
              </w:rPr>
            </w:pPr>
            <w:r w:rsidRPr="00953658">
              <w:rPr>
                <w:b/>
                <w:bCs/>
                <w:color w:val="000000"/>
                <w:sz w:val="20"/>
                <w:szCs w:val="20"/>
                <w:lang w:val="es-MX" w:eastAsia="es-MX"/>
              </w:rPr>
              <w:t>INCREMENTO</w:t>
            </w:r>
          </w:p>
        </w:tc>
      </w:tr>
      <w:tr w:rsidR="00B76E04" w:rsidRPr="00953658" w14:paraId="061D3C0E" w14:textId="77777777" w:rsidTr="00A7274D">
        <w:trPr>
          <w:trHeight w:val="300"/>
          <w:jc w:val="center"/>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4AA22DE4" w14:textId="77777777" w:rsidR="00B76E04" w:rsidRPr="00953658" w:rsidRDefault="00B76E04" w:rsidP="004C246C">
            <w:pPr>
              <w:spacing w:line="360" w:lineRule="auto"/>
              <w:rPr>
                <w:b/>
                <w:bCs/>
                <w:color w:val="000000"/>
                <w:sz w:val="20"/>
                <w:szCs w:val="20"/>
                <w:lang w:val="es-MX" w:eastAsia="es-MX"/>
              </w:rPr>
            </w:pPr>
          </w:p>
        </w:tc>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4AC7738C" w14:textId="77777777" w:rsidR="00B76E04" w:rsidRPr="00953658" w:rsidRDefault="00B76E04" w:rsidP="004C246C">
            <w:pPr>
              <w:spacing w:line="360" w:lineRule="auto"/>
              <w:rPr>
                <w:b/>
                <w:bCs/>
                <w:color w:val="000000"/>
                <w:sz w:val="20"/>
                <w:szCs w:val="20"/>
                <w:lang w:val="es-MX" w:eastAsia="es-MX"/>
              </w:rPr>
            </w:pPr>
          </w:p>
        </w:tc>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60A89507" w14:textId="77777777" w:rsidR="00B76E04" w:rsidRPr="00953658" w:rsidRDefault="00B76E04" w:rsidP="004C246C">
            <w:pPr>
              <w:spacing w:line="360" w:lineRule="auto"/>
              <w:rPr>
                <w:b/>
                <w:bCs/>
                <w:color w:val="000000"/>
                <w:sz w:val="20"/>
                <w:szCs w:val="20"/>
                <w:lang w:val="es-MX" w:eastAsia="es-MX"/>
              </w:rPr>
            </w:pPr>
          </w:p>
        </w:tc>
        <w:tc>
          <w:tcPr>
            <w:tcW w:w="0" w:type="auto"/>
            <w:tcBorders>
              <w:top w:val="nil"/>
              <w:left w:val="nil"/>
              <w:bottom w:val="single" w:sz="4" w:space="0" w:color="A6A6A6"/>
              <w:right w:val="single" w:sz="4" w:space="0" w:color="A6A6A6"/>
            </w:tcBorders>
            <w:shd w:val="clear" w:color="000000" w:fill="D9D9D9"/>
            <w:noWrap/>
            <w:vAlign w:val="center"/>
            <w:hideMark/>
          </w:tcPr>
          <w:p w14:paraId="3E6A1F36" w14:textId="77777777" w:rsidR="00B76E04" w:rsidRPr="00953658" w:rsidRDefault="00B76E04" w:rsidP="004C246C">
            <w:pPr>
              <w:spacing w:line="360" w:lineRule="auto"/>
              <w:jc w:val="center"/>
              <w:rPr>
                <w:b/>
                <w:bCs/>
                <w:color w:val="000000"/>
                <w:sz w:val="20"/>
                <w:szCs w:val="20"/>
                <w:lang w:val="es-MX" w:eastAsia="es-MX"/>
              </w:rPr>
            </w:pPr>
            <w:r w:rsidRPr="00953658">
              <w:rPr>
                <w:b/>
                <w:bCs/>
                <w:color w:val="000000"/>
                <w:sz w:val="20"/>
                <w:szCs w:val="20"/>
                <w:lang w:val="es-MX" w:eastAsia="es-MX"/>
              </w:rPr>
              <w:t>NOMINAL ($)</w:t>
            </w:r>
          </w:p>
        </w:tc>
        <w:tc>
          <w:tcPr>
            <w:tcW w:w="639" w:type="dxa"/>
            <w:tcBorders>
              <w:top w:val="nil"/>
              <w:left w:val="nil"/>
              <w:bottom w:val="single" w:sz="4" w:space="0" w:color="A6A6A6"/>
              <w:right w:val="single" w:sz="4" w:space="0" w:color="A6A6A6"/>
            </w:tcBorders>
            <w:shd w:val="clear" w:color="000000" w:fill="D9D9D9"/>
            <w:noWrap/>
            <w:vAlign w:val="center"/>
            <w:hideMark/>
          </w:tcPr>
          <w:p w14:paraId="083C2327" w14:textId="77777777" w:rsidR="00B76E04" w:rsidRPr="00953658" w:rsidRDefault="00B76E04" w:rsidP="004C246C">
            <w:pPr>
              <w:spacing w:line="360" w:lineRule="auto"/>
              <w:jc w:val="center"/>
              <w:rPr>
                <w:b/>
                <w:bCs/>
                <w:color w:val="000000"/>
                <w:sz w:val="20"/>
                <w:szCs w:val="20"/>
                <w:lang w:val="es-MX" w:eastAsia="es-MX"/>
              </w:rPr>
            </w:pPr>
            <w:r w:rsidRPr="00953658">
              <w:rPr>
                <w:b/>
                <w:bCs/>
                <w:color w:val="000000"/>
                <w:sz w:val="20"/>
                <w:szCs w:val="20"/>
                <w:lang w:val="es-MX" w:eastAsia="es-MX"/>
              </w:rPr>
              <w:t>%</w:t>
            </w:r>
          </w:p>
        </w:tc>
      </w:tr>
      <w:tr w:rsidR="00B76E04" w:rsidRPr="00953658" w14:paraId="576B8CC4" w14:textId="77777777" w:rsidTr="00A7274D">
        <w:trPr>
          <w:trHeight w:val="300"/>
          <w:jc w:val="center"/>
        </w:trPr>
        <w:tc>
          <w:tcPr>
            <w:tcW w:w="0" w:type="auto"/>
            <w:tcBorders>
              <w:top w:val="nil"/>
              <w:left w:val="single" w:sz="4" w:space="0" w:color="A6A6A6"/>
              <w:bottom w:val="single" w:sz="4" w:space="0" w:color="A6A6A6"/>
              <w:right w:val="single" w:sz="4" w:space="0" w:color="A6A6A6"/>
            </w:tcBorders>
            <w:vAlign w:val="center"/>
            <w:hideMark/>
          </w:tcPr>
          <w:p w14:paraId="2A9590FF" w14:textId="77777777" w:rsidR="00B76E04" w:rsidRPr="00953658" w:rsidRDefault="00B76E04" w:rsidP="004C246C">
            <w:pPr>
              <w:spacing w:line="360" w:lineRule="auto"/>
              <w:rPr>
                <w:color w:val="000000"/>
                <w:sz w:val="20"/>
                <w:szCs w:val="20"/>
                <w:lang w:val="es-MX" w:eastAsia="es-MX"/>
              </w:rPr>
            </w:pPr>
            <w:r w:rsidRPr="00953658">
              <w:rPr>
                <w:color w:val="000000"/>
                <w:sz w:val="20"/>
                <w:szCs w:val="20"/>
                <w:lang w:val="es-MX" w:eastAsia="es-MX"/>
              </w:rPr>
              <w:t>Fideicomisos</w:t>
            </w:r>
          </w:p>
        </w:tc>
        <w:tc>
          <w:tcPr>
            <w:tcW w:w="0" w:type="auto"/>
            <w:tcBorders>
              <w:top w:val="nil"/>
              <w:left w:val="nil"/>
              <w:bottom w:val="single" w:sz="4" w:space="0" w:color="A6A6A6"/>
              <w:right w:val="single" w:sz="4" w:space="0" w:color="A6A6A6"/>
            </w:tcBorders>
            <w:noWrap/>
            <w:vAlign w:val="center"/>
            <w:hideMark/>
          </w:tcPr>
          <w:p w14:paraId="46E84B0C"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11,822,239.00</w:t>
            </w:r>
          </w:p>
        </w:tc>
        <w:tc>
          <w:tcPr>
            <w:tcW w:w="0" w:type="auto"/>
            <w:tcBorders>
              <w:top w:val="nil"/>
              <w:left w:val="nil"/>
              <w:bottom w:val="single" w:sz="4" w:space="0" w:color="A6A6A6"/>
              <w:right w:val="single" w:sz="4" w:space="0" w:color="A6A6A6"/>
            </w:tcBorders>
            <w:noWrap/>
            <w:vAlign w:val="center"/>
            <w:hideMark/>
          </w:tcPr>
          <w:p w14:paraId="5893DEFA"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12,152,455.00</w:t>
            </w:r>
          </w:p>
        </w:tc>
        <w:tc>
          <w:tcPr>
            <w:tcW w:w="0" w:type="auto"/>
            <w:tcBorders>
              <w:top w:val="nil"/>
              <w:left w:val="nil"/>
              <w:bottom w:val="single" w:sz="4" w:space="0" w:color="A6A6A6"/>
              <w:right w:val="single" w:sz="4" w:space="0" w:color="A6A6A6"/>
            </w:tcBorders>
            <w:noWrap/>
            <w:vAlign w:val="center"/>
            <w:hideMark/>
          </w:tcPr>
          <w:p w14:paraId="3BDE11EF"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330,216.00</w:t>
            </w:r>
          </w:p>
        </w:tc>
        <w:tc>
          <w:tcPr>
            <w:tcW w:w="639" w:type="dxa"/>
            <w:tcBorders>
              <w:top w:val="nil"/>
              <w:left w:val="nil"/>
              <w:bottom w:val="single" w:sz="4" w:space="0" w:color="A6A6A6"/>
              <w:right w:val="single" w:sz="4" w:space="0" w:color="A6A6A6"/>
            </w:tcBorders>
            <w:noWrap/>
            <w:vAlign w:val="center"/>
            <w:hideMark/>
          </w:tcPr>
          <w:p w14:paraId="5162D3FE" w14:textId="77777777" w:rsidR="00B76E04" w:rsidRPr="00953658" w:rsidRDefault="00B76E04" w:rsidP="004C246C">
            <w:pPr>
              <w:spacing w:line="360" w:lineRule="auto"/>
              <w:jc w:val="center"/>
              <w:rPr>
                <w:color w:val="000000"/>
                <w:sz w:val="20"/>
                <w:szCs w:val="20"/>
                <w:lang w:val="es-MX" w:eastAsia="es-MX"/>
              </w:rPr>
            </w:pPr>
            <w:r w:rsidRPr="00953658">
              <w:rPr>
                <w:color w:val="000000"/>
                <w:sz w:val="20"/>
                <w:szCs w:val="20"/>
                <w:lang w:val="es-MX" w:eastAsia="es-MX"/>
              </w:rPr>
              <w:t>2.8</w:t>
            </w:r>
          </w:p>
        </w:tc>
      </w:tr>
      <w:tr w:rsidR="00B76E04" w:rsidRPr="00953658" w14:paraId="38993B1F" w14:textId="77777777" w:rsidTr="00A7274D">
        <w:trPr>
          <w:trHeight w:val="310"/>
          <w:jc w:val="center"/>
        </w:trPr>
        <w:tc>
          <w:tcPr>
            <w:tcW w:w="0" w:type="auto"/>
            <w:tcBorders>
              <w:top w:val="nil"/>
              <w:left w:val="single" w:sz="4" w:space="0" w:color="A6A6A6"/>
              <w:bottom w:val="single" w:sz="4" w:space="0" w:color="A6A6A6"/>
              <w:right w:val="single" w:sz="4" w:space="0" w:color="A6A6A6"/>
            </w:tcBorders>
            <w:vAlign w:val="center"/>
            <w:hideMark/>
          </w:tcPr>
          <w:p w14:paraId="54041EB5" w14:textId="77777777" w:rsidR="00B76E04" w:rsidRPr="00953658" w:rsidRDefault="00B76E04" w:rsidP="004C246C">
            <w:pPr>
              <w:spacing w:line="360" w:lineRule="auto"/>
              <w:rPr>
                <w:color w:val="000000"/>
                <w:sz w:val="20"/>
                <w:szCs w:val="20"/>
                <w:lang w:val="es-MX" w:eastAsia="es-MX"/>
              </w:rPr>
            </w:pPr>
            <w:r w:rsidRPr="00953658">
              <w:rPr>
                <w:color w:val="000000"/>
                <w:sz w:val="20"/>
                <w:szCs w:val="20"/>
                <w:lang w:val="es-MX" w:eastAsia="es-MX"/>
              </w:rPr>
              <w:t>Medio Ambiente</w:t>
            </w:r>
          </w:p>
        </w:tc>
        <w:tc>
          <w:tcPr>
            <w:tcW w:w="0" w:type="auto"/>
            <w:tcBorders>
              <w:top w:val="nil"/>
              <w:left w:val="nil"/>
              <w:bottom w:val="single" w:sz="4" w:space="0" w:color="A6A6A6"/>
              <w:right w:val="single" w:sz="4" w:space="0" w:color="A6A6A6"/>
            </w:tcBorders>
            <w:noWrap/>
            <w:vAlign w:val="center"/>
            <w:hideMark/>
          </w:tcPr>
          <w:p w14:paraId="3D1AE7FC"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274,243,848.00</w:t>
            </w:r>
          </w:p>
        </w:tc>
        <w:tc>
          <w:tcPr>
            <w:tcW w:w="0" w:type="auto"/>
            <w:tcBorders>
              <w:top w:val="nil"/>
              <w:left w:val="nil"/>
              <w:bottom w:val="single" w:sz="4" w:space="0" w:color="A6A6A6"/>
              <w:right w:val="single" w:sz="4" w:space="0" w:color="A6A6A6"/>
            </w:tcBorders>
            <w:noWrap/>
            <w:vAlign w:val="center"/>
            <w:hideMark/>
          </w:tcPr>
          <w:p w14:paraId="4C428D68"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290,014,485.00</w:t>
            </w:r>
          </w:p>
        </w:tc>
        <w:tc>
          <w:tcPr>
            <w:tcW w:w="0" w:type="auto"/>
            <w:tcBorders>
              <w:top w:val="nil"/>
              <w:left w:val="nil"/>
              <w:bottom w:val="single" w:sz="4" w:space="0" w:color="A6A6A6"/>
              <w:right w:val="single" w:sz="4" w:space="0" w:color="A6A6A6"/>
            </w:tcBorders>
            <w:noWrap/>
            <w:vAlign w:val="center"/>
            <w:hideMark/>
          </w:tcPr>
          <w:p w14:paraId="3037A6F9"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15,770,637.00</w:t>
            </w:r>
          </w:p>
        </w:tc>
        <w:tc>
          <w:tcPr>
            <w:tcW w:w="639" w:type="dxa"/>
            <w:tcBorders>
              <w:top w:val="nil"/>
              <w:left w:val="nil"/>
              <w:bottom w:val="single" w:sz="4" w:space="0" w:color="A6A6A6"/>
              <w:right w:val="single" w:sz="4" w:space="0" w:color="A6A6A6"/>
            </w:tcBorders>
            <w:noWrap/>
            <w:vAlign w:val="center"/>
            <w:hideMark/>
          </w:tcPr>
          <w:p w14:paraId="620D7047" w14:textId="77777777" w:rsidR="00B76E04" w:rsidRPr="00953658" w:rsidRDefault="00B76E04" w:rsidP="004C246C">
            <w:pPr>
              <w:spacing w:line="360" w:lineRule="auto"/>
              <w:jc w:val="center"/>
              <w:rPr>
                <w:color w:val="000000"/>
                <w:sz w:val="20"/>
                <w:szCs w:val="20"/>
                <w:lang w:val="es-MX" w:eastAsia="es-MX"/>
              </w:rPr>
            </w:pPr>
            <w:r w:rsidRPr="00953658">
              <w:rPr>
                <w:color w:val="000000"/>
                <w:sz w:val="20"/>
                <w:szCs w:val="20"/>
                <w:lang w:val="es-MX" w:eastAsia="es-MX"/>
              </w:rPr>
              <w:t>5.8</w:t>
            </w:r>
          </w:p>
        </w:tc>
      </w:tr>
      <w:tr w:rsidR="00B76E04" w:rsidRPr="00953658" w14:paraId="7F9D38DD" w14:textId="77777777" w:rsidTr="00A7274D">
        <w:trPr>
          <w:trHeight w:val="300"/>
          <w:jc w:val="center"/>
        </w:trPr>
        <w:tc>
          <w:tcPr>
            <w:tcW w:w="0" w:type="auto"/>
            <w:tcBorders>
              <w:top w:val="nil"/>
              <w:left w:val="single" w:sz="4" w:space="0" w:color="A6A6A6"/>
              <w:bottom w:val="single" w:sz="4" w:space="0" w:color="A6A6A6"/>
              <w:right w:val="single" w:sz="4" w:space="0" w:color="A6A6A6"/>
            </w:tcBorders>
            <w:vAlign w:val="center"/>
            <w:hideMark/>
          </w:tcPr>
          <w:p w14:paraId="697DDA3E" w14:textId="77777777" w:rsidR="00B76E04" w:rsidRPr="00953658" w:rsidRDefault="00B76E04" w:rsidP="004C246C">
            <w:pPr>
              <w:spacing w:line="360" w:lineRule="auto"/>
              <w:rPr>
                <w:color w:val="000000"/>
                <w:sz w:val="20"/>
                <w:szCs w:val="20"/>
                <w:lang w:val="es-MX" w:eastAsia="es-MX"/>
              </w:rPr>
            </w:pPr>
            <w:r w:rsidRPr="00953658">
              <w:rPr>
                <w:color w:val="000000"/>
                <w:sz w:val="20"/>
                <w:szCs w:val="20"/>
                <w:lang w:val="es-MX" w:eastAsia="es-MX"/>
              </w:rPr>
              <w:t>Educación</w:t>
            </w:r>
          </w:p>
        </w:tc>
        <w:tc>
          <w:tcPr>
            <w:tcW w:w="0" w:type="auto"/>
            <w:tcBorders>
              <w:top w:val="nil"/>
              <w:left w:val="nil"/>
              <w:bottom w:val="single" w:sz="4" w:space="0" w:color="A6A6A6"/>
              <w:right w:val="single" w:sz="4" w:space="0" w:color="A6A6A6"/>
            </w:tcBorders>
            <w:noWrap/>
            <w:vAlign w:val="center"/>
            <w:hideMark/>
          </w:tcPr>
          <w:p w14:paraId="1C2A6F64"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10,742,821,879.00</w:t>
            </w:r>
          </w:p>
        </w:tc>
        <w:tc>
          <w:tcPr>
            <w:tcW w:w="0" w:type="auto"/>
            <w:tcBorders>
              <w:top w:val="nil"/>
              <w:left w:val="nil"/>
              <w:bottom w:val="single" w:sz="4" w:space="0" w:color="A6A6A6"/>
              <w:right w:val="single" w:sz="4" w:space="0" w:color="A6A6A6"/>
            </w:tcBorders>
            <w:noWrap/>
            <w:vAlign w:val="center"/>
            <w:hideMark/>
          </w:tcPr>
          <w:p w14:paraId="23001444"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11,703,778,288.00</w:t>
            </w:r>
          </w:p>
        </w:tc>
        <w:tc>
          <w:tcPr>
            <w:tcW w:w="0" w:type="auto"/>
            <w:tcBorders>
              <w:top w:val="nil"/>
              <w:left w:val="nil"/>
              <w:bottom w:val="single" w:sz="4" w:space="0" w:color="A6A6A6"/>
              <w:right w:val="single" w:sz="4" w:space="0" w:color="A6A6A6"/>
            </w:tcBorders>
            <w:noWrap/>
            <w:vAlign w:val="center"/>
            <w:hideMark/>
          </w:tcPr>
          <w:p w14:paraId="55162C60"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960,956,409.00</w:t>
            </w:r>
          </w:p>
        </w:tc>
        <w:tc>
          <w:tcPr>
            <w:tcW w:w="639" w:type="dxa"/>
            <w:tcBorders>
              <w:top w:val="nil"/>
              <w:left w:val="nil"/>
              <w:bottom w:val="single" w:sz="4" w:space="0" w:color="A6A6A6"/>
              <w:right w:val="single" w:sz="4" w:space="0" w:color="A6A6A6"/>
            </w:tcBorders>
            <w:noWrap/>
            <w:vAlign w:val="center"/>
            <w:hideMark/>
          </w:tcPr>
          <w:p w14:paraId="4EB13724" w14:textId="77777777" w:rsidR="00B76E04" w:rsidRPr="00953658" w:rsidRDefault="00B76E04" w:rsidP="004C246C">
            <w:pPr>
              <w:spacing w:line="360" w:lineRule="auto"/>
              <w:jc w:val="center"/>
              <w:rPr>
                <w:color w:val="000000"/>
                <w:sz w:val="20"/>
                <w:szCs w:val="20"/>
                <w:lang w:val="es-MX" w:eastAsia="es-MX"/>
              </w:rPr>
            </w:pPr>
            <w:r w:rsidRPr="00953658">
              <w:rPr>
                <w:color w:val="000000"/>
                <w:sz w:val="20"/>
                <w:szCs w:val="20"/>
                <w:lang w:val="es-MX" w:eastAsia="es-MX"/>
              </w:rPr>
              <w:t>8.9</w:t>
            </w:r>
          </w:p>
        </w:tc>
      </w:tr>
      <w:tr w:rsidR="00B76E04" w:rsidRPr="00953658" w14:paraId="01311E09" w14:textId="77777777" w:rsidTr="00A7274D">
        <w:trPr>
          <w:trHeight w:val="300"/>
          <w:jc w:val="center"/>
        </w:trPr>
        <w:tc>
          <w:tcPr>
            <w:tcW w:w="0" w:type="auto"/>
            <w:tcBorders>
              <w:top w:val="nil"/>
              <w:left w:val="single" w:sz="4" w:space="0" w:color="A6A6A6"/>
              <w:bottom w:val="single" w:sz="4" w:space="0" w:color="A6A6A6"/>
              <w:right w:val="single" w:sz="4" w:space="0" w:color="A6A6A6"/>
            </w:tcBorders>
            <w:vAlign w:val="center"/>
            <w:hideMark/>
          </w:tcPr>
          <w:p w14:paraId="4D9B7FDA" w14:textId="77777777" w:rsidR="00B76E04" w:rsidRPr="00953658" w:rsidRDefault="00B76E04" w:rsidP="004C246C">
            <w:pPr>
              <w:spacing w:line="360" w:lineRule="auto"/>
              <w:rPr>
                <w:color w:val="000000"/>
                <w:sz w:val="20"/>
                <w:szCs w:val="20"/>
                <w:lang w:val="es-MX" w:eastAsia="es-MX"/>
              </w:rPr>
            </w:pPr>
            <w:r w:rsidRPr="00953658">
              <w:rPr>
                <w:color w:val="000000"/>
                <w:sz w:val="20"/>
                <w:szCs w:val="20"/>
                <w:lang w:val="es-MX" w:eastAsia="es-MX"/>
              </w:rPr>
              <w:t>Salud</w:t>
            </w:r>
          </w:p>
        </w:tc>
        <w:tc>
          <w:tcPr>
            <w:tcW w:w="0" w:type="auto"/>
            <w:tcBorders>
              <w:top w:val="nil"/>
              <w:left w:val="nil"/>
              <w:bottom w:val="single" w:sz="4" w:space="0" w:color="A6A6A6"/>
              <w:right w:val="single" w:sz="4" w:space="0" w:color="A6A6A6"/>
            </w:tcBorders>
            <w:noWrap/>
            <w:vAlign w:val="center"/>
            <w:hideMark/>
          </w:tcPr>
          <w:p w14:paraId="6184BAEA"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2,730,815,281.00</w:t>
            </w:r>
          </w:p>
        </w:tc>
        <w:tc>
          <w:tcPr>
            <w:tcW w:w="0" w:type="auto"/>
            <w:tcBorders>
              <w:top w:val="nil"/>
              <w:left w:val="nil"/>
              <w:bottom w:val="single" w:sz="4" w:space="0" w:color="A6A6A6"/>
              <w:right w:val="single" w:sz="4" w:space="0" w:color="A6A6A6"/>
            </w:tcBorders>
            <w:noWrap/>
            <w:vAlign w:val="center"/>
            <w:hideMark/>
          </w:tcPr>
          <w:p w14:paraId="3C03925A"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2,078,568,068.00</w:t>
            </w:r>
          </w:p>
        </w:tc>
        <w:tc>
          <w:tcPr>
            <w:tcW w:w="0" w:type="auto"/>
            <w:tcBorders>
              <w:top w:val="nil"/>
              <w:left w:val="nil"/>
              <w:bottom w:val="single" w:sz="4" w:space="0" w:color="A6A6A6"/>
              <w:right w:val="single" w:sz="4" w:space="0" w:color="A6A6A6"/>
            </w:tcBorders>
            <w:noWrap/>
            <w:vAlign w:val="center"/>
            <w:hideMark/>
          </w:tcPr>
          <w:p w14:paraId="70125D62"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-652,247,213.00</w:t>
            </w:r>
          </w:p>
        </w:tc>
        <w:tc>
          <w:tcPr>
            <w:tcW w:w="639" w:type="dxa"/>
            <w:tcBorders>
              <w:top w:val="nil"/>
              <w:left w:val="nil"/>
              <w:bottom w:val="single" w:sz="4" w:space="0" w:color="A6A6A6"/>
              <w:right w:val="single" w:sz="4" w:space="0" w:color="A6A6A6"/>
            </w:tcBorders>
            <w:noWrap/>
            <w:vAlign w:val="center"/>
            <w:hideMark/>
          </w:tcPr>
          <w:p w14:paraId="0B957EE0" w14:textId="77777777" w:rsidR="00B76E04" w:rsidRPr="00953658" w:rsidRDefault="00B76E04" w:rsidP="004C246C">
            <w:pPr>
              <w:spacing w:line="360" w:lineRule="auto"/>
              <w:jc w:val="center"/>
              <w:rPr>
                <w:color w:val="000000"/>
                <w:sz w:val="20"/>
                <w:szCs w:val="20"/>
                <w:lang w:val="es-MX" w:eastAsia="es-MX"/>
              </w:rPr>
            </w:pPr>
            <w:r w:rsidRPr="00953658">
              <w:rPr>
                <w:color w:val="000000"/>
                <w:sz w:val="20"/>
                <w:szCs w:val="20"/>
                <w:lang w:val="es-MX" w:eastAsia="es-MX"/>
              </w:rPr>
              <w:t>-23.9</w:t>
            </w:r>
          </w:p>
        </w:tc>
      </w:tr>
      <w:tr w:rsidR="00B76E04" w:rsidRPr="00953658" w14:paraId="0B0C4E1A" w14:textId="77777777" w:rsidTr="00A7274D">
        <w:trPr>
          <w:trHeight w:val="300"/>
          <w:jc w:val="center"/>
        </w:trPr>
        <w:tc>
          <w:tcPr>
            <w:tcW w:w="0" w:type="auto"/>
            <w:tcBorders>
              <w:top w:val="nil"/>
              <w:left w:val="single" w:sz="4" w:space="0" w:color="A6A6A6"/>
              <w:bottom w:val="single" w:sz="4" w:space="0" w:color="A6A6A6"/>
              <w:right w:val="single" w:sz="4" w:space="0" w:color="A6A6A6"/>
            </w:tcBorders>
            <w:vAlign w:val="center"/>
            <w:hideMark/>
          </w:tcPr>
          <w:p w14:paraId="5459FDC2" w14:textId="77777777" w:rsidR="00B76E04" w:rsidRPr="00953658" w:rsidRDefault="00B76E04" w:rsidP="004C246C">
            <w:pPr>
              <w:spacing w:line="360" w:lineRule="auto"/>
              <w:rPr>
                <w:color w:val="000000"/>
                <w:sz w:val="20"/>
                <w:szCs w:val="20"/>
                <w:lang w:val="es-MX" w:eastAsia="es-MX"/>
              </w:rPr>
            </w:pPr>
            <w:r w:rsidRPr="00953658">
              <w:rPr>
                <w:color w:val="000000"/>
                <w:sz w:val="20"/>
                <w:szCs w:val="20"/>
                <w:lang w:val="es-MX" w:eastAsia="es-MX"/>
              </w:rPr>
              <w:t>Gasto Social</w:t>
            </w:r>
          </w:p>
        </w:tc>
        <w:tc>
          <w:tcPr>
            <w:tcW w:w="0" w:type="auto"/>
            <w:tcBorders>
              <w:top w:val="nil"/>
              <w:left w:val="nil"/>
              <w:bottom w:val="single" w:sz="4" w:space="0" w:color="A6A6A6"/>
              <w:right w:val="single" w:sz="4" w:space="0" w:color="A6A6A6"/>
            </w:tcBorders>
            <w:noWrap/>
            <w:vAlign w:val="center"/>
            <w:hideMark/>
          </w:tcPr>
          <w:p w14:paraId="1B68E80D"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3,151,614,707.00</w:t>
            </w:r>
          </w:p>
        </w:tc>
        <w:tc>
          <w:tcPr>
            <w:tcW w:w="0" w:type="auto"/>
            <w:tcBorders>
              <w:top w:val="nil"/>
              <w:left w:val="nil"/>
              <w:bottom w:val="single" w:sz="4" w:space="0" w:color="A6A6A6"/>
              <w:right w:val="single" w:sz="4" w:space="0" w:color="A6A6A6"/>
            </w:tcBorders>
            <w:noWrap/>
            <w:vAlign w:val="center"/>
            <w:hideMark/>
          </w:tcPr>
          <w:p w14:paraId="229B013B"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3,780,311,966.00</w:t>
            </w:r>
          </w:p>
        </w:tc>
        <w:tc>
          <w:tcPr>
            <w:tcW w:w="0" w:type="auto"/>
            <w:tcBorders>
              <w:top w:val="nil"/>
              <w:left w:val="nil"/>
              <w:bottom w:val="single" w:sz="4" w:space="0" w:color="A6A6A6"/>
              <w:right w:val="single" w:sz="4" w:space="0" w:color="A6A6A6"/>
            </w:tcBorders>
            <w:noWrap/>
            <w:vAlign w:val="center"/>
            <w:hideMark/>
          </w:tcPr>
          <w:p w14:paraId="2F8B0B5A"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628,697,259.00</w:t>
            </w:r>
          </w:p>
        </w:tc>
        <w:tc>
          <w:tcPr>
            <w:tcW w:w="639" w:type="dxa"/>
            <w:tcBorders>
              <w:top w:val="nil"/>
              <w:left w:val="nil"/>
              <w:bottom w:val="single" w:sz="4" w:space="0" w:color="A6A6A6"/>
              <w:right w:val="single" w:sz="4" w:space="0" w:color="A6A6A6"/>
            </w:tcBorders>
            <w:noWrap/>
            <w:vAlign w:val="center"/>
            <w:hideMark/>
          </w:tcPr>
          <w:p w14:paraId="043F4A26" w14:textId="77777777" w:rsidR="00B76E04" w:rsidRPr="00953658" w:rsidRDefault="00B76E04" w:rsidP="004C246C">
            <w:pPr>
              <w:spacing w:line="360" w:lineRule="auto"/>
              <w:jc w:val="center"/>
              <w:rPr>
                <w:color w:val="000000"/>
                <w:sz w:val="20"/>
                <w:szCs w:val="20"/>
                <w:lang w:val="es-MX" w:eastAsia="es-MX"/>
              </w:rPr>
            </w:pPr>
            <w:r w:rsidRPr="00953658">
              <w:rPr>
                <w:color w:val="000000"/>
                <w:sz w:val="20"/>
                <w:szCs w:val="20"/>
                <w:lang w:val="es-MX" w:eastAsia="es-MX"/>
              </w:rPr>
              <w:t>19.9</w:t>
            </w:r>
          </w:p>
        </w:tc>
      </w:tr>
      <w:tr w:rsidR="00B76E04" w:rsidRPr="00953658" w14:paraId="62BE8C12" w14:textId="77777777" w:rsidTr="00A7274D">
        <w:trPr>
          <w:trHeight w:val="382"/>
          <w:jc w:val="center"/>
        </w:trPr>
        <w:tc>
          <w:tcPr>
            <w:tcW w:w="0" w:type="auto"/>
            <w:tcBorders>
              <w:top w:val="nil"/>
              <w:left w:val="single" w:sz="4" w:space="0" w:color="A6A6A6"/>
              <w:bottom w:val="single" w:sz="4" w:space="0" w:color="A6A6A6"/>
              <w:right w:val="single" w:sz="4" w:space="0" w:color="A6A6A6"/>
            </w:tcBorders>
            <w:vAlign w:val="center"/>
            <w:hideMark/>
          </w:tcPr>
          <w:p w14:paraId="721CFB0F" w14:textId="77777777" w:rsidR="00B76E04" w:rsidRPr="00953658" w:rsidRDefault="00B76E04" w:rsidP="004C246C">
            <w:pPr>
              <w:spacing w:line="360" w:lineRule="auto"/>
              <w:rPr>
                <w:color w:val="000000"/>
                <w:sz w:val="20"/>
                <w:szCs w:val="20"/>
                <w:lang w:val="es-MX" w:eastAsia="es-MX"/>
              </w:rPr>
            </w:pPr>
            <w:r w:rsidRPr="00953658">
              <w:rPr>
                <w:color w:val="000000"/>
                <w:sz w:val="20"/>
                <w:szCs w:val="20"/>
                <w:lang w:val="es-MX" w:eastAsia="es-MX"/>
              </w:rPr>
              <w:t>Gobierno y Seguridad</w:t>
            </w:r>
          </w:p>
        </w:tc>
        <w:tc>
          <w:tcPr>
            <w:tcW w:w="0" w:type="auto"/>
            <w:tcBorders>
              <w:top w:val="nil"/>
              <w:left w:val="nil"/>
              <w:bottom w:val="single" w:sz="4" w:space="0" w:color="A6A6A6"/>
              <w:right w:val="single" w:sz="4" w:space="0" w:color="A6A6A6"/>
            </w:tcBorders>
            <w:noWrap/>
            <w:vAlign w:val="center"/>
            <w:hideMark/>
          </w:tcPr>
          <w:p w14:paraId="5CD85074"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1,970,911,466.00</w:t>
            </w:r>
          </w:p>
        </w:tc>
        <w:tc>
          <w:tcPr>
            <w:tcW w:w="0" w:type="auto"/>
            <w:tcBorders>
              <w:top w:val="nil"/>
              <w:left w:val="nil"/>
              <w:bottom w:val="single" w:sz="4" w:space="0" w:color="A6A6A6"/>
              <w:right w:val="single" w:sz="4" w:space="0" w:color="A6A6A6"/>
            </w:tcBorders>
            <w:noWrap/>
            <w:vAlign w:val="center"/>
            <w:hideMark/>
          </w:tcPr>
          <w:p w14:paraId="71936275"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2,138,702,050.00</w:t>
            </w:r>
          </w:p>
        </w:tc>
        <w:tc>
          <w:tcPr>
            <w:tcW w:w="0" w:type="auto"/>
            <w:tcBorders>
              <w:top w:val="nil"/>
              <w:left w:val="nil"/>
              <w:bottom w:val="single" w:sz="4" w:space="0" w:color="A6A6A6"/>
              <w:right w:val="single" w:sz="4" w:space="0" w:color="A6A6A6"/>
            </w:tcBorders>
            <w:noWrap/>
            <w:vAlign w:val="center"/>
            <w:hideMark/>
          </w:tcPr>
          <w:p w14:paraId="3E35070F"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167,790,584.00</w:t>
            </w:r>
          </w:p>
        </w:tc>
        <w:tc>
          <w:tcPr>
            <w:tcW w:w="639" w:type="dxa"/>
            <w:tcBorders>
              <w:top w:val="nil"/>
              <w:left w:val="nil"/>
              <w:bottom w:val="single" w:sz="4" w:space="0" w:color="A6A6A6"/>
              <w:right w:val="single" w:sz="4" w:space="0" w:color="A6A6A6"/>
            </w:tcBorders>
            <w:noWrap/>
            <w:vAlign w:val="center"/>
            <w:hideMark/>
          </w:tcPr>
          <w:p w14:paraId="135C9B4D" w14:textId="77777777" w:rsidR="00B76E04" w:rsidRPr="00953658" w:rsidRDefault="00B76E04" w:rsidP="004C246C">
            <w:pPr>
              <w:spacing w:line="360" w:lineRule="auto"/>
              <w:jc w:val="center"/>
              <w:rPr>
                <w:color w:val="000000"/>
                <w:sz w:val="20"/>
                <w:szCs w:val="20"/>
                <w:lang w:val="es-MX" w:eastAsia="es-MX"/>
              </w:rPr>
            </w:pPr>
            <w:r w:rsidRPr="00953658">
              <w:rPr>
                <w:color w:val="000000"/>
                <w:sz w:val="20"/>
                <w:szCs w:val="20"/>
                <w:lang w:val="es-MX" w:eastAsia="es-MX"/>
              </w:rPr>
              <w:t>8.5</w:t>
            </w:r>
          </w:p>
        </w:tc>
      </w:tr>
      <w:tr w:rsidR="00B76E04" w:rsidRPr="00953658" w14:paraId="4529D898" w14:textId="77777777" w:rsidTr="00A7274D">
        <w:trPr>
          <w:trHeight w:val="429"/>
          <w:jc w:val="center"/>
        </w:trPr>
        <w:tc>
          <w:tcPr>
            <w:tcW w:w="0" w:type="auto"/>
            <w:tcBorders>
              <w:top w:val="nil"/>
              <w:left w:val="single" w:sz="4" w:space="0" w:color="A6A6A6"/>
              <w:bottom w:val="single" w:sz="4" w:space="0" w:color="A6A6A6"/>
              <w:right w:val="single" w:sz="4" w:space="0" w:color="A6A6A6"/>
            </w:tcBorders>
            <w:vAlign w:val="center"/>
            <w:hideMark/>
          </w:tcPr>
          <w:p w14:paraId="43108A19" w14:textId="77777777" w:rsidR="00B76E04" w:rsidRPr="00953658" w:rsidRDefault="00B76E04" w:rsidP="004C246C">
            <w:pPr>
              <w:spacing w:line="360" w:lineRule="auto"/>
              <w:rPr>
                <w:color w:val="000000"/>
                <w:sz w:val="20"/>
                <w:szCs w:val="20"/>
                <w:lang w:val="es-MX" w:eastAsia="es-MX"/>
              </w:rPr>
            </w:pPr>
            <w:r w:rsidRPr="00953658">
              <w:rPr>
                <w:color w:val="000000"/>
                <w:sz w:val="20"/>
                <w:szCs w:val="20"/>
                <w:lang w:val="es-MX" w:eastAsia="es-MX"/>
              </w:rPr>
              <w:t>Economía y Turismo</w:t>
            </w:r>
          </w:p>
        </w:tc>
        <w:tc>
          <w:tcPr>
            <w:tcW w:w="0" w:type="auto"/>
            <w:tcBorders>
              <w:top w:val="nil"/>
              <w:left w:val="nil"/>
              <w:bottom w:val="single" w:sz="4" w:space="0" w:color="A6A6A6"/>
              <w:right w:val="single" w:sz="4" w:space="0" w:color="A6A6A6"/>
            </w:tcBorders>
            <w:noWrap/>
            <w:vAlign w:val="center"/>
            <w:hideMark/>
          </w:tcPr>
          <w:p w14:paraId="6C8EA8B6"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371,237,129.00</w:t>
            </w:r>
          </w:p>
        </w:tc>
        <w:tc>
          <w:tcPr>
            <w:tcW w:w="0" w:type="auto"/>
            <w:tcBorders>
              <w:top w:val="nil"/>
              <w:left w:val="nil"/>
              <w:bottom w:val="single" w:sz="4" w:space="0" w:color="A6A6A6"/>
              <w:right w:val="single" w:sz="4" w:space="0" w:color="A6A6A6"/>
            </w:tcBorders>
            <w:noWrap/>
            <w:vAlign w:val="center"/>
            <w:hideMark/>
          </w:tcPr>
          <w:p w14:paraId="37EB40D5"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429,796,487.00</w:t>
            </w:r>
          </w:p>
        </w:tc>
        <w:tc>
          <w:tcPr>
            <w:tcW w:w="0" w:type="auto"/>
            <w:tcBorders>
              <w:top w:val="nil"/>
              <w:left w:val="nil"/>
              <w:bottom w:val="single" w:sz="4" w:space="0" w:color="A6A6A6"/>
              <w:right w:val="single" w:sz="4" w:space="0" w:color="A6A6A6"/>
            </w:tcBorders>
            <w:noWrap/>
            <w:vAlign w:val="center"/>
            <w:hideMark/>
          </w:tcPr>
          <w:p w14:paraId="572308D0"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58,559,358.00</w:t>
            </w:r>
          </w:p>
        </w:tc>
        <w:tc>
          <w:tcPr>
            <w:tcW w:w="639" w:type="dxa"/>
            <w:tcBorders>
              <w:top w:val="nil"/>
              <w:left w:val="nil"/>
              <w:bottom w:val="single" w:sz="4" w:space="0" w:color="A6A6A6"/>
              <w:right w:val="single" w:sz="4" w:space="0" w:color="A6A6A6"/>
            </w:tcBorders>
            <w:noWrap/>
            <w:vAlign w:val="center"/>
            <w:hideMark/>
          </w:tcPr>
          <w:p w14:paraId="761600CE" w14:textId="77777777" w:rsidR="00B76E04" w:rsidRPr="00953658" w:rsidRDefault="00B76E04" w:rsidP="004C246C">
            <w:pPr>
              <w:spacing w:line="360" w:lineRule="auto"/>
              <w:jc w:val="center"/>
              <w:rPr>
                <w:color w:val="000000"/>
                <w:sz w:val="20"/>
                <w:szCs w:val="20"/>
                <w:lang w:val="es-MX" w:eastAsia="es-MX"/>
              </w:rPr>
            </w:pPr>
            <w:r w:rsidRPr="00953658">
              <w:rPr>
                <w:color w:val="000000"/>
                <w:sz w:val="20"/>
                <w:szCs w:val="20"/>
                <w:lang w:val="es-MX" w:eastAsia="es-MX"/>
              </w:rPr>
              <w:t>15.8</w:t>
            </w:r>
          </w:p>
        </w:tc>
      </w:tr>
      <w:tr w:rsidR="00B76E04" w:rsidRPr="00953658" w14:paraId="39C1A5D9" w14:textId="77777777" w:rsidTr="00A7274D">
        <w:trPr>
          <w:trHeight w:val="300"/>
          <w:jc w:val="center"/>
        </w:trPr>
        <w:tc>
          <w:tcPr>
            <w:tcW w:w="0" w:type="auto"/>
            <w:tcBorders>
              <w:top w:val="nil"/>
              <w:left w:val="single" w:sz="4" w:space="0" w:color="A6A6A6"/>
              <w:bottom w:val="single" w:sz="4" w:space="0" w:color="A6A6A6"/>
              <w:right w:val="single" w:sz="4" w:space="0" w:color="A6A6A6"/>
            </w:tcBorders>
            <w:vAlign w:val="center"/>
            <w:hideMark/>
          </w:tcPr>
          <w:p w14:paraId="71671F80" w14:textId="77777777" w:rsidR="00B76E04" w:rsidRPr="00953658" w:rsidRDefault="00B76E04" w:rsidP="004C246C">
            <w:pPr>
              <w:spacing w:line="360" w:lineRule="auto"/>
              <w:rPr>
                <w:color w:val="000000"/>
                <w:sz w:val="20"/>
                <w:szCs w:val="20"/>
                <w:lang w:val="es-MX" w:eastAsia="es-MX"/>
              </w:rPr>
            </w:pPr>
            <w:r w:rsidRPr="00953658">
              <w:rPr>
                <w:color w:val="000000"/>
                <w:sz w:val="20"/>
                <w:szCs w:val="20"/>
                <w:lang w:val="es-MX" w:eastAsia="es-MX"/>
              </w:rPr>
              <w:t>Administración</w:t>
            </w:r>
          </w:p>
        </w:tc>
        <w:tc>
          <w:tcPr>
            <w:tcW w:w="0" w:type="auto"/>
            <w:tcBorders>
              <w:top w:val="nil"/>
              <w:left w:val="nil"/>
              <w:bottom w:val="single" w:sz="4" w:space="0" w:color="A6A6A6"/>
              <w:right w:val="single" w:sz="4" w:space="0" w:color="A6A6A6"/>
            </w:tcBorders>
            <w:noWrap/>
            <w:vAlign w:val="center"/>
            <w:hideMark/>
          </w:tcPr>
          <w:p w14:paraId="1C305B00"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1,336,043,173.00</w:t>
            </w:r>
          </w:p>
        </w:tc>
        <w:tc>
          <w:tcPr>
            <w:tcW w:w="0" w:type="auto"/>
            <w:tcBorders>
              <w:top w:val="nil"/>
              <w:left w:val="nil"/>
              <w:bottom w:val="single" w:sz="4" w:space="0" w:color="A6A6A6"/>
              <w:right w:val="single" w:sz="4" w:space="0" w:color="A6A6A6"/>
            </w:tcBorders>
            <w:noWrap/>
            <w:vAlign w:val="center"/>
            <w:hideMark/>
          </w:tcPr>
          <w:p w14:paraId="061FDF41"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1,445,462,249.00</w:t>
            </w:r>
          </w:p>
        </w:tc>
        <w:tc>
          <w:tcPr>
            <w:tcW w:w="0" w:type="auto"/>
            <w:tcBorders>
              <w:top w:val="nil"/>
              <w:left w:val="nil"/>
              <w:bottom w:val="single" w:sz="4" w:space="0" w:color="A6A6A6"/>
              <w:right w:val="single" w:sz="4" w:space="0" w:color="A6A6A6"/>
            </w:tcBorders>
            <w:noWrap/>
            <w:vAlign w:val="center"/>
            <w:hideMark/>
          </w:tcPr>
          <w:p w14:paraId="0FC46256" w14:textId="77777777" w:rsidR="00B76E04" w:rsidRPr="00953658" w:rsidRDefault="00B76E04" w:rsidP="004C246C">
            <w:pPr>
              <w:spacing w:line="360" w:lineRule="auto"/>
              <w:jc w:val="right"/>
              <w:rPr>
                <w:color w:val="000000"/>
                <w:sz w:val="20"/>
                <w:szCs w:val="20"/>
                <w:lang w:val="es-MX" w:eastAsia="es-MX"/>
              </w:rPr>
            </w:pPr>
            <w:r w:rsidRPr="00953658">
              <w:rPr>
                <w:color w:val="000000"/>
                <w:sz w:val="20"/>
                <w:szCs w:val="20"/>
                <w:lang w:val="es-MX" w:eastAsia="es-MX"/>
              </w:rPr>
              <w:t>109,419,076.00</w:t>
            </w:r>
          </w:p>
        </w:tc>
        <w:tc>
          <w:tcPr>
            <w:tcW w:w="639" w:type="dxa"/>
            <w:tcBorders>
              <w:top w:val="nil"/>
              <w:left w:val="nil"/>
              <w:bottom w:val="single" w:sz="4" w:space="0" w:color="A6A6A6"/>
              <w:right w:val="single" w:sz="4" w:space="0" w:color="A6A6A6"/>
            </w:tcBorders>
            <w:noWrap/>
            <w:vAlign w:val="center"/>
            <w:hideMark/>
          </w:tcPr>
          <w:p w14:paraId="7BFD26AD" w14:textId="77777777" w:rsidR="00B76E04" w:rsidRPr="00953658" w:rsidRDefault="00B76E04" w:rsidP="004C246C">
            <w:pPr>
              <w:spacing w:line="360" w:lineRule="auto"/>
              <w:jc w:val="center"/>
              <w:rPr>
                <w:color w:val="000000"/>
                <w:sz w:val="20"/>
                <w:szCs w:val="20"/>
                <w:lang w:val="es-MX" w:eastAsia="es-MX"/>
              </w:rPr>
            </w:pPr>
            <w:r w:rsidRPr="00953658">
              <w:rPr>
                <w:color w:val="000000"/>
                <w:sz w:val="20"/>
                <w:szCs w:val="20"/>
                <w:lang w:val="es-MX" w:eastAsia="es-MX"/>
              </w:rPr>
              <w:t>8.2</w:t>
            </w:r>
          </w:p>
        </w:tc>
      </w:tr>
      <w:tr w:rsidR="00B76E04" w:rsidRPr="00953658" w14:paraId="318970CE" w14:textId="77777777" w:rsidTr="00A7274D">
        <w:trPr>
          <w:trHeight w:val="300"/>
          <w:jc w:val="center"/>
        </w:trPr>
        <w:tc>
          <w:tcPr>
            <w:tcW w:w="0" w:type="auto"/>
            <w:tcBorders>
              <w:top w:val="nil"/>
              <w:left w:val="single" w:sz="4" w:space="0" w:color="A6A6A6"/>
              <w:bottom w:val="single" w:sz="4" w:space="0" w:color="A6A6A6"/>
              <w:right w:val="single" w:sz="4" w:space="0" w:color="A6A6A6"/>
            </w:tcBorders>
            <w:shd w:val="clear" w:color="000000" w:fill="D9D9D9"/>
            <w:noWrap/>
            <w:vAlign w:val="center"/>
            <w:hideMark/>
          </w:tcPr>
          <w:p w14:paraId="550437FE" w14:textId="77777777" w:rsidR="00B76E04" w:rsidRPr="00953658" w:rsidRDefault="00B76E04" w:rsidP="004C246C">
            <w:pPr>
              <w:spacing w:line="360" w:lineRule="auto"/>
              <w:rPr>
                <w:b/>
                <w:bCs/>
                <w:color w:val="000000"/>
                <w:sz w:val="20"/>
                <w:szCs w:val="20"/>
                <w:lang w:val="es-MX" w:eastAsia="es-MX"/>
              </w:rPr>
            </w:pPr>
            <w:r w:rsidRPr="00953658">
              <w:rPr>
                <w:b/>
                <w:bCs/>
                <w:color w:val="000000"/>
                <w:sz w:val="20"/>
                <w:szCs w:val="20"/>
                <w:lang w:val="es-MX" w:eastAsia="es-MX"/>
              </w:rPr>
              <w:t>TOTAL</w:t>
            </w:r>
          </w:p>
        </w:tc>
        <w:tc>
          <w:tcPr>
            <w:tcW w:w="0" w:type="auto"/>
            <w:tcBorders>
              <w:top w:val="nil"/>
              <w:left w:val="nil"/>
              <w:bottom w:val="single" w:sz="4" w:space="0" w:color="A6A6A6"/>
              <w:right w:val="single" w:sz="4" w:space="0" w:color="A6A6A6"/>
            </w:tcBorders>
            <w:shd w:val="clear" w:color="000000" w:fill="D9D9D9"/>
            <w:noWrap/>
            <w:vAlign w:val="center"/>
            <w:hideMark/>
          </w:tcPr>
          <w:p w14:paraId="1DE4F407" w14:textId="77777777" w:rsidR="00B76E04" w:rsidRPr="00953658" w:rsidRDefault="00B76E04" w:rsidP="004C246C">
            <w:pPr>
              <w:spacing w:line="360" w:lineRule="auto"/>
              <w:jc w:val="right"/>
              <w:rPr>
                <w:b/>
                <w:bCs/>
                <w:color w:val="000000"/>
                <w:sz w:val="20"/>
                <w:szCs w:val="20"/>
                <w:lang w:val="es-MX" w:eastAsia="es-MX"/>
              </w:rPr>
            </w:pPr>
            <w:r w:rsidRPr="00953658">
              <w:rPr>
                <w:b/>
                <w:bCs/>
                <w:color w:val="000000"/>
                <w:sz w:val="20"/>
                <w:szCs w:val="20"/>
                <w:lang w:val="es-MX" w:eastAsia="es-MX"/>
              </w:rPr>
              <w:t>20,589,509,722.00</w:t>
            </w:r>
          </w:p>
        </w:tc>
        <w:tc>
          <w:tcPr>
            <w:tcW w:w="0" w:type="auto"/>
            <w:tcBorders>
              <w:top w:val="nil"/>
              <w:left w:val="nil"/>
              <w:bottom w:val="single" w:sz="4" w:space="0" w:color="A6A6A6"/>
              <w:right w:val="single" w:sz="4" w:space="0" w:color="A6A6A6"/>
            </w:tcBorders>
            <w:shd w:val="clear" w:color="000000" w:fill="D9D9D9"/>
            <w:noWrap/>
            <w:vAlign w:val="center"/>
            <w:hideMark/>
          </w:tcPr>
          <w:p w14:paraId="73726178" w14:textId="77777777" w:rsidR="00B76E04" w:rsidRPr="00953658" w:rsidRDefault="00B76E04" w:rsidP="004C246C">
            <w:pPr>
              <w:spacing w:line="360" w:lineRule="auto"/>
              <w:jc w:val="right"/>
              <w:rPr>
                <w:b/>
                <w:bCs/>
                <w:color w:val="000000"/>
                <w:sz w:val="20"/>
                <w:szCs w:val="20"/>
                <w:lang w:val="es-MX" w:eastAsia="es-MX"/>
              </w:rPr>
            </w:pPr>
            <w:r w:rsidRPr="00953658">
              <w:rPr>
                <w:b/>
                <w:bCs/>
                <w:color w:val="000000"/>
                <w:sz w:val="20"/>
                <w:szCs w:val="20"/>
                <w:lang w:val="es-MX" w:eastAsia="es-MX"/>
              </w:rPr>
              <w:t>21,878,786,048.00</w:t>
            </w:r>
          </w:p>
        </w:tc>
        <w:tc>
          <w:tcPr>
            <w:tcW w:w="0" w:type="auto"/>
            <w:tcBorders>
              <w:top w:val="nil"/>
              <w:left w:val="nil"/>
              <w:bottom w:val="single" w:sz="4" w:space="0" w:color="A6A6A6"/>
              <w:right w:val="single" w:sz="4" w:space="0" w:color="A6A6A6"/>
            </w:tcBorders>
            <w:shd w:val="clear" w:color="000000" w:fill="D9D9D9"/>
            <w:noWrap/>
            <w:vAlign w:val="center"/>
            <w:hideMark/>
          </w:tcPr>
          <w:p w14:paraId="061229E4" w14:textId="77777777" w:rsidR="00B76E04" w:rsidRPr="00953658" w:rsidRDefault="00B76E04" w:rsidP="004C246C">
            <w:pPr>
              <w:spacing w:line="360" w:lineRule="auto"/>
              <w:jc w:val="right"/>
              <w:rPr>
                <w:b/>
                <w:bCs/>
                <w:color w:val="000000"/>
                <w:sz w:val="20"/>
                <w:szCs w:val="20"/>
                <w:lang w:val="es-MX" w:eastAsia="es-MX"/>
              </w:rPr>
            </w:pPr>
            <w:r w:rsidRPr="00953658">
              <w:rPr>
                <w:b/>
                <w:bCs/>
                <w:color w:val="000000"/>
                <w:sz w:val="20"/>
                <w:szCs w:val="20"/>
                <w:lang w:val="es-MX" w:eastAsia="es-MX"/>
              </w:rPr>
              <w:t>1,289,276,326.00</w:t>
            </w:r>
          </w:p>
        </w:tc>
        <w:tc>
          <w:tcPr>
            <w:tcW w:w="639" w:type="dxa"/>
            <w:tcBorders>
              <w:top w:val="nil"/>
              <w:left w:val="nil"/>
              <w:bottom w:val="single" w:sz="4" w:space="0" w:color="A6A6A6"/>
              <w:right w:val="single" w:sz="4" w:space="0" w:color="A6A6A6"/>
            </w:tcBorders>
            <w:shd w:val="clear" w:color="000000" w:fill="D9D9D9"/>
            <w:noWrap/>
            <w:vAlign w:val="center"/>
            <w:hideMark/>
          </w:tcPr>
          <w:p w14:paraId="01DDB585" w14:textId="77777777" w:rsidR="00B76E04" w:rsidRPr="00953658" w:rsidRDefault="00B76E04" w:rsidP="004C246C">
            <w:pPr>
              <w:spacing w:line="360" w:lineRule="auto"/>
              <w:jc w:val="center"/>
              <w:rPr>
                <w:b/>
                <w:bCs/>
                <w:color w:val="000000"/>
                <w:sz w:val="20"/>
                <w:szCs w:val="20"/>
                <w:lang w:val="es-MX" w:eastAsia="es-MX"/>
              </w:rPr>
            </w:pPr>
            <w:r w:rsidRPr="00953658">
              <w:rPr>
                <w:b/>
                <w:bCs/>
                <w:color w:val="000000"/>
                <w:sz w:val="20"/>
                <w:szCs w:val="20"/>
                <w:lang w:val="es-MX" w:eastAsia="es-MX"/>
              </w:rPr>
              <w:t>6.3</w:t>
            </w:r>
          </w:p>
        </w:tc>
      </w:tr>
    </w:tbl>
    <w:p w14:paraId="00B95F3E" w14:textId="77777777" w:rsidR="00B76E04" w:rsidRDefault="00B76E04" w:rsidP="004C246C">
      <w:pPr>
        <w:spacing w:line="360" w:lineRule="auto"/>
        <w:jc w:val="center"/>
        <w:rPr>
          <w:rFonts w:eastAsia="Calibri"/>
          <w:b/>
          <w:sz w:val="20"/>
          <w:szCs w:val="20"/>
        </w:rPr>
      </w:pPr>
    </w:p>
    <w:p w14:paraId="54A5A110" w14:textId="77777777" w:rsidR="007607E0" w:rsidRDefault="00B76E04" w:rsidP="007607E0">
      <w:pPr>
        <w:spacing w:line="360" w:lineRule="auto"/>
        <w:jc w:val="both"/>
        <w:rPr>
          <w:rFonts w:eastAsia="Calibri"/>
          <w:bCs/>
          <w:sz w:val="20"/>
          <w:szCs w:val="20"/>
        </w:rPr>
      </w:pPr>
      <w:r w:rsidRPr="000C12DF">
        <w:rPr>
          <w:rFonts w:eastAsia="Calibri"/>
          <w:sz w:val="20"/>
          <w:szCs w:val="20"/>
        </w:rPr>
        <w:lastRenderedPageBreak/>
        <w:t>Como se puede observar en el cuadro anterior, el mayor incremento nominal está destinado a Educación, con un total de presupuesto de $1</w:t>
      </w:r>
      <w:r>
        <w:rPr>
          <w:rFonts w:eastAsia="Calibri"/>
          <w:sz w:val="20"/>
          <w:szCs w:val="20"/>
        </w:rPr>
        <w:t>1</w:t>
      </w:r>
      <w:r w:rsidRPr="000C12DF">
        <w:rPr>
          <w:rFonts w:eastAsia="Calibri"/>
          <w:sz w:val="20"/>
          <w:szCs w:val="20"/>
        </w:rPr>
        <w:t>,7</w:t>
      </w:r>
      <w:r>
        <w:rPr>
          <w:rFonts w:eastAsia="Calibri"/>
          <w:sz w:val="20"/>
          <w:szCs w:val="20"/>
        </w:rPr>
        <w:t>03</w:t>
      </w:r>
      <w:r w:rsidRPr="000C12DF">
        <w:rPr>
          <w:rFonts w:eastAsia="Calibri"/>
          <w:sz w:val="20"/>
          <w:szCs w:val="20"/>
        </w:rPr>
        <w:t>,</w:t>
      </w:r>
      <w:r>
        <w:rPr>
          <w:rFonts w:eastAsia="Calibri"/>
          <w:sz w:val="20"/>
          <w:szCs w:val="20"/>
        </w:rPr>
        <w:t>778</w:t>
      </w:r>
      <w:r w:rsidRPr="000C12DF">
        <w:rPr>
          <w:rFonts w:eastAsia="Calibri"/>
          <w:sz w:val="20"/>
          <w:szCs w:val="20"/>
        </w:rPr>
        <w:t>,</w:t>
      </w:r>
      <w:r>
        <w:rPr>
          <w:rFonts w:eastAsia="Calibri"/>
          <w:sz w:val="20"/>
          <w:szCs w:val="20"/>
        </w:rPr>
        <w:t>28</w:t>
      </w:r>
      <w:r w:rsidRPr="000C12DF">
        <w:rPr>
          <w:rFonts w:eastAsia="Calibri"/>
          <w:sz w:val="20"/>
          <w:szCs w:val="20"/>
        </w:rPr>
        <w:t>8.00, el cual incluye presupuesto destina</w:t>
      </w:r>
      <w:r>
        <w:rPr>
          <w:rFonts w:eastAsia="Calibri"/>
          <w:sz w:val="20"/>
          <w:szCs w:val="20"/>
        </w:rPr>
        <w:t>do a las aportaciones de convenios de apoyo financiero</w:t>
      </w:r>
      <w:r w:rsidRPr="000C12DF">
        <w:rPr>
          <w:rFonts w:eastAsia="Calibri"/>
          <w:sz w:val="20"/>
          <w:szCs w:val="20"/>
        </w:rPr>
        <w:t xml:space="preserve">; así mismo, </w:t>
      </w:r>
      <w:r>
        <w:rPr>
          <w:rFonts w:eastAsia="Calibri"/>
          <w:sz w:val="20"/>
          <w:szCs w:val="20"/>
        </w:rPr>
        <w:t xml:space="preserve">se destinan recursos para complementar la Olimpiada Nacional 2026, así como los juegos </w:t>
      </w:r>
      <w:proofErr w:type="spellStart"/>
      <w:r>
        <w:rPr>
          <w:rFonts w:eastAsia="Calibri"/>
          <w:sz w:val="20"/>
          <w:szCs w:val="20"/>
        </w:rPr>
        <w:t>Paracentroamericanos</w:t>
      </w:r>
      <w:proofErr w:type="spellEnd"/>
      <w:r>
        <w:rPr>
          <w:rFonts w:eastAsia="Calibri"/>
          <w:sz w:val="20"/>
          <w:szCs w:val="20"/>
        </w:rPr>
        <w:t>; seguido de</w:t>
      </w:r>
      <w:r w:rsidRPr="000C12DF">
        <w:rPr>
          <w:rFonts w:eastAsia="Calibri"/>
          <w:sz w:val="20"/>
          <w:szCs w:val="20"/>
        </w:rPr>
        <w:t xml:space="preserve">l Gasto Social que se integra por acciones destinadas a </w:t>
      </w:r>
      <w:r w:rsidRPr="005604E7">
        <w:rPr>
          <w:rFonts w:eastAsia="Calibri"/>
          <w:sz w:val="20"/>
          <w:szCs w:val="20"/>
        </w:rPr>
        <w:t xml:space="preserve">Infraestructura; Subsidios para Maquinaria, Seguro Agrícola </w:t>
      </w:r>
      <w:r>
        <w:rPr>
          <w:rFonts w:eastAsia="Calibri"/>
          <w:sz w:val="20"/>
          <w:szCs w:val="20"/>
        </w:rPr>
        <w:t>y Subsidios para</w:t>
      </w:r>
      <w:r w:rsidRPr="005604E7">
        <w:rPr>
          <w:rFonts w:eastAsia="Calibri"/>
          <w:sz w:val="20"/>
          <w:szCs w:val="20"/>
        </w:rPr>
        <w:t xml:space="preserve"> Cap</w:t>
      </w:r>
      <w:r>
        <w:rPr>
          <w:rFonts w:eastAsia="Calibri"/>
          <w:sz w:val="20"/>
          <w:szCs w:val="20"/>
        </w:rPr>
        <w:t>tación</w:t>
      </w:r>
      <w:r w:rsidRPr="005604E7">
        <w:rPr>
          <w:rFonts w:eastAsia="Calibri"/>
          <w:sz w:val="20"/>
          <w:szCs w:val="20"/>
        </w:rPr>
        <w:t xml:space="preserve"> Móvil</w:t>
      </w:r>
      <w:r>
        <w:rPr>
          <w:rFonts w:eastAsia="Calibri"/>
          <w:sz w:val="20"/>
          <w:szCs w:val="20"/>
        </w:rPr>
        <w:t>, así como para Fomento e Innovación Agrícola</w:t>
      </w:r>
      <w:r w:rsidR="007607E0">
        <w:rPr>
          <w:rFonts w:eastAsia="Calibri"/>
          <w:sz w:val="20"/>
          <w:szCs w:val="20"/>
        </w:rPr>
        <w:t>;</w:t>
      </w:r>
      <w:r>
        <w:rPr>
          <w:rFonts w:eastAsia="Calibri"/>
          <w:sz w:val="20"/>
          <w:szCs w:val="20"/>
        </w:rPr>
        <w:t xml:space="preserve"> y</w:t>
      </w:r>
      <w:r w:rsidRPr="005604E7">
        <w:rPr>
          <w:rFonts w:eastAsia="Calibri"/>
          <w:sz w:val="20"/>
          <w:szCs w:val="20"/>
        </w:rPr>
        <w:t xml:space="preserve"> proyectos destinados para la mujer; ampliación al albergue para la niñez migrante Acompañada y No Acompañada;</w:t>
      </w:r>
      <w:r w:rsidRPr="000C12DF">
        <w:rPr>
          <w:rFonts w:eastAsia="Calibri"/>
          <w:sz w:val="20"/>
          <w:szCs w:val="20"/>
        </w:rPr>
        <w:t xml:space="preserve"> con la finalidad de generar un tejido social entre la ciudadanía tlaxcalteca y reducir las brechas de desigualdad, la Secretaría de Bienestar continúa con </w:t>
      </w:r>
      <w:r>
        <w:rPr>
          <w:rFonts w:eastAsia="Calibri"/>
          <w:sz w:val="20"/>
          <w:szCs w:val="20"/>
        </w:rPr>
        <w:t xml:space="preserve">acciones para combatir </w:t>
      </w:r>
      <w:r w:rsidRPr="00C629DA">
        <w:rPr>
          <w:rFonts w:eastAsia="Calibri"/>
          <w:sz w:val="20"/>
          <w:szCs w:val="20"/>
        </w:rPr>
        <w:t>la carencia alimentaria y mejorar el acceso a la salud, seguridad social, vivienda y apoyo al empleo; conforme a los programas de la Sociedad Organizada para el Bienestar, Desarrollo Comunitario y Bienestar de Pueblos Originarios, Bienestar y Desarrollo Integral, y Vivienda digna y Servicios Básicos; apoyos económicos a mujeres</w:t>
      </w:r>
      <w:r>
        <w:rPr>
          <w:rFonts w:eastAsia="Calibri"/>
          <w:sz w:val="20"/>
          <w:szCs w:val="20"/>
        </w:rPr>
        <w:t>, se destinan recursos para la Ciudad DIF</w:t>
      </w:r>
      <w:r w:rsidR="00CC11DA">
        <w:rPr>
          <w:rFonts w:eastAsia="Calibri"/>
          <w:sz w:val="20"/>
          <w:szCs w:val="20"/>
        </w:rPr>
        <w:t>.</w:t>
      </w:r>
      <w:r w:rsidR="007607E0">
        <w:rPr>
          <w:rFonts w:eastAsia="Calibri"/>
          <w:sz w:val="20"/>
          <w:szCs w:val="20"/>
        </w:rPr>
        <w:t xml:space="preserve"> </w:t>
      </w:r>
      <w:r w:rsidR="007607E0" w:rsidRPr="004A4DCA">
        <w:rPr>
          <w:rFonts w:eastAsia="Calibri"/>
          <w:sz w:val="20"/>
          <w:szCs w:val="20"/>
        </w:rPr>
        <w:t>En el Sector Gobierno y Seguridad, se continúa</w:t>
      </w:r>
      <w:r w:rsidR="007607E0">
        <w:rPr>
          <w:rFonts w:eastAsia="Calibri"/>
          <w:sz w:val="20"/>
          <w:szCs w:val="20"/>
        </w:rPr>
        <w:t xml:space="preserve"> con la cuarta etapa</w:t>
      </w:r>
      <w:r w:rsidR="007607E0" w:rsidRPr="004A4DCA">
        <w:rPr>
          <w:rFonts w:eastAsia="Calibri"/>
          <w:sz w:val="20"/>
          <w:szCs w:val="20"/>
        </w:rPr>
        <w:t xml:space="preserve"> de </w:t>
      </w:r>
      <w:r w:rsidR="007607E0" w:rsidRPr="006F2642">
        <w:rPr>
          <w:rFonts w:eastAsia="Calibri"/>
          <w:sz w:val="20"/>
          <w:szCs w:val="20"/>
        </w:rPr>
        <w:t xml:space="preserve">Centros de </w:t>
      </w:r>
      <w:r w:rsidR="007607E0">
        <w:rPr>
          <w:rFonts w:eastAsia="Calibri"/>
          <w:sz w:val="20"/>
          <w:szCs w:val="20"/>
        </w:rPr>
        <w:t xml:space="preserve">Control y </w:t>
      </w:r>
      <w:r w:rsidR="007607E0" w:rsidRPr="006F2642">
        <w:rPr>
          <w:rFonts w:eastAsia="Calibri"/>
          <w:sz w:val="20"/>
          <w:szCs w:val="20"/>
        </w:rPr>
        <w:t>Comando para los Municipios</w:t>
      </w:r>
      <w:r w:rsidR="007607E0">
        <w:rPr>
          <w:rFonts w:eastAsia="Calibri"/>
          <w:sz w:val="20"/>
          <w:szCs w:val="20"/>
        </w:rPr>
        <w:t xml:space="preserve"> (12 centros)</w:t>
      </w:r>
      <w:r w:rsidR="007607E0" w:rsidRPr="006F2642">
        <w:rPr>
          <w:rFonts w:eastAsia="Calibri"/>
          <w:bCs/>
          <w:sz w:val="20"/>
          <w:szCs w:val="20"/>
        </w:rPr>
        <w:t xml:space="preserve">, </w:t>
      </w:r>
      <w:r w:rsidR="007607E0" w:rsidRPr="00467EA9">
        <w:rPr>
          <w:rFonts w:eastAsia="Calibri"/>
          <w:bCs/>
          <w:sz w:val="20"/>
          <w:szCs w:val="20"/>
        </w:rPr>
        <w:t>Escuela Segura.</w:t>
      </w:r>
      <w:r w:rsidR="007607E0">
        <w:rPr>
          <w:rFonts w:eastAsia="Calibri"/>
          <w:bCs/>
          <w:sz w:val="20"/>
          <w:szCs w:val="20"/>
        </w:rPr>
        <w:t xml:space="preserve"> Para el Sector de Economía y Turismo se destinan recursos para placas y licencias para conducir; se consideran recursos para FITUR.</w:t>
      </w:r>
    </w:p>
    <w:p w14:paraId="0743D980" w14:textId="77777777" w:rsidR="004C246C" w:rsidRDefault="004C246C" w:rsidP="004C246C">
      <w:pPr>
        <w:spacing w:line="360" w:lineRule="auto"/>
        <w:jc w:val="both"/>
        <w:rPr>
          <w:rFonts w:eastAsia="Calibri"/>
          <w:sz w:val="20"/>
          <w:szCs w:val="20"/>
        </w:rPr>
      </w:pPr>
    </w:p>
    <w:p w14:paraId="730328F9" w14:textId="4F36E033" w:rsidR="00CC11DA" w:rsidRDefault="00CC11DA" w:rsidP="004C246C">
      <w:pPr>
        <w:spacing w:line="360" w:lineRule="auto"/>
        <w:jc w:val="both"/>
        <w:rPr>
          <w:rFonts w:eastAsia="Calibri"/>
          <w:sz w:val="20"/>
          <w:szCs w:val="20"/>
        </w:rPr>
      </w:pPr>
      <w:r w:rsidRPr="00F31108">
        <w:rPr>
          <w:rFonts w:eastAsia="Calibri"/>
          <w:sz w:val="20"/>
          <w:szCs w:val="20"/>
        </w:rPr>
        <w:t xml:space="preserve">Derivado de la firma del Convenio de Coordinación que establece la forma de colaboración en materia de personal, infraestructura, equipamiento, medicamentos y demás insumos asociados para la prestación gratuita de servicios de salud, para las personas sin seguridad social en el Estado de Tlaxcala, el cual </w:t>
      </w:r>
      <w:r w:rsidRPr="0058057E">
        <w:rPr>
          <w:rFonts w:eastAsia="Calibri"/>
          <w:sz w:val="20"/>
          <w:szCs w:val="20"/>
        </w:rPr>
        <w:t xml:space="preserve">implicó la incorporación de 1,350 plazas federales y el gasto de operación correspondiente a 218 CLUES. Para el ejercicio fiscal 2026, y considerando las adecuaciones presupuestales necesarias, los recursos del Fondo de Aportaciones para los Servicios de Salud (FASSA) serán canalizados directamente al organismo público </w:t>
      </w:r>
      <w:r>
        <w:rPr>
          <w:rFonts w:eastAsia="Calibri"/>
          <w:sz w:val="20"/>
          <w:szCs w:val="20"/>
        </w:rPr>
        <w:t xml:space="preserve">descentralizado </w:t>
      </w:r>
      <w:r w:rsidRPr="0058057E">
        <w:rPr>
          <w:rFonts w:eastAsia="Calibri"/>
          <w:sz w:val="20"/>
          <w:szCs w:val="20"/>
        </w:rPr>
        <w:t xml:space="preserve">IMSS-BIENESTAR, conforme al nuevo esquema de coordinación establecido entre la Federación y el </w:t>
      </w:r>
      <w:r>
        <w:rPr>
          <w:rFonts w:eastAsia="Calibri"/>
          <w:sz w:val="20"/>
          <w:szCs w:val="20"/>
        </w:rPr>
        <w:t>E</w:t>
      </w:r>
      <w:r w:rsidRPr="0058057E">
        <w:rPr>
          <w:rFonts w:eastAsia="Calibri"/>
          <w:sz w:val="20"/>
          <w:szCs w:val="20"/>
        </w:rPr>
        <w:t>stado</w:t>
      </w:r>
      <w:r>
        <w:rPr>
          <w:rFonts w:eastAsia="Calibri"/>
          <w:sz w:val="20"/>
          <w:szCs w:val="20"/>
        </w:rPr>
        <w:t>, razón por la cual el Sector Salud se ve disminuido.</w:t>
      </w:r>
    </w:p>
    <w:p w14:paraId="791DFC74" w14:textId="77777777" w:rsidR="004C246C" w:rsidRDefault="004C246C" w:rsidP="004C246C">
      <w:pPr>
        <w:spacing w:line="360" w:lineRule="auto"/>
        <w:jc w:val="both"/>
        <w:rPr>
          <w:rFonts w:eastAsia="Calibri"/>
          <w:bCs/>
          <w:sz w:val="20"/>
          <w:szCs w:val="20"/>
        </w:rPr>
      </w:pPr>
    </w:p>
    <w:p w14:paraId="712F1C1A" w14:textId="77777777" w:rsidR="005838DD" w:rsidRDefault="005838DD" w:rsidP="004C246C">
      <w:pPr>
        <w:spacing w:line="360" w:lineRule="auto"/>
        <w:jc w:val="both"/>
        <w:rPr>
          <w:rFonts w:eastAsia="Calibri"/>
          <w:bCs/>
          <w:sz w:val="20"/>
          <w:szCs w:val="20"/>
        </w:rPr>
      </w:pPr>
    </w:p>
    <w:p w14:paraId="77583405" w14:textId="77777777" w:rsidR="005838DD" w:rsidRDefault="005838DD" w:rsidP="004C246C">
      <w:pPr>
        <w:spacing w:line="360" w:lineRule="auto"/>
        <w:jc w:val="both"/>
        <w:rPr>
          <w:rFonts w:eastAsia="Calibri"/>
          <w:bCs/>
          <w:sz w:val="20"/>
          <w:szCs w:val="20"/>
        </w:rPr>
      </w:pPr>
    </w:p>
    <w:p w14:paraId="1417F4D8" w14:textId="77777777" w:rsidR="005838DD" w:rsidRDefault="005838DD" w:rsidP="004C246C">
      <w:pPr>
        <w:spacing w:line="360" w:lineRule="auto"/>
        <w:jc w:val="both"/>
        <w:rPr>
          <w:rFonts w:eastAsia="Calibri"/>
          <w:bCs/>
          <w:sz w:val="20"/>
          <w:szCs w:val="20"/>
        </w:rPr>
      </w:pPr>
    </w:p>
    <w:p w14:paraId="3041D178" w14:textId="77777777" w:rsidR="005838DD" w:rsidRDefault="005838DD" w:rsidP="004C246C">
      <w:pPr>
        <w:spacing w:line="360" w:lineRule="auto"/>
        <w:jc w:val="both"/>
        <w:rPr>
          <w:rFonts w:eastAsia="Calibri"/>
          <w:bCs/>
          <w:sz w:val="20"/>
          <w:szCs w:val="20"/>
        </w:rPr>
      </w:pPr>
    </w:p>
    <w:p w14:paraId="73D4A363" w14:textId="77777777" w:rsidR="005838DD" w:rsidRDefault="005838DD" w:rsidP="004C246C">
      <w:pPr>
        <w:spacing w:line="360" w:lineRule="auto"/>
        <w:jc w:val="both"/>
        <w:rPr>
          <w:rFonts w:eastAsia="Calibri"/>
          <w:bCs/>
          <w:sz w:val="20"/>
          <w:szCs w:val="20"/>
        </w:rPr>
      </w:pPr>
    </w:p>
    <w:p w14:paraId="22477079" w14:textId="77777777" w:rsidR="005838DD" w:rsidRDefault="005838DD" w:rsidP="004C246C">
      <w:pPr>
        <w:spacing w:line="360" w:lineRule="auto"/>
        <w:jc w:val="both"/>
        <w:rPr>
          <w:rFonts w:eastAsia="Calibri"/>
          <w:bCs/>
          <w:sz w:val="20"/>
          <w:szCs w:val="20"/>
        </w:rPr>
      </w:pPr>
    </w:p>
    <w:p w14:paraId="425C51FC" w14:textId="77777777" w:rsidR="005838DD" w:rsidRPr="00C629DA" w:rsidRDefault="005838DD" w:rsidP="004C246C">
      <w:pPr>
        <w:spacing w:line="360" w:lineRule="auto"/>
        <w:jc w:val="both"/>
        <w:rPr>
          <w:rFonts w:eastAsia="Calibri"/>
          <w:bCs/>
          <w:sz w:val="20"/>
          <w:szCs w:val="20"/>
        </w:rPr>
      </w:pPr>
    </w:p>
    <w:p w14:paraId="280258E8" w14:textId="77777777" w:rsidR="00B76E04" w:rsidRDefault="00B76E04" w:rsidP="004C246C">
      <w:pPr>
        <w:spacing w:line="360" w:lineRule="auto"/>
        <w:jc w:val="center"/>
        <w:rPr>
          <w:rFonts w:eastAsia="Calibri"/>
          <w:b/>
          <w:sz w:val="20"/>
          <w:szCs w:val="20"/>
        </w:rPr>
      </w:pPr>
      <w:r>
        <w:rPr>
          <w:rFonts w:eastAsia="Calibri"/>
          <w:b/>
          <w:sz w:val="20"/>
          <w:szCs w:val="20"/>
        </w:rPr>
        <w:lastRenderedPageBreak/>
        <w:t>PODERES Y ÓRGANOS AUTÓNOMOS</w:t>
      </w:r>
    </w:p>
    <w:tbl>
      <w:tblPr>
        <w:tblW w:w="5000" w:type="pct"/>
        <w:tblCellMar>
          <w:left w:w="70" w:type="dxa"/>
          <w:right w:w="70" w:type="dxa"/>
        </w:tblCellMar>
        <w:tblLook w:val="04A0" w:firstRow="1" w:lastRow="0" w:firstColumn="1" w:lastColumn="0" w:noHBand="0" w:noVBand="1"/>
      </w:tblPr>
      <w:tblGrid>
        <w:gridCol w:w="2708"/>
        <w:gridCol w:w="1957"/>
        <w:gridCol w:w="1843"/>
        <w:gridCol w:w="1639"/>
      </w:tblGrid>
      <w:tr w:rsidR="00B76E04" w:rsidRPr="005030BF" w14:paraId="6476B2C9" w14:textId="77777777" w:rsidTr="00A7274D">
        <w:trPr>
          <w:trHeight w:val="510"/>
          <w:tblHeader/>
        </w:trPr>
        <w:tc>
          <w:tcPr>
            <w:tcW w:w="1662" w:type="pct"/>
            <w:vMerge w:val="restart"/>
            <w:tcBorders>
              <w:top w:val="single" w:sz="4" w:space="0" w:color="A6A6A6"/>
              <w:left w:val="single" w:sz="4" w:space="0" w:color="A6A6A6"/>
              <w:bottom w:val="single" w:sz="4" w:space="0" w:color="A6A6A6"/>
              <w:right w:val="single" w:sz="4" w:space="0" w:color="A6A6A6"/>
            </w:tcBorders>
            <w:shd w:val="clear" w:color="000000" w:fill="CCCCCC"/>
            <w:vAlign w:val="center"/>
            <w:hideMark/>
          </w:tcPr>
          <w:p w14:paraId="7D199601" w14:textId="77777777" w:rsidR="00B76E04" w:rsidRPr="005030BF" w:rsidRDefault="00B76E04" w:rsidP="004C246C">
            <w:pPr>
              <w:spacing w:line="360" w:lineRule="auto"/>
              <w:jc w:val="center"/>
              <w:rPr>
                <w:b/>
                <w:bCs/>
                <w:color w:val="000000"/>
                <w:sz w:val="20"/>
                <w:szCs w:val="20"/>
              </w:rPr>
            </w:pPr>
            <w:r w:rsidRPr="005030BF">
              <w:rPr>
                <w:b/>
                <w:bCs/>
                <w:color w:val="000000"/>
                <w:sz w:val="20"/>
                <w:szCs w:val="20"/>
              </w:rPr>
              <w:t>PODERES Y ÓRGANOS AUTÓNOMOS</w:t>
            </w:r>
          </w:p>
        </w:tc>
        <w:tc>
          <w:tcPr>
            <w:tcW w:w="1201" w:type="pct"/>
            <w:tcBorders>
              <w:top w:val="single" w:sz="4" w:space="0" w:color="A6A6A6"/>
              <w:left w:val="nil"/>
              <w:bottom w:val="nil"/>
              <w:right w:val="single" w:sz="4" w:space="0" w:color="A6A6A6"/>
            </w:tcBorders>
            <w:shd w:val="clear" w:color="000000" w:fill="CCCCCC"/>
            <w:vAlign w:val="center"/>
            <w:hideMark/>
          </w:tcPr>
          <w:p w14:paraId="599CA520" w14:textId="77777777" w:rsidR="00B76E04" w:rsidRPr="005030BF" w:rsidRDefault="00B76E04" w:rsidP="004C246C">
            <w:pPr>
              <w:spacing w:line="360" w:lineRule="auto"/>
              <w:jc w:val="center"/>
              <w:rPr>
                <w:b/>
                <w:bCs/>
                <w:color w:val="000000"/>
                <w:sz w:val="20"/>
                <w:szCs w:val="20"/>
              </w:rPr>
            </w:pPr>
            <w:r w:rsidRPr="005030BF">
              <w:rPr>
                <w:b/>
                <w:bCs/>
                <w:color w:val="000000"/>
                <w:sz w:val="20"/>
                <w:szCs w:val="20"/>
              </w:rPr>
              <w:t>AUTORIZADO  2025</w:t>
            </w:r>
          </w:p>
        </w:tc>
        <w:tc>
          <w:tcPr>
            <w:tcW w:w="1131" w:type="pct"/>
            <w:tcBorders>
              <w:top w:val="single" w:sz="4" w:space="0" w:color="A6A6A6"/>
              <w:left w:val="nil"/>
              <w:bottom w:val="nil"/>
              <w:right w:val="single" w:sz="4" w:space="0" w:color="A6A6A6"/>
            </w:tcBorders>
            <w:shd w:val="clear" w:color="000000" w:fill="CCCCCC"/>
            <w:vAlign w:val="center"/>
            <w:hideMark/>
          </w:tcPr>
          <w:p w14:paraId="6977AF7D" w14:textId="77777777" w:rsidR="00B76E04" w:rsidRPr="005030BF" w:rsidRDefault="00B76E04" w:rsidP="004C246C">
            <w:pPr>
              <w:spacing w:line="360" w:lineRule="auto"/>
              <w:jc w:val="center"/>
              <w:rPr>
                <w:b/>
                <w:bCs/>
                <w:color w:val="000000"/>
                <w:sz w:val="20"/>
                <w:szCs w:val="20"/>
              </w:rPr>
            </w:pPr>
            <w:r w:rsidRPr="005030BF">
              <w:rPr>
                <w:b/>
                <w:bCs/>
                <w:color w:val="000000"/>
                <w:sz w:val="20"/>
                <w:szCs w:val="20"/>
              </w:rPr>
              <w:t>ANTEPROYECTO 2026</w:t>
            </w:r>
          </w:p>
        </w:tc>
        <w:tc>
          <w:tcPr>
            <w:tcW w:w="1006" w:type="pct"/>
            <w:tcBorders>
              <w:top w:val="single" w:sz="4" w:space="0" w:color="A6A6A6"/>
              <w:left w:val="nil"/>
              <w:bottom w:val="nil"/>
              <w:right w:val="single" w:sz="4" w:space="0" w:color="A6A6A6"/>
            </w:tcBorders>
            <w:shd w:val="clear" w:color="000000" w:fill="CCCCCC"/>
            <w:vAlign w:val="center"/>
            <w:hideMark/>
          </w:tcPr>
          <w:p w14:paraId="2F9439B5" w14:textId="77777777" w:rsidR="00B76E04" w:rsidRPr="005030BF" w:rsidRDefault="00B76E04" w:rsidP="004C246C">
            <w:pPr>
              <w:spacing w:line="360" w:lineRule="auto"/>
              <w:jc w:val="center"/>
              <w:rPr>
                <w:b/>
                <w:bCs/>
                <w:color w:val="000000"/>
                <w:sz w:val="20"/>
                <w:szCs w:val="20"/>
              </w:rPr>
            </w:pPr>
            <w:r w:rsidRPr="005030BF">
              <w:rPr>
                <w:b/>
                <w:bCs/>
                <w:color w:val="000000"/>
                <w:sz w:val="20"/>
                <w:szCs w:val="20"/>
              </w:rPr>
              <w:t>INICIATIVA FINAL PROPUESTA 2026</w:t>
            </w:r>
          </w:p>
        </w:tc>
      </w:tr>
      <w:tr w:rsidR="00B76E04" w:rsidRPr="005030BF" w14:paraId="2121DA7C" w14:textId="77777777" w:rsidTr="00A7274D">
        <w:trPr>
          <w:trHeight w:val="300"/>
          <w:tblHeader/>
        </w:trPr>
        <w:tc>
          <w:tcPr>
            <w:tcW w:w="1662" w:type="pct"/>
            <w:vMerge/>
            <w:tcBorders>
              <w:top w:val="single" w:sz="4" w:space="0" w:color="A6A6A6"/>
              <w:left w:val="single" w:sz="4" w:space="0" w:color="A6A6A6"/>
              <w:bottom w:val="single" w:sz="4" w:space="0" w:color="A6A6A6"/>
              <w:right w:val="single" w:sz="4" w:space="0" w:color="A6A6A6"/>
            </w:tcBorders>
            <w:vAlign w:val="center"/>
            <w:hideMark/>
          </w:tcPr>
          <w:p w14:paraId="38B5C7A6" w14:textId="77777777" w:rsidR="00B76E04" w:rsidRPr="005030BF" w:rsidRDefault="00B76E04" w:rsidP="004C246C">
            <w:pPr>
              <w:spacing w:line="360" w:lineRule="auto"/>
              <w:rPr>
                <w:b/>
                <w:bCs/>
                <w:color w:val="000000"/>
                <w:sz w:val="20"/>
                <w:szCs w:val="20"/>
                <w:lang w:val="es-MX" w:eastAsia="es-MX"/>
              </w:rPr>
            </w:pPr>
          </w:p>
        </w:tc>
        <w:tc>
          <w:tcPr>
            <w:tcW w:w="1201" w:type="pct"/>
            <w:tcBorders>
              <w:top w:val="nil"/>
              <w:left w:val="nil"/>
              <w:bottom w:val="single" w:sz="4" w:space="0" w:color="A6A6A6"/>
              <w:right w:val="single" w:sz="4" w:space="0" w:color="A6A6A6"/>
            </w:tcBorders>
            <w:shd w:val="clear" w:color="000000" w:fill="CCCCCC"/>
            <w:vAlign w:val="center"/>
            <w:hideMark/>
          </w:tcPr>
          <w:p w14:paraId="30B90419" w14:textId="77777777" w:rsidR="00B76E04" w:rsidRPr="005030BF" w:rsidRDefault="00B76E04" w:rsidP="004C246C">
            <w:pPr>
              <w:spacing w:line="360" w:lineRule="auto"/>
              <w:jc w:val="center"/>
              <w:rPr>
                <w:b/>
                <w:bCs/>
                <w:color w:val="000000"/>
                <w:sz w:val="20"/>
                <w:szCs w:val="20"/>
                <w:lang w:val="es-MX" w:eastAsia="es-MX"/>
              </w:rPr>
            </w:pPr>
            <w:r w:rsidRPr="005030BF">
              <w:rPr>
                <w:b/>
                <w:bCs/>
                <w:color w:val="000000"/>
                <w:sz w:val="20"/>
                <w:szCs w:val="20"/>
                <w:lang w:eastAsia="es-MX"/>
              </w:rPr>
              <w:t>($)</w:t>
            </w:r>
          </w:p>
        </w:tc>
        <w:tc>
          <w:tcPr>
            <w:tcW w:w="1131" w:type="pct"/>
            <w:tcBorders>
              <w:top w:val="nil"/>
              <w:left w:val="nil"/>
              <w:bottom w:val="single" w:sz="4" w:space="0" w:color="A6A6A6"/>
              <w:right w:val="single" w:sz="4" w:space="0" w:color="A6A6A6"/>
            </w:tcBorders>
            <w:shd w:val="clear" w:color="000000" w:fill="CCCCCC"/>
            <w:vAlign w:val="center"/>
            <w:hideMark/>
          </w:tcPr>
          <w:p w14:paraId="44DEEFED" w14:textId="77777777" w:rsidR="00B76E04" w:rsidRPr="005030BF" w:rsidRDefault="00B76E04" w:rsidP="004C246C">
            <w:pPr>
              <w:spacing w:line="360" w:lineRule="auto"/>
              <w:jc w:val="center"/>
              <w:rPr>
                <w:b/>
                <w:bCs/>
                <w:color w:val="000000"/>
                <w:sz w:val="20"/>
                <w:szCs w:val="20"/>
                <w:lang w:val="es-MX" w:eastAsia="es-MX"/>
              </w:rPr>
            </w:pPr>
            <w:r w:rsidRPr="005030BF">
              <w:rPr>
                <w:b/>
                <w:bCs/>
                <w:color w:val="000000"/>
                <w:sz w:val="20"/>
                <w:szCs w:val="20"/>
                <w:lang w:eastAsia="es-MX"/>
              </w:rPr>
              <w:t>($)</w:t>
            </w:r>
          </w:p>
        </w:tc>
        <w:tc>
          <w:tcPr>
            <w:tcW w:w="1006" w:type="pct"/>
            <w:tcBorders>
              <w:top w:val="nil"/>
              <w:left w:val="nil"/>
              <w:bottom w:val="single" w:sz="4" w:space="0" w:color="A6A6A6"/>
              <w:right w:val="single" w:sz="4" w:space="0" w:color="A6A6A6"/>
            </w:tcBorders>
            <w:shd w:val="clear" w:color="000000" w:fill="CCCCCC"/>
            <w:vAlign w:val="center"/>
            <w:hideMark/>
          </w:tcPr>
          <w:p w14:paraId="37A71D75" w14:textId="77777777" w:rsidR="00B76E04" w:rsidRPr="005030BF" w:rsidRDefault="00B76E04" w:rsidP="004C246C">
            <w:pPr>
              <w:spacing w:line="360" w:lineRule="auto"/>
              <w:jc w:val="center"/>
              <w:rPr>
                <w:b/>
                <w:bCs/>
                <w:color w:val="000000"/>
                <w:sz w:val="20"/>
                <w:szCs w:val="20"/>
                <w:lang w:val="es-MX" w:eastAsia="es-MX"/>
              </w:rPr>
            </w:pPr>
            <w:r w:rsidRPr="005030BF">
              <w:rPr>
                <w:b/>
                <w:bCs/>
                <w:color w:val="000000"/>
                <w:sz w:val="20"/>
                <w:szCs w:val="20"/>
                <w:lang w:eastAsia="es-MX"/>
              </w:rPr>
              <w:t>($)</w:t>
            </w:r>
          </w:p>
        </w:tc>
      </w:tr>
      <w:tr w:rsidR="00B76E04" w:rsidRPr="005030BF" w14:paraId="1E86A787" w14:textId="77777777" w:rsidTr="00A7274D">
        <w:trPr>
          <w:trHeight w:val="300"/>
        </w:trPr>
        <w:tc>
          <w:tcPr>
            <w:tcW w:w="1662" w:type="pct"/>
            <w:tcBorders>
              <w:top w:val="nil"/>
              <w:left w:val="single" w:sz="4" w:space="0" w:color="A6A6A6"/>
              <w:bottom w:val="single" w:sz="4" w:space="0" w:color="A6A6A6"/>
              <w:right w:val="single" w:sz="4" w:space="0" w:color="A6A6A6"/>
            </w:tcBorders>
            <w:vAlign w:val="center"/>
            <w:hideMark/>
          </w:tcPr>
          <w:p w14:paraId="2AC79DBE" w14:textId="77777777" w:rsidR="00B76E04" w:rsidRPr="005030BF" w:rsidRDefault="00B76E04" w:rsidP="004C246C">
            <w:pPr>
              <w:spacing w:line="360" w:lineRule="auto"/>
              <w:jc w:val="both"/>
              <w:rPr>
                <w:color w:val="000000"/>
                <w:sz w:val="20"/>
                <w:szCs w:val="20"/>
              </w:rPr>
            </w:pPr>
            <w:r w:rsidRPr="005030BF">
              <w:rPr>
                <w:color w:val="000000"/>
                <w:sz w:val="20"/>
                <w:szCs w:val="20"/>
              </w:rPr>
              <w:t>Poder Legislativo</w:t>
            </w:r>
          </w:p>
        </w:tc>
        <w:tc>
          <w:tcPr>
            <w:tcW w:w="1201" w:type="pct"/>
            <w:tcBorders>
              <w:top w:val="nil"/>
              <w:left w:val="nil"/>
              <w:bottom w:val="single" w:sz="4" w:space="0" w:color="A6A6A6"/>
              <w:right w:val="single" w:sz="4" w:space="0" w:color="A6A6A6"/>
            </w:tcBorders>
            <w:vAlign w:val="center"/>
            <w:hideMark/>
          </w:tcPr>
          <w:p w14:paraId="46FB3B91"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eastAsia="es-MX"/>
              </w:rPr>
              <w:t>474,419,942.00</w:t>
            </w:r>
          </w:p>
        </w:tc>
        <w:tc>
          <w:tcPr>
            <w:tcW w:w="1131" w:type="pct"/>
            <w:tcBorders>
              <w:top w:val="nil"/>
              <w:left w:val="nil"/>
              <w:bottom w:val="single" w:sz="4" w:space="0" w:color="A6A6A6"/>
              <w:right w:val="single" w:sz="4" w:space="0" w:color="A6A6A6"/>
            </w:tcBorders>
            <w:vAlign w:val="center"/>
            <w:hideMark/>
          </w:tcPr>
          <w:p w14:paraId="2F2916B3"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503,506,250.00</w:t>
            </w:r>
          </w:p>
        </w:tc>
        <w:tc>
          <w:tcPr>
            <w:tcW w:w="1006" w:type="pct"/>
            <w:tcBorders>
              <w:top w:val="nil"/>
              <w:left w:val="nil"/>
              <w:bottom w:val="single" w:sz="4" w:space="0" w:color="A6A6A6"/>
              <w:right w:val="single" w:sz="4" w:space="0" w:color="A6A6A6"/>
            </w:tcBorders>
            <w:vAlign w:val="center"/>
            <w:hideMark/>
          </w:tcPr>
          <w:p w14:paraId="56588F84"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503,506,250.00</w:t>
            </w:r>
          </w:p>
        </w:tc>
      </w:tr>
      <w:tr w:rsidR="00B76E04" w:rsidRPr="005030BF" w14:paraId="56101F9F" w14:textId="77777777" w:rsidTr="00A7274D">
        <w:trPr>
          <w:trHeight w:val="300"/>
        </w:trPr>
        <w:tc>
          <w:tcPr>
            <w:tcW w:w="1662" w:type="pct"/>
            <w:tcBorders>
              <w:top w:val="nil"/>
              <w:left w:val="single" w:sz="4" w:space="0" w:color="A6A6A6"/>
              <w:bottom w:val="single" w:sz="4" w:space="0" w:color="A6A6A6"/>
              <w:right w:val="single" w:sz="4" w:space="0" w:color="A6A6A6"/>
            </w:tcBorders>
            <w:vAlign w:val="center"/>
            <w:hideMark/>
          </w:tcPr>
          <w:p w14:paraId="2ED5A116" w14:textId="77777777" w:rsidR="00B76E04" w:rsidRPr="005030BF" w:rsidRDefault="00B76E04" w:rsidP="004C246C">
            <w:pPr>
              <w:spacing w:line="360" w:lineRule="auto"/>
              <w:jc w:val="both"/>
              <w:rPr>
                <w:color w:val="000000"/>
                <w:sz w:val="20"/>
                <w:szCs w:val="20"/>
              </w:rPr>
            </w:pPr>
            <w:r w:rsidRPr="005030BF">
              <w:rPr>
                <w:color w:val="000000"/>
                <w:sz w:val="20"/>
                <w:szCs w:val="20"/>
              </w:rPr>
              <w:t>Poder Judicial</w:t>
            </w:r>
          </w:p>
        </w:tc>
        <w:tc>
          <w:tcPr>
            <w:tcW w:w="1201" w:type="pct"/>
            <w:tcBorders>
              <w:top w:val="nil"/>
              <w:left w:val="nil"/>
              <w:bottom w:val="single" w:sz="4" w:space="0" w:color="A6A6A6"/>
              <w:right w:val="single" w:sz="4" w:space="0" w:color="A6A6A6"/>
            </w:tcBorders>
            <w:vAlign w:val="center"/>
            <w:hideMark/>
          </w:tcPr>
          <w:p w14:paraId="5491A7ED"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eastAsia="es-MX"/>
              </w:rPr>
              <w:t>515,903,410.00</w:t>
            </w:r>
          </w:p>
        </w:tc>
        <w:tc>
          <w:tcPr>
            <w:tcW w:w="1131" w:type="pct"/>
            <w:tcBorders>
              <w:top w:val="nil"/>
              <w:left w:val="nil"/>
              <w:bottom w:val="single" w:sz="4" w:space="0" w:color="A6A6A6"/>
              <w:right w:val="single" w:sz="4" w:space="0" w:color="A6A6A6"/>
            </w:tcBorders>
            <w:vAlign w:val="center"/>
            <w:hideMark/>
          </w:tcPr>
          <w:p w14:paraId="72E40E41"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575,903,410.00</w:t>
            </w:r>
          </w:p>
        </w:tc>
        <w:tc>
          <w:tcPr>
            <w:tcW w:w="1006" w:type="pct"/>
            <w:tcBorders>
              <w:top w:val="nil"/>
              <w:left w:val="nil"/>
              <w:bottom w:val="single" w:sz="4" w:space="0" w:color="A6A6A6"/>
              <w:right w:val="single" w:sz="4" w:space="0" w:color="A6A6A6"/>
            </w:tcBorders>
            <w:vAlign w:val="center"/>
            <w:hideMark/>
          </w:tcPr>
          <w:p w14:paraId="3203C7AE"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575,903,410.00</w:t>
            </w:r>
          </w:p>
        </w:tc>
      </w:tr>
      <w:tr w:rsidR="00B76E04" w:rsidRPr="005030BF" w14:paraId="2726318B" w14:textId="77777777" w:rsidTr="00A7274D">
        <w:trPr>
          <w:trHeight w:val="300"/>
        </w:trPr>
        <w:tc>
          <w:tcPr>
            <w:tcW w:w="1662" w:type="pct"/>
            <w:tcBorders>
              <w:top w:val="nil"/>
              <w:left w:val="single" w:sz="4" w:space="0" w:color="A6A6A6"/>
              <w:bottom w:val="single" w:sz="4" w:space="0" w:color="A6A6A6"/>
              <w:right w:val="single" w:sz="4" w:space="0" w:color="A6A6A6"/>
            </w:tcBorders>
            <w:vAlign w:val="center"/>
            <w:hideMark/>
          </w:tcPr>
          <w:p w14:paraId="439A068E" w14:textId="77777777" w:rsidR="00B76E04" w:rsidRPr="005030BF" w:rsidRDefault="00B76E04" w:rsidP="004C246C">
            <w:pPr>
              <w:spacing w:line="360" w:lineRule="auto"/>
              <w:jc w:val="both"/>
              <w:rPr>
                <w:color w:val="000000"/>
                <w:sz w:val="20"/>
                <w:szCs w:val="20"/>
              </w:rPr>
            </w:pPr>
            <w:r w:rsidRPr="005030BF">
              <w:rPr>
                <w:color w:val="000000"/>
                <w:sz w:val="20"/>
                <w:szCs w:val="20"/>
              </w:rPr>
              <w:t>Universidad Autónoma de Tlaxcala</w:t>
            </w:r>
          </w:p>
        </w:tc>
        <w:tc>
          <w:tcPr>
            <w:tcW w:w="1201" w:type="pct"/>
            <w:tcBorders>
              <w:top w:val="nil"/>
              <w:left w:val="nil"/>
              <w:bottom w:val="single" w:sz="4" w:space="0" w:color="A6A6A6"/>
              <w:right w:val="single" w:sz="4" w:space="0" w:color="A6A6A6"/>
            </w:tcBorders>
            <w:vAlign w:val="center"/>
            <w:hideMark/>
          </w:tcPr>
          <w:p w14:paraId="06FA4FBA"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eastAsia="es-MX"/>
              </w:rPr>
              <w:t>137,432,527.00</w:t>
            </w:r>
          </w:p>
        </w:tc>
        <w:tc>
          <w:tcPr>
            <w:tcW w:w="1131" w:type="pct"/>
            <w:tcBorders>
              <w:top w:val="nil"/>
              <w:left w:val="nil"/>
              <w:bottom w:val="single" w:sz="4" w:space="0" w:color="A6A6A6"/>
              <w:right w:val="single" w:sz="4" w:space="0" w:color="A6A6A6"/>
            </w:tcBorders>
            <w:vAlign w:val="center"/>
            <w:hideMark/>
          </w:tcPr>
          <w:p w14:paraId="4BD159C0"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140,930,151.00</w:t>
            </w:r>
          </w:p>
        </w:tc>
        <w:tc>
          <w:tcPr>
            <w:tcW w:w="1006" w:type="pct"/>
            <w:tcBorders>
              <w:top w:val="nil"/>
              <w:left w:val="nil"/>
              <w:bottom w:val="single" w:sz="4" w:space="0" w:color="A6A6A6"/>
              <w:right w:val="single" w:sz="4" w:space="0" w:color="A6A6A6"/>
            </w:tcBorders>
            <w:vAlign w:val="center"/>
            <w:hideMark/>
          </w:tcPr>
          <w:p w14:paraId="396D0A05"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140,930,151.00</w:t>
            </w:r>
          </w:p>
        </w:tc>
      </w:tr>
      <w:tr w:rsidR="00B76E04" w:rsidRPr="005030BF" w14:paraId="1262FAD2" w14:textId="77777777" w:rsidTr="00A7274D">
        <w:trPr>
          <w:trHeight w:val="300"/>
        </w:trPr>
        <w:tc>
          <w:tcPr>
            <w:tcW w:w="1662" w:type="pct"/>
            <w:tcBorders>
              <w:top w:val="nil"/>
              <w:left w:val="single" w:sz="4" w:space="0" w:color="A6A6A6"/>
              <w:bottom w:val="single" w:sz="4" w:space="0" w:color="A6A6A6"/>
              <w:right w:val="single" w:sz="4" w:space="0" w:color="A6A6A6"/>
            </w:tcBorders>
            <w:vAlign w:val="center"/>
            <w:hideMark/>
          </w:tcPr>
          <w:p w14:paraId="7F475F29" w14:textId="77777777" w:rsidR="00B76E04" w:rsidRPr="005030BF" w:rsidRDefault="00B76E04" w:rsidP="004C246C">
            <w:pPr>
              <w:spacing w:line="360" w:lineRule="auto"/>
              <w:jc w:val="both"/>
              <w:rPr>
                <w:color w:val="000000"/>
                <w:sz w:val="20"/>
                <w:szCs w:val="20"/>
              </w:rPr>
            </w:pPr>
            <w:r w:rsidRPr="005030BF">
              <w:rPr>
                <w:color w:val="000000"/>
                <w:sz w:val="20"/>
                <w:szCs w:val="20"/>
              </w:rPr>
              <w:t>Comisión Estatal de Derechos Humanos</w:t>
            </w:r>
          </w:p>
        </w:tc>
        <w:tc>
          <w:tcPr>
            <w:tcW w:w="1201" w:type="pct"/>
            <w:tcBorders>
              <w:top w:val="nil"/>
              <w:left w:val="nil"/>
              <w:bottom w:val="single" w:sz="4" w:space="0" w:color="A6A6A6"/>
              <w:right w:val="single" w:sz="4" w:space="0" w:color="A6A6A6"/>
            </w:tcBorders>
            <w:vAlign w:val="center"/>
            <w:hideMark/>
          </w:tcPr>
          <w:p w14:paraId="701A948A"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eastAsia="es-MX"/>
              </w:rPr>
              <w:t>28,382,484.00</w:t>
            </w:r>
          </w:p>
        </w:tc>
        <w:tc>
          <w:tcPr>
            <w:tcW w:w="1131" w:type="pct"/>
            <w:tcBorders>
              <w:top w:val="nil"/>
              <w:left w:val="nil"/>
              <w:bottom w:val="single" w:sz="4" w:space="0" w:color="A6A6A6"/>
              <w:right w:val="single" w:sz="4" w:space="0" w:color="A6A6A6"/>
            </w:tcBorders>
            <w:vAlign w:val="center"/>
            <w:hideMark/>
          </w:tcPr>
          <w:p w14:paraId="46C15AA8"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29,105,439.00</w:t>
            </w:r>
          </w:p>
        </w:tc>
        <w:tc>
          <w:tcPr>
            <w:tcW w:w="1006" w:type="pct"/>
            <w:tcBorders>
              <w:top w:val="nil"/>
              <w:left w:val="nil"/>
              <w:bottom w:val="single" w:sz="4" w:space="0" w:color="A6A6A6"/>
              <w:right w:val="single" w:sz="4" w:space="0" w:color="A6A6A6"/>
            </w:tcBorders>
            <w:vAlign w:val="center"/>
            <w:hideMark/>
          </w:tcPr>
          <w:p w14:paraId="02BFC7DC"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29,105,439.00</w:t>
            </w:r>
          </w:p>
        </w:tc>
      </w:tr>
      <w:tr w:rsidR="00B76E04" w:rsidRPr="005030BF" w14:paraId="019CFD0F" w14:textId="77777777" w:rsidTr="00A7274D">
        <w:trPr>
          <w:trHeight w:val="300"/>
        </w:trPr>
        <w:tc>
          <w:tcPr>
            <w:tcW w:w="1662" w:type="pct"/>
            <w:tcBorders>
              <w:top w:val="nil"/>
              <w:left w:val="single" w:sz="4" w:space="0" w:color="A6A6A6"/>
              <w:bottom w:val="single" w:sz="4" w:space="0" w:color="A6A6A6"/>
              <w:right w:val="single" w:sz="4" w:space="0" w:color="A6A6A6"/>
            </w:tcBorders>
            <w:vAlign w:val="center"/>
            <w:hideMark/>
          </w:tcPr>
          <w:p w14:paraId="7A3D1118" w14:textId="77777777" w:rsidR="00B76E04" w:rsidRPr="005030BF" w:rsidRDefault="00B76E04" w:rsidP="004C246C">
            <w:pPr>
              <w:spacing w:line="360" w:lineRule="auto"/>
              <w:jc w:val="both"/>
              <w:rPr>
                <w:color w:val="000000"/>
                <w:sz w:val="20"/>
                <w:szCs w:val="20"/>
              </w:rPr>
            </w:pPr>
            <w:r w:rsidRPr="005030BF">
              <w:rPr>
                <w:color w:val="000000"/>
                <w:sz w:val="20"/>
                <w:szCs w:val="20"/>
              </w:rPr>
              <w:t>Instituto Tlaxcalteca de Elecciones</w:t>
            </w:r>
          </w:p>
        </w:tc>
        <w:tc>
          <w:tcPr>
            <w:tcW w:w="1201" w:type="pct"/>
            <w:tcBorders>
              <w:top w:val="nil"/>
              <w:left w:val="nil"/>
              <w:bottom w:val="single" w:sz="4" w:space="0" w:color="A6A6A6"/>
              <w:right w:val="single" w:sz="4" w:space="0" w:color="A6A6A6"/>
            </w:tcBorders>
            <w:vAlign w:val="center"/>
            <w:hideMark/>
          </w:tcPr>
          <w:p w14:paraId="13C5CF84"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eastAsia="es-MX"/>
              </w:rPr>
              <w:t>128,806,150.00</w:t>
            </w:r>
          </w:p>
        </w:tc>
        <w:tc>
          <w:tcPr>
            <w:tcW w:w="1131" w:type="pct"/>
            <w:tcBorders>
              <w:top w:val="nil"/>
              <w:left w:val="nil"/>
              <w:bottom w:val="single" w:sz="4" w:space="0" w:color="A6A6A6"/>
              <w:right w:val="single" w:sz="4" w:space="0" w:color="A6A6A6"/>
            </w:tcBorders>
            <w:vAlign w:val="center"/>
            <w:hideMark/>
          </w:tcPr>
          <w:p w14:paraId="26B6AFEE" w14:textId="0CB4D695"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140,609,44</w:t>
            </w:r>
            <w:r w:rsidR="007607E0">
              <w:rPr>
                <w:color w:val="000000"/>
                <w:sz w:val="20"/>
                <w:szCs w:val="20"/>
                <w:lang w:val="es-MX" w:eastAsia="es-MX"/>
              </w:rPr>
              <w:t>6</w:t>
            </w:r>
            <w:r w:rsidRPr="005030BF">
              <w:rPr>
                <w:color w:val="000000"/>
                <w:sz w:val="20"/>
                <w:szCs w:val="20"/>
                <w:lang w:val="es-MX" w:eastAsia="es-MX"/>
              </w:rPr>
              <w:t>.00</w:t>
            </w:r>
          </w:p>
        </w:tc>
        <w:tc>
          <w:tcPr>
            <w:tcW w:w="1006" w:type="pct"/>
            <w:tcBorders>
              <w:top w:val="nil"/>
              <w:left w:val="nil"/>
              <w:bottom w:val="single" w:sz="4" w:space="0" w:color="A6A6A6"/>
              <w:right w:val="single" w:sz="4" w:space="0" w:color="A6A6A6"/>
            </w:tcBorders>
            <w:vAlign w:val="center"/>
            <w:hideMark/>
          </w:tcPr>
          <w:p w14:paraId="4988010C"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134,990,553.00</w:t>
            </w:r>
          </w:p>
        </w:tc>
      </w:tr>
      <w:tr w:rsidR="00B76E04" w:rsidRPr="005030BF" w14:paraId="5D9C0DF2" w14:textId="77777777" w:rsidTr="00A7274D">
        <w:trPr>
          <w:trHeight w:val="510"/>
        </w:trPr>
        <w:tc>
          <w:tcPr>
            <w:tcW w:w="1662" w:type="pct"/>
            <w:tcBorders>
              <w:top w:val="nil"/>
              <w:left w:val="single" w:sz="4" w:space="0" w:color="A6A6A6"/>
              <w:bottom w:val="single" w:sz="4" w:space="0" w:color="A6A6A6"/>
              <w:right w:val="single" w:sz="4" w:space="0" w:color="A6A6A6"/>
            </w:tcBorders>
            <w:vAlign w:val="center"/>
            <w:hideMark/>
          </w:tcPr>
          <w:p w14:paraId="7EA4D7CD" w14:textId="77777777" w:rsidR="00B76E04" w:rsidRPr="005030BF" w:rsidRDefault="00B76E04" w:rsidP="004C246C">
            <w:pPr>
              <w:spacing w:line="360" w:lineRule="auto"/>
              <w:jc w:val="both"/>
              <w:rPr>
                <w:color w:val="000000"/>
                <w:sz w:val="20"/>
                <w:szCs w:val="20"/>
              </w:rPr>
            </w:pPr>
            <w:r w:rsidRPr="005030BF">
              <w:rPr>
                <w:color w:val="000000"/>
                <w:sz w:val="20"/>
                <w:szCs w:val="20"/>
              </w:rPr>
              <w:t>Instituto de Acceso a la Información Pública y Protección de Datos Personales</w:t>
            </w:r>
          </w:p>
        </w:tc>
        <w:tc>
          <w:tcPr>
            <w:tcW w:w="1201" w:type="pct"/>
            <w:tcBorders>
              <w:top w:val="nil"/>
              <w:left w:val="nil"/>
              <w:bottom w:val="single" w:sz="4" w:space="0" w:color="A6A6A6"/>
              <w:right w:val="single" w:sz="4" w:space="0" w:color="A6A6A6"/>
            </w:tcBorders>
            <w:vAlign w:val="center"/>
            <w:hideMark/>
          </w:tcPr>
          <w:p w14:paraId="14F7CBE3"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eastAsia="es-MX"/>
              </w:rPr>
              <w:t>21,701,706.00</w:t>
            </w:r>
          </w:p>
        </w:tc>
        <w:tc>
          <w:tcPr>
            <w:tcW w:w="1131" w:type="pct"/>
            <w:tcBorders>
              <w:top w:val="nil"/>
              <w:left w:val="nil"/>
              <w:bottom w:val="single" w:sz="4" w:space="0" w:color="A6A6A6"/>
              <w:right w:val="single" w:sz="4" w:space="0" w:color="A6A6A6"/>
            </w:tcBorders>
            <w:vAlign w:val="center"/>
            <w:hideMark/>
          </w:tcPr>
          <w:p w14:paraId="01557E96"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eastAsia="es-MX"/>
              </w:rPr>
              <w:t>0.00</w:t>
            </w:r>
          </w:p>
        </w:tc>
        <w:tc>
          <w:tcPr>
            <w:tcW w:w="1006" w:type="pct"/>
            <w:tcBorders>
              <w:top w:val="nil"/>
              <w:left w:val="nil"/>
              <w:bottom w:val="single" w:sz="4" w:space="0" w:color="A6A6A6"/>
              <w:right w:val="single" w:sz="4" w:space="0" w:color="A6A6A6"/>
            </w:tcBorders>
            <w:vAlign w:val="center"/>
            <w:hideMark/>
          </w:tcPr>
          <w:p w14:paraId="47E60008"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eastAsia="es-MX"/>
              </w:rPr>
              <w:t>0.00</w:t>
            </w:r>
          </w:p>
        </w:tc>
      </w:tr>
      <w:tr w:rsidR="00B76E04" w:rsidRPr="005030BF" w14:paraId="4586EBCA" w14:textId="77777777" w:rsidTr="00A7274D">
        <w:trPr>
          <w:trHeight w:val="300"/>
        </w:trPr>
        <w:tc>
          <w:tcPr>
            <w:tcW w:w="1662" w:type="pct"/>
            <w:tcBorders>
              <w:top w:val="nil"/>
              <w:left w:val="single" w:sz="4" w:space="0" w:color="A6A6A6"/>
              <w:bottom w:val="single" w:sz="4" w:space="0" w:color="A6A6A6"/>
              <w:right w:val="single" w:sz="4" w:space="0" w:color="A6A6A6"/>
            </w:tcBorders>
            <w:vAlign w:val="center"/>
            <w:hideMark/>
          </w:tcPr>
          <w:p w14:paraId="46CFD674" w14:textId="77777777" w:rsidR="00B76E04" w:rsidRPr="005030BF" w:rsidRDefault="00B76E04" w:rsidP="004C246C">
            <w:pPr>
              <w:spacing w:line="360" w:lineRule="auto"/>
              <w:jc w:val="both"/>
              <w:rPr>
                <w:color w:val="000000"/>
                <w:sz w:val="20"/>
                <w:szCs w:val="20"/>
              </w:rPr>
            </w:pPr>
            <w:r w:rsidRPr="005030BF">
              <w:rPr>
                <w:color w:val="000000"/>
                <w:sz w:val="20"/>
                <w:szCs w:val="20"/>
              </w:rPr>
              <w:t>Tribunal de Conciliación y Arbitraje</w:t>
            </w:r>
          </w:p>
        </w:tc>
        <w:tc>
          <w:tcPr>
            <w:tcW w:w="1201" w:type="pct"/>
            <w:tcBorders>
              <w:top w:val="nil"/>
              <w:left w:val="nil"/>
              <w:bottom w:val="single" w:sz="4" w:space="0" w:color="A6A6A6"/>
              <w:right w:val="single" w:sz="4" w:space="0" w:color="A6A6A6"/>
            </w:tcBorders>
            <w:vAlign w:val="center"/>
            <w:hideMark/>
          </w:tcPr>
          <w:p w14:paraId="2E62FC4E"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eastAsia="es-MX"/>
              </w:rPr>
              <w:t>18,885,184.00</w:t>
            </w:r>
          </w:p>
        </w:tc>
        <w:tc>
          <w:tcPr>
            <w:tcW w:w="1131" w:type="pct"/>
            <w:tcBorders>
              <w:top w:val="nil"/>
              <w:left w:val="nil"/>
              <w:bottom w:val="single" w:sz="4" w:space="0" w:color="A6A6A6"/>
              <w:right w:val="single" w:sz="4" w:space="0" w:color="A6A6A6"/>
            </w:tcBorders>
            <w:vAlign w:val="center"/>
            <w:hideMark/>
          </w:tcPr>
          <w:p w14:paraId="2675FFD9"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19,369,689.00</w:t>
            </w:r>
          </w:p>
        </w:tc>
        <w:tc>
          <w:tcPr>
            <w:tcW w:w="1006" w:type="pct"/>
            <w:tcBorders>
              <w:top w:val="nil"/>
              <w:left w:val="nil"/>
              <w:bottom w:val="single" w:sz="4" w:space="0" w:color="A6A6A6"/>
              <w:right w:val="single" w:sz="4" w:space="0" w:color="A6A6A6"/>
            </w:tcBorders>
            <w:vAlign w:val="center"/>
            <w:hideMark/>
          </w:tcPr>
          <w:p w14:paraId="17E4F490"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19,369,689.00</w:t>
            </w:r>
          </w:p>
        </w:tc>
      </w:tr>
      <w:tr w:rsidR="00B76E04" w:rsidRPr="005030BF" w14:paraId="5DB89703" w14:textId="77777777" w:rsidTr="00A7274D">
        <w:trPr>
          <w:trHeight w:val="300"/>
        </w:trPr>
        <w:tc>
          <w:tcPr>
            <w:tcW w:w="1662" w:type="pct"/>
            <w:tcBorders>
              <w:top w:val="nil"/>
              <w:left w:val="single" w:sz="4" w:space="0" w:color="A6A6A6"/>
              <w:bottom w:val="single" w:sz="4" w:space="0" w:color="A6A6A6"/>
              <w:right w:val="single" w:sz="4" w:space="0" w:color="A6A6A6"/>
            </w:tcBorders>
            <w:vAlign w:val="center"/>
            <w:hideMark/>
          </w:tcPr>
          <w:p w14:paraId="6410760E" w14:textId="77777777" w:rsidR="00B76E04" w:rsidRPr="005030BF" w:rsidRDefault="00B76E04" w:rsidP="004C246C">
            <w:pPr>
              <w:spacing w:line="360" w:lineRule="auto"/>
              <w:jc w:val="both"/>
              <w:rPr>
                <w:color w:val="000000"/>
                <w:sz w:val="20"/>
                <w:szCs w:val="20"/>
              </w:rPr>
            </w:pPr>
            <w:r w:rsidRPr="005030BF">
              <w:rPr>
                <w:color w:val="000000"/>
                <w:sz w:val="20"/>
                <w:szCs w:val="20"/>
              </w:rPr>
              <w:t>Tribunal Electoral de Tlaxcala</w:t>
            </w:r>
          </w:p>
        </w:tc>
        <w:tc>
          <w:tcPr>
            <w:tcW w:w="1201" w:type="pct"/>
            <w:tcBorders>
              <w:top w:val="nil"/>
              <w:left w:val="nil"/>
              <w:bottom w:val="single" w:sz="4" w:space="0" w:color="A6A6A6"/>
              <w:right w:val="single" w:sz="4" w:space="0" w:color="A6A6A6"/>
            </w:tcBorders>
            <w:vAlign w:val="center"/>
            <w:hideMark/>
          </w:tcPr>
          <w:p w14:paraId="668DD079"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eastAsia="es-MX"/>
              </w:rPr>
              <w:t>47,010,768.00</w:t>
            </w:r>
          </w:p>
        </w:tc>
        <w:tc>
          <w:tcPr>
            <w:tcW w:w="1131" w:type="pct"/>
            <w:tcBorders>
              <w:top w:val="nil"/>
              <w:left w:val="nil"/>
              <w:bottom w:val="single" w:sz="4" w:space="0" w:color="A6A6A6"/>
              <w:right w:val="single" w:sz="4" w:space="0" w:color="A6A6A6"/>
            </w:tcBorders>
            <w:vAlign w:val="center"/>
            <w:hideMark/>
          </w:tcPr>
          <w:p w14:paraId="6983A68B"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47,970,088.00</w:t>
            </w:r>
          </w:p>
        </w:tc>
        <w:tc>
          <w:tcPr>
            <w:tcW w:w="1006" w:type="pct"/>
            <w:tcBorders>
              <w:top w:val="nil"/>
              <w:left w:val="nil"/>
              <w:bottom w:val="single" w:sz="4" w:space="0" w:color="A6A6A6"/>
              <w:right w:val="single" w:sz="4" w:space="0" w:color="A6A6A6"/>
            </w:tcBorders>
            <w:vAlign w:val="center"/>
            <w:hideMark/>
          </w:tcPr>
          <w:p w14:paraId="7A99149C"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47,970,088.00</w:t>
            </w:r>
          </w:p>
        </w:tc>
      </w:tr>
      <w:tr w:rsidR="00B76E04" w:rsidRPr="005030BF" w14:paraId="65FF4D4B" w14:textId="77777777" w:rsidTr="00A7274D">
        <w:trPr>
          <w:trHeight w:val="510"/>
        </w:trPr>
        <w:tc>
          <w:tcPr>
            <w:tcW w:w="1662" w:type="pct"/>
            <w:tcBorders>
              <w:top w:val="nil"/>
              <w:left w:val="single" w:sz="4" w:space="0" w:color="A6A6A6"/>
              <w:bottom w:val="single" w:sz="4" w:space="0" w:color="A6A6A6"/>
              <w:right w:val="single" w:sz="4" w:space="0" w:color="A6A6A6"/>
            </w:tcBorders>
            <w:vAlign w:val="center"/>
            <w:hideMark/>
          </w:tcPr>
          <w:p w14:paraId="0D862F20" w14:textId="77777777" w:rsidR="00B76E04" w:rsidRPr="005030BF" w:rsidRDefault="00B76E04" w:rsidP="004C246C">
            <w:pPr>
              <w:spacing w:line="360" w:lineRule="auto"/>
              <w:jc w:val="both"/>
              <w:rPr>
                <w:color w:val="000000"/>
                <w:sz w:val="20"/>
                <w:szCs w:val="20"/>
              </w:rPr>
            </w:pPr>
            <w:r w:rsidRPr="005030BF">
              <w:rPr>
                <w:color w:val="000000"/>
                <w:sz w:val="20"/>
                <w:szCs w:val="20"/>
              </w:rPr>
              <w:t>Secretaría Ejecutiva del Sistema Anticorrupción del Estado de Tlaxcala</w:t>
            </w:r>
          </w:p>
        </w:tc>
        <w:tc>
          <w:tcPr>
            <w:tcW w:w="1201" w:type="pct"/>
            <w:tcBorders>
              <w:top w:val="nil"/>
              <w:left w:val="nil"/>
              <w:bottom w:val="single" w:sz="4" w:space="0" w:color="A6A6A6"/>
              <w:right w:val="single" w:sz="4" w:space="0" w:color="A6A6A6"/>
            </w:tcBorders>
            <w:vAlign w:val="center"/>
            <w:hideMark/>
          </w:tcPr>
          <w:p w14:paraId="6FCA9AB7"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eastAsia="es-MX"/>
              </w:rPr>
              <w:t>13,235,857.00</w:t>
            </w:r>
          </w:p>
        </w:tc>
        <w:tc>
          <w:tcPr>
            <w:tcW w:w="1131" w:type="pct"/>
            <w:tcBorders>
              <w:top w:val="nil"/>
              <w:left w:val="nil"/>
              <w:bottom w:val="single" w:sz="4" w:space="0" w:color="A6A6A6"/>
              <w:right w:val="single" w:sz="4" w:space="0" w:color="A6A6A6"/>
            </w:tcBorders>
            <w:vAlign w:val="center"/>
            <w:hideMark/>
          </w:tcPr>
          <w:p w14:paraId="4A9E523F"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13,591,525.00</w:t>
            </w:r>
          </w:p>
        </w:tc>
        <w:tc>
          <w:tcPr>
            <w:tcW w:w="1006" w:type="pct"/>
            <w:tcBorders>
              <w:top w:val="nil"/>
              <w:left w:val="nil"/>
              <w:bottom w:val="single" w:sz="4" w:space="0" w:color="A6A6A6"/>
              <w:right w:val="single" w:sz="4" w:space="0" w:color="A6A6A6"/>
            </w:tcBorders>
            <w:vAlign w:val="center"/>
            <w:hideMark/>
          </w:tcPr>
          <w:p w14:paraId="36C606CA"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13,591,525.00</w:t>
            </w:r>
          </w:p>
        </w:tc>
      </w:tr>
      <w:tr w:rsidR="00B76E04" w:rsidRPr="005030BF" w14:paraId="059091AF" w14:textId="77777777" w:rsidTr="00A7274D">
        <w:trPr>
          <w:trHeight w:val="300"/>
        </w:trPr>
        <w:tc>
          <w:tcPr>
            <w:tcW w:w="1662" w:type="pct"/>
            <w:tcBorders>
              <w:top w:val="nil"/>
              <w:left w:val="single" w:sz="4" w:space="0" w:color="A6A6A6"/>
              <w:bottom w:val="single" w:sz="4" w:space="0" w:color="A6A6A6"/>
              <w:right w:val="single" w:sz="4" w:space="0" w:color="A6A6A6"/>
            </w:tcBorders>
            <w:vAlign w:val="center"/>
            <w:hideMark/>
          </w:tcPr>
          <w:p w14:paraId="0E453541" w14:textId="77777777" w:rsidR="00B76E04" w:rsidRPr="005030BF" w:rsidRDefault="00B76E04" w:rsidP="004C246C">
            <w:pPr>
              <w:spacing w:line="360" w:lineRule="auto"/>
              <w:jc w:val="both"/>
              <w:rPr>
                <w:color w:val="000000"/>
                <w:sz w:val="20"/>
                <w:szCs w:val="20"/>
              </w:rPr>
            </w:pPr>
            <w:r w:rsidRPr="005030BF">
              <w:rPr>
                <w:color w:val="000000"/>
                <w:sz w:val="20"/>
                <w:szCs w:val="20"/>
              </w:rPr>
              <w:t>Tribunal de Justicia Administrativa</w:t>
            </w:r>
          </w:p>
        </w:tc>
        <w:tc>
          <w:tcPr>
            <w:tcW w:w="1201" w:type="pct"/>
            <w:tcBorders>
              <w:top w:val="nil"/>
              <w:left w:val="nil"/>
              <w:bottom w:val="single" w:sz="4" w:space="0" w:color="A6A6A6"/>
              <w:right w:val="single" w:sz="4" w:space="0" w:color="A6A6A6"/>
            </w:tcBorders>
            <w:vAlign w:val="center"/>
            <w:hideMark/>
          </w:tcPr>
          <w:p w14:paraId="1018AD86"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eastAsia="es-MX"/>
              </w:rPr>
              <w:t>67,017,097.00</w:t>
            </w:r>
          </w:p>
        </w:tc>
        <w:tc>
          <w:tcPr>
            <w:tcW w:w="1131" w:type="pct"/>
            <w:tcBorders>
              <w:top w:val="nil"/>
              <w:left w:val="nil"/>
              <w:bottom w:val="single" w:sz="4" w:space="0" w:color="A6A6A6"/>
              <w:right w:val="single" w:sz="4" w:space="0" w:color="A6A6A6"/>
            </w:tcBorders>
            <w:vAlign w:val="center"/>
            <w:hideMark/>
          </w:tcPr>
          <w:p w14:paraId="1DC595EB"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68,702,061.00</w:t>
            </w:r>
          </w:p>
        </w:tc>
        <w:tc>
          <w:tcPr>
            <w:tcW w:w="1006" w:type="pct"/>
            <w:tcBorders>
              <w:top w:val="nil"/>
              <w:left w:val="nil"/>
              <w:bottom w:val="single" w:sz="4" w:space="0" w:color="A6A6A6"/>
              <w:right w:val="single" w:sz="4" w:space="0" w:color="A6A6A6"/>
            </w:tcBorders>
            <w:vAlign w:val="center"/>
            <w:hideMark/>
          </w:tcPr>
          <w:p w14:paraId="4015209A"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68,702,061.00</w:t>
            </w:r>
          </w:p>
        </w:tc>
      </w:tr>
      <w:tr w:rsidR="00B76E04" w:rsidRPr="005030BF" w14:paraId="48B26B39" w14:textId="77777777" w:rsidTr="00A7274D">
        <w:trPr>
          <w:trHeight w:val="510"/>
        </w:trPr>
        <w:tc>
          <w:tcPr>
            <w:tcW w:w="1662" w:type="pct"/>
            <w:tcBorders>
              <w:top w:val="nil"/>
              <w:left w:val="single" w:sz="4" w:space="0" w:color="A6A6A6"/>
              <w:bottom w:val="single" w:sz="4" w:space="0" w:color="A6A6A6"/>
              <w:right w:val="single" w:sz="4" w:space="0" w:color="A6A6A6"/>
            </w:tcBorders>
            <w:vAlign w:val="center"/>
            <w:hideMark/>
          </w:tcPr>
          <w:p w14:paraId="1631A2F8" w14:textId="77777777" w:rsidR="00B76E04" w:rsidRPr="005030BF" w:rsidRDefault="00B76E04" w:rsidP="004C246C">
            <w:pPr>
              <w:spacing w:line="360" w:lineRule="auto"/>
              <w:jc w:val="both"/>
              <w:rPr>
                <w:color w:val="000000"/>
                <w:sz w:val="20"/>
                <w:szCs w:val="20"/>
              </w:rPr>
            </w:pPr>
            <w:r w:rsidRPr="005030BF">
              <w:rPr>
                <w:color w:val="000000"/>
                <w:sz w:val="20"/>
                <w:szCs w:val="20"/>
              </w:rPr>
              <w:t>Fiscalía General de Justicia del Estado de Tlaxcala</w:t>
            </w:r>
          </w:p>
        </w:tc>
        <w:tc>
          <w:tcPr>
            <w:tcW w:w="1201" w:type="pct"/>
            <w:tcBorders>
              <w:top w:val="nil"/>
              <w:left w:val="nil"/>
              <w:bottom w:val="single" w:sz="4" w:space="0" w:color="A6A6A6"/>
              <w:right w:val="single" w:sz="4" w:space="0" w:color="A6A6A6"/>
            </w:tcBorders>
            <w:vAlign w:val="center"/>
            <w:hideMark/>
          </w:tcPr>
          <w:p w14:paraId="0945C702"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eastAsia="es-MX"/>
              </w:rPr>
              <w:t>505,000,000.00</w:t>
            </w:r>
          </w:p>
        </w:tc>
        <w:tc>
          <w:tcPr>
            <w:tcW w:w="1131" w:type="pct"/>
            <w:tcBorders>
              <w:top w:val="nil"/>
              <w:left w:val="nil"/>
              <w:bottom w:val="single" w:sz="4" w:space="0" w:color="A6A6A6"/>
              <w:right w:val="single" w:sz="4" w:space="0" w:color="A6A6A6"/>
            </w:tcBorders>
            <w:vAlign w:val="center"/>
            <w:hideMark/>
          </w:tcPr>
          <w:p w14:paraId="54F05312"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538,550,000.00</w:t>
            </w:r>
          </w:p>
        </w:tc>
        <w:tc>
          <w:tcPr>
            <w:tcW w:w="1006" w:type="pct"/>
            <w:tcBorders>
              <w:top w:val="nil"/>
              <w:left w:val="nil"/>
              <w:bottom w:val="single" w:sz="4" w:space="0" w:color="A6A6A6"/>
              <w:right w:val="single" w:sz="4" w:space="0" w:color="A6A6A6"/>
            </w:tcBorders>
            <w:vAlign w:val="center"/>
            <w:hideMark/>
          </w:tcPr>
          <w:p w14:paraId="22AFADFC" w14:textId="77777777" w:rsidR="00B76E04" w:rsidRPr="005030BF" w:rsidRDefault="00B76E04" w:rsidP="004C246C">
            <w:pPr>
              <w:spacing w:line="360" w:lineRule="auto"/>
              <w:jc w:val="right"/>
              <w:rPr>
                <w:color w:val="000000"/>
                <w:sz w:val="20"/>
                <w:szCs w:val="20"/>
                <w:lang w:val="es-MX" w:eastAsia="es-MX"/>
              </w:rPr>
            </w:pPr>
            <w:r w:rsidRPr="005030BF">
              <w:rPr>
                <w:color w:val="000000"/>
                <w:sz w:val="20"/>
                <w:szCs w:val="20"/>
                <w:lang w:val="es-MX" w:eastAsia="es-MX"/>
              </w:rPr>
              <w:t>538,550,000.00</w:t>
            </w:r>
          </w:p>
        </w:tc>
      </w:tr>
      <w:tr w:rsidR="00B76E04" w:rsidRPr="005030BF" w14:paraId="304951C0" w14:textId="77777777" w:rsidTr="00A7274D">
        <w:trPr>
          <w:trHeight w:val="300"/>
        </w:trPr>
        <w:tc>
          <w:tcPr>
            <w:tcW w:w="1662" w:type="pct"/>
            <w:tcBorders>
              <w:top w:val="nil"/>
              <w:left w:val="single" w:sz="4" w:space="0" w:color="A6A6A6"/>
              <w:bottom w:val="single" w:sz="4" w:space="0" w:color="A6A6A6"/>
              <w:right w:val="single" w:sz="4" w:space="0" w:color="A6A6A6"/>
            </w:tcBorders>
            <w:shd w:val="clear" w:color="000000" w:fill="CCCCCC"/>
            <w:vAlign w:val="center"/>
            <w:hideMark/>
          </w:tcPr>
          <w:p w14:paraId="7FC838E7" w14:textId="77777777" w:rsidR="00B76E04" w:rsidRPr="005030BF" w:rsidRDefault="00B76E04" w:rsidP="004C246C">
            <w:pPr>
              <w:spacing w:line="360" w:lineRule="auto"/>
              <w:jc w:val="center"/>
              <w:rPr>
                <w:b/>
                <w:bCs/>
                <w:color w:val="000000"/>
                <w:sz w:val="20"/>
                <w:szCs w:val="20"/>
                <w:lang w:val="es-MX" w:eastAsia="es-MX"/>
              </w:rPr>
            </w:pPr>
            <w:r w:rsidRPr="005030BF">
              <w:rPr>
                <w:b/>
                <w:bCs/>
                <w:color w:val="000000"/>
                <w:sz w:val="20"/>
                <w:szCs w:val="20"/>
                <w:lang w:eastAsia="es-MX"/>
              </w:rPr>
              <w:t>TOTAL</w:t>
            </w:r>
          </w:p>
        </w:tc>
        <w:tc>
          <w:tcPr>
            <w:tcW w:w="1201" w:type="pct"/>
            <w:tcBorders>
              <w:top w:val="nil"/>
              <w:left w:val="nil"/>
              <w:bottom w:val="single" w:sz="4" w:space="0" w:color="A6A6A6"/>
              <w:right w:val="single" w:sz="4" w:space="0" w:color="A6A6A6"/>
            </w:tcBorders>
            <w:shd w:val="clear" w:color="000000" w:fill="CCCCCC"/>
            <w:vAlign w:val="center"/>
            <w:hideMark/>
          </w:tcPr>
          <w:p w14:paraId="3F3BF5E5" w14:textId="77777777" w:rsidR="00B76E04" w:rsidRPr="005030BF" w:rsidRDefault="00B76E04" w:rsidP="004C246C">
            <w:pPr>
              <w:spacing w:line="360" w:lineRule="auto"/>
              <w:jc w:val="right"/>
              <w:rPr>
                <w:b/>
                <w:bCs/>
                <w:color w:val="000000"/>
                <w:sz w:val="20"/>
                <w:szCs w:val="20"/>
                <w:lang w:val="es-MX" w:eastAsia="es-MX"/>
              </w:rPr>
            </w:pPr>
            <w:r w:rsidRPr="005030BF">
              <w:rPr>
                <w:b/>
                <w:bCs/>
                <w:color w:val="000000"/>
                <w:sz w:val="20"/>
                <w:szCs w:val="20"/>
                <w:lang w:eastAsia="es-MX"/>
              </w:rPr>
              <w:t>1,957,795,125.00</w:t>
            </w:r>
          </w:p>
        </w:tc>
        <w:tc>
          <w:tcPr>
            <w:tcW w:w="1131" w:type="pct"/>
            <w:tcBorders>
              <w:top w:val="nil"/>
              <w:left w:val="nil"/>
              <w:bottom w:val="single" w:sz="4" w:space="0" w:color="A6A6A6"/>
              <w:right w:val="single" w:sz="4" w:space="0" w:color="A6A6A6"/>
            </w:tcBorders>
            <w:shd w:val="clear" w:color="000000" w:fill="CCCCCC"/>
            <w:vAlign w:val="center"/>
            <w:hideMark/>
          </w:tcPr>
          <w:p w14:paraId="7A553551" w14:textId="522922BA" w:rsidR="00B76E04" w:rsidRPr="005030BF" w:rsidRDefault="00B76E04" w:rsidP="004C246C">
            <w:pPr>
              <w:spacing w:line="360" w:lineRule="auto"/>
              <w:jc w:val="right"/>
              <w:rPr>
                <w:b/>
                <w:bCs/>
                <w:color w:val="000000"/>
                <w:sz w:val="20"/>
                <w:szCs w:val="20"/>
                <w:lang w:val="es-MX" w:eastAsia="es-MX"/>
              </w:rPr>
            </w:pPr>
            <w:r w:rsidRPr="005030BF">
              <w:rPr>
                <w:b/>
                <w:bCs/>
                <w:color w:val="000000"/>
                <w:sz w:val="20"/>
                <w:szCs w:val="20"/>
                <w:lang w:eastAsia="es-MX"/>
              </w:rPr>
              <w:t>2,078,238,05</w:t>
            </w:r>
            <w:r w:rsidR="007607E0">
              <w:rPr>
                <w:b/>
                <w:bCs/>
                <w:color w:val="000000"/>
                <w:sz w:val="20"/>
                <w:szCs w:val="20"/>
                <w:lang w:eastAsia="es-MX"/>
              </w:rPr>
              <w:t>9</w:t>
            </w:r>
            <w:r w:rsidRPr="005030BF">
              <w:rPr>
                <w:b/>
                <w:bCs/>
                <w:color w:val="000000"/>
                <w:sz w:val="20"/>
                <w:szCs w:val="20"/>
                <w:lang w:eastAsia="es-MX"/>
              </w:rPr>
              <w:t>.00</w:t>
            </w:r>
          </w:p>
        </w:tc>
        <w:tc>
          <w:tcPr>
            <w:tcW w:w="1006" w:type="pct"/>
            <w:tcBorders>
              <w:top w:val="nil"/>
              <w:left w:val="nil"/>
              <w:bottom w:val="single" w:sz="4" w:space="0" w:color="A6A6A6"/>
              <w:right w:val="single" w:sz="4" w:space="0" w:color="A6A6A6"/>
            </w:tcBorders>
            <w:shd w:val="clear" w:color="000000" w:fill="CCCCCC"/>
            <w:vAlign w:val="center"/>
            <w:hideMark/>
          </w:tcPr>
          <w:p w14:paraId="31EB708B" w14:textId="77777777" w:rsidR="00B76E04" w:rsidRPr="005030BF" w:rsidRDefault="00B76E04" w:rsidP="004C246C">
            <w:pPr>
              <w:spacing w:line="360" w:lineRule="auto"/>
              <w:jc w:val="right"/>
              <w:rPr>
                <w:b/>
                <w:bCs/>
                <w:color w:val="000000"/>
                <w:sz w:val="20"/>
                <w:szCs w:val="20"/>
                <w:lang w:val="es-MX" w:eastAsia="es-MX"/>
              </w:rPr>
            </w:pPr>
            <w:r w:rsidRPr="005030BF">
              <w:rPr>
                <w:b/>
                <w:bCs/>
                <w:color w:val="000000"/>
                <w:sz w:val="20"/>
                <w:szCs w:val="20"/>
                <w:lang w:eastAsia="es-MX"/>
              </w:rPr>
              <w:t>2,072,619,166.00</w:t>
            </w:r>
          </w:p>
        </w:tc>
      </w:tr>
    </w:tbl>
    <w:p w14:paraId="2CB8C932" w14:textId="77777777" w:rsidR="00B76E04" w:rsidRDefault="00B76E04" w:rsidP="004C246C">
      <w:pPr>
        <w:spacing w:line="360" w:lineRule="auto"/>
        <w:jc w:val="both"/>
        <w:rPr>
          <w:sz w:val="20"/>
          <w:szCs w:val="20"/>
        </w:rPr>
      </w:pPr>
    </w:p>
    <w:sectPr w:rsidR="00B76E04" w:rsidSect="00F7063E">
      <w:footerReference w:type="even" r:id="rId46"/>
      <w:footerReference w:type="default" r:id="rId47"/>
      <w:pgSz w:w="12240" w:h="15840"/>
      <w:pgMar w:top="2835" w:right="851" w:bottom="1242" w:left="3232"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CE025" w14:textId="77777777" w:rsidR="00FF54F1" w:rsidRDefault="00FF54F1">
      <w:r>
        <w:separator/>
      </w:r>
    </w:p>
  </w:endnote>
  <w:endnote w:type="continuationSeparator" w:id="0">
    <w:p w14:paraId="53BC64C1" w14:textId="77777777" w:rsidR="00FF54F1" w:rsidRDefault="00FF5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WenQuanYi Micro Hei">
    <w:altName w:val="MS Gothic"/>
    <w:charset w:val="80"/>
    <w:family w:val="auto"/>
    <w:pitch w:val="variable"/>
  </w:font>
  <w:font w:name="Lohit Hindi">
    <w:altName w:val="MS Gothic"/>
    <w:charset w:val="80"/>
    <w:family w:val="auto"/>
    <w:pitch w:val="variable"/>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68D9" w14:textId="77777777" w:rsidR="0043720D" w:rsidRDefault="0043720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5B0CE5" w14:textId="77777777" w:rsidR="0043720D" w:rsidRDefault="0043720D">
    <w:pPr>
      <w:pStyle w:val="Piedepgina"/>
      <w:ind w:right="360"/>
    </w:pPr>
  </w:p>
  <w:p w14:paraId="217F9001" w14:textId="77777777" w:rsidR="0043720D" w:rsidRDefault="004372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89B88" w14:textId="12411C1A" w:rsidR="0043720D" w:rsidRPr="00F34DCB" w:rsidRDefault="0043720D">
    <w:pPr>
      <w:pStyle w:val="Piedepgina"/>
      <w:framePr w:wrap="around" w:vAnchor="text" w:hAnchor="margin" w:xAlign="right" w:y="1"/>
      <w:rPr>
        <w:rStyle w:val="Nmerodepgina"/>
        <w:sz w:val="20"/>
        <w:szCs w:val="20"/>
      </w:rPr>
    </w:pPr>
    <w:r w:rsidRPr="00F34DCB">
      <w:rPr>
        <w:rStyle w:val="Nmerodepgina"/>
        <w:sz w:val="20"/>
        <w:szCs w:val="20"/>
      </w:rPr>
      <w:fldChar w:fldCharType="begin"/>
    </w:r>
    <w:r w:rsidRPr="00F34DCB">
      <w:rPr>
        <w:rStyle w:val="Nmerodepgina"/>
        <w:sz w:val="20"/>
        <w:szCs w:val="20"/>
      </w:rPr>
      <w:instrText xml:space="preserve">PAGE  </w:instrText>
    </w:r>
    <w:r w:rsidRPr="00F34DCB">
      <w:rPr>
        <w:rStyle w:val="Nmerodepgina"/>
        <w:sz w:val="20"/>
        <w:szCs w:val="20"/>
      </w:rPr>
      <w:fldChar w:fldCharType="separate"/>
    </w:r>
    <w:r w:rsidR="00D7018E" w:rsidRPr="00F34DCB">
      <w:rPr>
        <w:rStyle w:val="Nmerodepgina"/>
        <w:noProof/>
        <w:sz w:val="20"/>
        <w:szCs w:val="20"/>
      </w:rPr>
      <w:t>67</w:t>
    </w:r>
    <w:r w:rsidRPr="00F34DCB">
      <w:rPr>
        <w:rStyle w:val="Nmerodepgina"/>
        <w:sz w:val="20"/>
        <w:szCs w:val="20"/>
      </w:rPr>
      <w:fldChar w:fldCharType="end"/>
    </w:r>
  </w:p>
  <w:p w14:paraId="29639736" w14:textId="77777777" w:rsidR="0043720D" w:rsidRDefault="0043720D">
    <w:pPr>
      <w:pStyle w:val="Piedepgina"/>
      <w:ind w:right="360"/>
    </w:pPr>
  </w:p>
  <w:p w14:paraId="7264CF5E" w14:textId="77777777" w:rsidR="0043720D" w:rsidRDefault="004372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EE8D1" w14:textId="77777777" w:rsidR="00FF54F1" w:rsidRDefault="00FF54F1">
      <w:r>
        <w:separator/>
      </w:r>
    </w:p>
  </w:footnote>
  <w:footnote w:type="continuationSeparator" w:id="0">
    <w:p w14:paraId="674A63C1" w14:textId="77777777" w:rsidR="00FF54F1" w:rsidRDefault="00FF54F1">
      <w:r>
        <w:continuationSeparator/>
      </w:r>
    </w:p>
  </w:footnote>
  <w:footnote w:id="1">
    <w:p w14:paraId="03A07A50" w14:textId="77777777" w:rsidR="000F5B29" w:rsidRDefault="000F5B29" w:rsidP="000F5B29">
      <w:pPr>
        <w:pStyle w:val="Textonotapie"/>
        <w:rPr>
          <w:sz w:val="16"/>
        </w:rPr>
      </w:pPr>
      <w:r w:rsidRPr="008D5C06">
        <w:rPr>
          <w:rStyle w:val="Refdenotaalpie"/>
          <w:b/>
          <w:sz w:val="16"/>
        </w:rPr>
        <w:footnoteRef/>
      </w:r>
      <w:r w:rsidRPr="008D5C06">
        <w:rPr>
          <w:sz w:val="16"/>
        </w:rPr>
        <w:t xml:space="preserve"> Valuaciones Actuariales del Norte, S.C. Consultoría Actuarial.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1ED221F"/>
    <w:multiLevelType w:val="hybridMultilevel"/>
    <w:tmpl w:val="540A89C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B1B6402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400DC6"/>
    <w:multiLevelType w:val="hybridMultilevel"/>
    <w:tmpl w:val="7D8834C6"/>
    <w:lvl w:ilvl="0" w:tplc="12CA27D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7643D5"/>
    <w:multiLevelType w:val="hybridMultilevel"/>
    <w:tmpl w:val="83469D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30943"/>
    <w:multiLevelType w:val="hybridMultilevel"/>
    <w:tmpl w:val="169E0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3E78FA"/>
    <w:multiLevelType w:val="hybridMultilevel"/>
    <w:tmpl w:val="3BC8C926"/>
    <w:lvl w:ilvl="0" w:tplc="442E08E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52668AC"/>
    <w:multiLevelType w:val="hybridMultilevel"/>
    <w:tmpl w:val="C5DE84E8"/>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36E9372A"/>
    <w:multiLevelType w:val="hybridMultilevel"/>
    <w:tmpl w:val="F5B8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3C0663"/>
    <w:multiLevelType w:val="hybridMultilevel"/>
    <w:tmpl w:val="82CC40C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C900253"/>
    <w:multiLevelType w:val="hybridMultilevel"/>
    <w:tmpl w:val="92843B2E"/>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3C1B82"/>
    <w:multiLevelType w:val="hybridMultilevel"/>
    <w:tmpl w:val="4D763F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751C0A"/>
    <w:multiLevelType w:val="hybridMultilevel"/>
    <w:tmpl w:val="BDEA5C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CC301E"/>
    <w:multiLevelType w:val="hybridMultilevel"/>
    <w:tmpl w:val="6A7EB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C82FE9"/>
    <w:multiLevelType w:val="hybridMultilevel"/>
    <w:tmpl w:val="7F7C55D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6ADB2D86"/>
    <w:multiLevelType w:val="hybridMultilevel"/>
    <w:tmpl w:val="4B569FBC"/>
    <w:lvl w:ilvl="0" w:tplc="E2CAEB70">
      <w:start w:val="3"/>
      <w:numFmt w:val="upperRoman"/>
      <w:lvlText w:val="%1."/>
      <w:lvlJc w:val="left"/>
      <w:pPr>
        <w:ind w:left="1069"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F87750"/>
    <w:multiLevelType w:val="hybridMultilevel"/>
    <w:tmpl w:val="0CB4A5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3026661"/>
    <w:multiLevelType w:val="hybridMultilevel"/>
    <w:tmpl w:val="C10EBFD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0F">
      <w:start w:val="1"/>
      <w:numFmt w:val="decimal"/>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FC07FB"/>
    <w:multiLevelType w:val="hybridMultilevel"/>
    <w:tmpl w:val="9D4A9E34"/>
    <w:lvl w:ilvl="0" w:tplc="12A82AF2">
      <w:start w:val="1"/>
      <w:numFmt w:val="decimal"/>
      <w:lvlText w:val="II.%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6A182C"/>
    <w:multiLevelType w:val="hybridMultilevel"/>
    <w:tmpl w:val="044E981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22882872">
    <w:abstractNumId w:val="7"/>
  </w:num>
  <w:num w:numId="2" w16cid:durableId="244188725">
    <w:abstractNumId w:val="0"/>
  </w:num>
  <w:num w:numId="3" w16cid:durableId="1502624846">
    <w:abstractNumId w:val="15"/>
  </w:num>
  <w:num w:numId="4" w16cid:durableId="284511204">
    <w:abstractNumId w:val="10"/>
  </w:num>
  <w:num w:numId="5" w16cid:durableId="15873041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79159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256786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4555954">
    <w:abstractNumId w:val="19"/>
    <w:lvlOverride w:ilvl="0">
      <w:startOverride w:val="1"/>
    </w:lvlOverride>
    <w:lvlOverride w:ilvl="1"/>
    <w:lvlOverride w:ilvl="2"/>
    <w:lvlOverride w:ilvl="3"/>
    <w:lvlOverride w:ilvl="4"/>
    <w:lvlOverride w:ilvl="5"/>
    <w:lvlOverride w:ilvl="6"/>
    <w:lvlOverride w:ilvl="7"/>
    <w:lvlOverride w:ilvl="8"/>
  </w:num>
  <w:num w:numId="9" w16cid:durableId="16914498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38133799">
    <w:abstractNumId w:val="16"/>
    <w:lvlOverride w:ilvl="0">
      <w:startOverride w:val="1"/>
    </w:lvlOverride>
    <w:lvlOverride w:ilvl="1"/>
    <w:lvlOverride w:ilvl="2"/>
    <w:lvlOverride w:ilvl="3"/>
    <w:lvlOverride w:ilvl="4"/>
    <w:lvlOverride w:ilvl="5"/>
    <w:lvlOverride w:ilvl="6"/>
    <w:lvlOverride w:ilvl="7"/>
    <w:lvlOverride w:ilvl="8"/>
  </w:num>
  <w:num w:numId="11" w16cid:durableId="1185634250">
    <w:abstractNumId w:val="3"/>
  </w:num>
  <w:num w:numId="12" w16cid:durableId="15842243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3598544">
    <w:abstractNumId w:val="5"/>
  </w:num>
  <w:num w:numId="14" w16cid:durableId="350497342">
    <w:abstractNumId w:val="6"/>
  </w:num>
  <w:num w:numId="15" w16cid:durableId="1031684079">
    <w:abstractNumId w:val="2"/>
  </w:num>
  <w:num w:numId="16" w16cid:durableId="327830685">
    <w:abstractNumId w:val="18"/>
  </w:num>
  <w:num w:numId="17" w16cid:durableId="934242759">
    <w:abstractNumId w:val="4"/>
  </w:num>
  <w:num w:numId="18" w16cid:durableId="1957369177">
    <w:abstractNumId w:val="11"/>
  </w:num>
  <w:num w:numId="19" w16cid:durableId="523788406">
    <w:abstractNumId w:val="3"/>
  </w:num>
  <w:num w:numId="20" w16cid:durableId="1770614745">
    <w:abstractNumId w:val="17"/>
  </w:num>
  <w:num w:numId="21" w16cid:durableId="479426447">
    <w:abstractNumId w:val="1"/>
  </w:num>
  <w:num w:numId="22" w16cid:durableId="10762455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8301666">
    <w:abstractNumId w:val="8"/>
  </w:num>
  <w:num w:numId="24" w16cid:durableId="87504345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0EF"/>
    <w:rsid w:val="0000030A"/>
    <w:rsid w:val="00000FA7"/>
    <w:rsid w:val="000016D4"/>
    <w:rsid w:val="00001E51"/>
    <w:rsid w:val="00003668"/>
    <w:rsid w:val="00003E69"/>
    <w:rsid w:val="00004492"/>
    <w:rsid w:val="00005E9A"/>
    <w:rsid w:val="00005EEF"/>
    <w:rsid w:val="000063F6"/>
    <w:rsid w:val="0000685C"/>
    <w:rsid w:val="00006F88"/>
    <w:rsid w:val="000072AB"/>
    <w:rsid w:val="000074C4"/>
    <w:rsid w:val="000077C3"/>
    <w:rsid w:val="000101E2"/>
    <w:rsid w:val="0001044C"/>
    <w:rsid w:val="000107BD"/>
    <w:rsid w:val="00010C6E"/>
    <w:rsid w:val="00010E5A"/>
    <w:rsid w:val="000112AE"/>
    <w:rsid w:val="00011FEF"/>
    <w:rsid w:val="0001293C"/>
    <w:rsid w:val="00014202"/>
    <w:rsid w:val="000144A5"/>
    <w:rsid w:val="000146F1"/>
    <w:rsid w:val="00014E2C"/>
    <w:rsid w:val="00015522"/>
    <w:rsid w:val="000164F7"/>
    <w:rsid w:val="00016B9D"/>
    <w:rsid w:val="00016F5C"/>
    <w:rsid w:val="000206DD"/>
    <w:rsid w:val="00021E5F"/>
    <w:rsid w:val="0002266C"/>
    <w:rsid w:val="00022F56"/>
    <w:rsid w:val="000230E7"/>
    <w:rsid w:val="00023C9E"/>
    <w:rsid w:val="00024051"/>
    <w:rsid w:val="0002434B"/>
    <w:rsid w:val="000243FF"/>
    <w:rsid w:val="000249C5"/>
    <w:rsid w:val="00024D39"/>
    <w:rsid w:val="00025397"/>
    <w:rsid w:val="00025734"/>
    <w:rsid w:val="00025F64"/>
    <w:rsid w:val="000269AE"/>
    <w:rsid w:val="00026B01"/>
    <w:rsid w:val="00027340"/>
    <w:rsid w:val="00027687"/>
    <w:rsid w:val="000278F8"/>
    <w:rsid w:val="000278FB"/>
    <w:rsid w:val="00030E5A"/>
    <w:rsid w:val="00030F41"/>
    <w:rsid w:val="00030F48"/>
    <w:rsid w:val="00031372"/>
    <w:rsid w:val="00031482"/>
    <w:rsid w:val="0003195E"/>
    <w:rsid w:val="00031EAA"/>
    <w:rsid w:val="0003269E"/>
    <w:rsid w:val="00032945"/>
    <w:rsid w:val="00032997"/>
    <w:rsid w:val="000329CA"/>
    <w:rsid w:val="00032AD8"/>
    <w:rsid w:val="000332C8"/>
    <w:rsid w:val="00033F47"/>
    <w:rsid w:val="00034AAC"/>
    <w:rsid w:val="00035B46"/>
    <w:rsid w:val="00036390"/>
    <w:rsid w:val="00036443"/>
    <w:rsid w:val="00036CF5"/>
    <w:rsid w:val="00036EB0"/>
    <w:rsid w:val="00037244"/>
    <w:rsid w:val="0003793F"/>
    <w:rsid w:val="0004086F"/>
    <w:rsid w:val="00040FEE"/>
    <w:rsid w:val="00041251"/>
    <w:rsid w:val="0004185D"/>
    <w:rsid w:val="000419CB"/>
    <w:rsid w:val="00041C0F"/>
    <w:rsid w:val="00042618"/>
    <w:rsid w:val="00043A8D"/>
    <w:rsid w:val="000453AB"/>
    <w:rsid w:val="0004561E"/>
    <w:rsid w:val="0004563A"/>
    <w:rsid w:val="000457B8"/>
    <w:rsid w:val="00046154"/>
    <w:rsid w:val="000464D9"/>
    <w:rsid w:val="00046517"/>
    <w:rsid w:val="000465F6"/>
    <w:rsid w:val="00046FA9"/>
    <w:rsid w:val="0004781A"/>
    <w:rsid w:val="00047D6B"/>
    <w:rsid w:val="00050553"/>
    <w:rsid w:val="00051197"/>
    <w:rsid w:val="000514B9"/>
    <w:rsid w:val="00052956"/>
    <w:rsid w:val="00052E8A"/>
    <w:rsid w:val="000536DC"/>
    <w:rsid w:val="0005391A"/>
    <w:rsid w:val="00054E52"/>
    <w:rsid w:val="00055622"/>
    <w:rsid w:val="00055F2E"/>
    <w:rsid w:val="00056063"/>
    <w:rsid w:val="000605CD"/>
    <w:rsid w:val="000608E1"/>
    <w:rsid w:val="000617EA"/>
    <w:rsid w:val="00061F28"/>
    <w:rsid w:val="000636B0"/>
    <w:rsid w:val="00064B2F"/>
    <w:rsid w:val="00065C33"/>
    <w:rsid w:val="00066384"/>
    <w:rsid w:val="00066A03"/>
    <w:rsid w:val="00066F0B"/>
    <w:rsid w:val="0006789E"/>
    <w:rsid w:val="00067DA5"/>
    <w:rsid w:val="00067F11"/>
    <w:rsid w:val="00070181"/>
    <w:rsid w:val="00070774"/>
    <w:rsid w:val="000712BA"/>
    <w:rsid w:val="00071DE8"/>
    <w:rsid w:val="0007248C"/>
    <w:rsid w:val="00072717"/>
    <w:rsid w:val="000732EF"/>
    <w:rsid w:val="00073F8A"/>
    <w:rsid w:val="000742E4"/>
    <w:rsid w:val="00075E18"/>
    <w:rsid w:val="000760AB"/>
    <w:rsid w:val="00076254"/>
    <w:rsid w:val="00076CFA"/>
    <w:rsid w:val="00077375"/>
    <w:rsid w:val="000777E1"/>
    <w:rsid w:val="00077991"/>
    <w:rsid w:val="0008023A"/>
    <w:rsid w:val="00080C8A"/>
    <w:rsid w:val="00081031"/>
    <w:rsid w:val="000821A9"/>
    <w:rsid w:val="00083089"/>
    <w:rsid w:val="000836E3"/>
    <w:rsid w:val="00085747"/>
    <w:rsid w:val="00086492"/>
    <w:rsid w:val="000876A7"/>
    <w:rsid w:val="00087FC6"/>
    <w:rsid w:val="000902B8"/>
    <w:rsid w:val="00091905"/>
    <w:rsid w:val="00091A03"/>
    <w:rsid w:val="00091AA8"/>
    <w:rsid w:val="00092209"/>
    <w:rsid w:val="000926BC"/>
    <w:rsid w:val="000930D1"/>
    <w:rsid w:val="000949F0"/>
    <w:rsid w:val="00095070"/>
    <w:rsid w:val="000954E8"/>
    <w:rsid w:val="00095A1B"/>
    <w:rsid w:val="00096368"/>
    <w:rsid w:val="000964D7"/>
    <w:rsid w:val="00096732"/>
    <w:rsid w:val="000967F0"/>
    <w:rsid w:val="00097A4E"/>
    <w:rsid w:val="000A106B"/>
    <w:rsid w:val="000A177B"/>
    <w:rsid w:val="000A2328"/>
    <w:rsid w:val="000A27C1"/>
    <w:rsid w:val="000A2BD7"/>
    <w:rsid w:val="000A2F07"/>
    <w:rsid w:val="000A2FD9"/>
    <w:rsid w:val="000A3613"/>
    <w:rsid w:val="000A3C10"/>
    <w:rsid w:val="000A58D0"/>
    <w:rsid w:val="000A59C5"/>
    <w:rsid w:val="000A60F1"/>
    <w:rsid w:val="000A72EA"/>
    <w:rsid w:val="000A7D09"/>
    <w:rsid w:val="000B0026"/>
    <w:rsid w:val="000B0656"/>
    <w:rsid w:val="000B06A2"/>
    <w:rsid w:val="000B0F05"/>
    <w:rsid w:val="000B0FF2"/>
    <w:rsid w:val="000B1855"/>
    <w:rsid w:val="000B1865"/>
    <w:rsid w:val="000B200E"/>
    <w:rsid w:val="000B2A16"/>
    <w:rsid w:val="000B2C15"/>
    <w:rsid w:val="000B3142"/>
    <w:rsid w:val="000B4BED"/>
    <w:rsid w:val="000B64B4"/>
    <w:rsid w:val="000B6BAE"/>
    <w:rsid w:val="000B6E2A"/>
    <w:rsid w:val="000B7018"/>
    <w:rsid w:val="000B70CA"/>
    <w:rsid w:val="000B758F"/>
    <w:rsid w:val="000B7AF1"/>
    <w:rsid w:val="000B7DD7"/>
    <w:rsid w:val="000C082B"/>
    <w:rsid w:val="000C0878"/>
    <w:rsid w:val="000C133F"/>
    <w:rsid w:val="000C142B"/>
    <w:rsid w:val="000C1466"/>
    <w:rsid w:val="000C230C"/>
    <w:rsid w:val="000C2C43"/>
    <w:rsid w:val="000C31C1"/>
    <w:rsid w:val="000C422C"/>
    <w:rsid w:val="000C4845"/>
    <w:rsid w:val="000C4DEF"/>
    <w:rsid w:val="000C6D37"/>
    <w:rsid w:val="000C786F"/>
    <w:rsid w:val="000C7F14"/>
    <w:rsid w:val="000D00BB"/>
    <w:rsid w:val="000D029F"/>
    <w:rsid w:val="000D03EA"/>
    <w:rsid w:val="000D227D"/>
    <w:rsid w:val="000D292C"/>
    <w:rsid w:val="000D2F46"/>
    <w:rsid w:val="000D4121"/>
    <w:rsid w:val="000D44F7"/>
    <w:rsid w:val="000D4505"/>
    <w:rsid w:val="000D48BE"/>
    <w:rsid w:val="000D4CB0"/>
    <w:rsid w:val="000D547A"/>
    <w:rsid w:val="000D5B2A"/>
    <w:rsid w:val="000D5B2D"/>
    <w:rsid w:val="000D5CF0"/>
    <w:rsid w:val="000D686F"/>
    <w:rsid w:val="000D75EF"/>
    <w:rsid w:val="000E0407"/>
    <w:rsid w:val="000E0916"/>
    <w:rsid w:val="000E191D"/>
    <w:rsid w:val="000E1A2E"/>
    <w:rsid w:val="000E2407"/>
    <w:rsid w:val="000E2642"/>
    <w:rsid w:val="000E2BF7"/>
    <w:rsid w:val="000E3253"/>
    <w:rsid w:val="000E3EDA"/>
    <w:rsid w:val="000E4167"/>
    <w:rsid w:val="000E4844"/>
    <w:rsid w:val="000E506D"/>
    <w:rsid w:val="000E5260"/>
    <w:rsid w:val="000E6155"/>
    <w:rsid w:val="000E63DC"/>
    <w:rsid w:val="000E6552"/>
    <w:rsid w:val="000E679D"/>
    <w:rsid w:val="000E6A24"/>
    <w:rsid w:val="000E6B68"/>
    <w:rsid w:val="000E6C28"/>
    <w:rsid w:val="000E6C2E"/>
    <w:rsid w:val="000E7443"/>
    <w:rsid w:val="000E7A2C"/>
    <w:rsid w:val="000E7BDF"/>
    <w:rsid w:val="000E7FCE"/>
    <w:rsid w:val="000F1429"/>
    <w:rsid w:val="000F29B8"/>
    <w:rsid w:val="000F2F5E"/>
    <w:rsid w:val="000F2F9A"/>
    <w:rsid w:val="000F3D74"/>
    <w:rsid w:val="000F4267"/>
    <w:rsid w:val="000F4813"/>
    <w:rsid w:val="000F4B37"/>
    <w:rsid w:val="000F50CE"/>
    <w:rsid w:val="000F59F2"/>
    <w:rsid w:val="000F5B29"/>
    <w:rsid w:val="000F693B"/>
    <w:rsid w:val="000F7299"/>
    <w:rsid w:val="000F732D"/>
    <w:rsid w:val="000F7522"/>
    <w:rsid w:val="000F7599"/>
    <w:rsid w:val="000F7712"/>
    <w:rsid w:val="000F7840"/>
    <w:rsid w:val="000F7DBF"/>
    <w:rsid w:val="00100153"/>
    <w:rsid w:val="001006D7"/>
    <w:rsid w:val="00100924"/>
    <w:rsid w:val="00100D44"/>
    <w:rsid w:val="00101136"/>
    <w:rsid w:val="00101425"/>
    <w:rsid w:val="00101784"/>
    <w:rsid w:val="00101A28"/>
    <w:rsid w:val="00102539"/>
    <w:rsid w:val="00102796"/>
    <w:rsid w:val="0010294B"/>
    <w:rsid w:val="001037C8"/>
    <w:rsid w:val="00103A1C"/>
    <w:rsid w:val="00103E0C"/>
    <w:rsid w:val="001042E0"/>
    <w:rsid w:val="001054E2"/>
    <w:rsid w:val="001064D7"/>
    <w:rsid w:val="00106B6E"/>
    <w:rsid w:val="001078DE"/>
    <w:rsid w:val="00110428"/>
    <w:rsid w:val="001104EF"/>
    <w:rsid w:val="00110D17"/>
    <w:rsid w:val="00110DD7"/>
    <w:rsid w:val="00111E89"/>
    <w:rsid w:val="0011288E"/>
    <w:rsid w:val="00113204"/>
    <w:rsid w:val="00113DA7"/>
    <w:rsid w:val="00114166"/>
    <w:rsid w:val="0011434A"/>
    <w:rsid w:val="00114CC2"/>
    <w:rsid w:val="001155E9"/>
    <w:rsid w:val="001160D0"/>
    <w:rsid w:val="001160D6"/>
    <w:rsid w:val="00116B40"/>
    <w:rsid w:val="00117803"/>
    <w:rsid w:val="00117BB5"/>
    <w:rsid w:val="00120520"/>
    <w:rsid w:val="00121294"/>
    <w:rsid w:val="001215BA"/>
    <w:rsid w:val="00122CE6"/>
    <w:rsid w:val="001234C5"/>
    <w:rsid w:val="00123938"/>
    <w:rsid w:val="0012436C"/>
    <w:rsid w:val="0012456F"/>
    <w:rsid w:val="0012477B"/>
    <w:rsid w:val="00125023"/>
    <w:rsid w:val="0012505D"/>
    <w:rsid w:val="0012522F"/>
    <w:rsid w:val="00125402"/>
    <w:rsid w:val="00125A26"/>
    <w:rsid w:val="00125BC6"/>
    <w:rsid w:val="0012632B"/>
    <w:rsid w:val="00126B43"/>
    <w:rsid w:val="00126CF7"/>
    <w:rsid w:val="0012753B"/>
    <w:rsid w:val="0012754E"/>
    <w:rsid w:val="0012773A"/>
    <w:rsid w:val="0012798F"/>
    <w:rsid w:val="00127ABD"/>
    <w:rsid w:val="00127B7C"/>
    <w:rsid w:val="001316A7"/>
    <w:rsid w:val="00132DB7"/>
    <w:rsid w:val="00133215"/>
    <w:rsid w:val="00133AD1"/>
    <w:rsid w:val="001346C5"/>
    <w:rsid w:val="0013471A"/>
    <w:rsid w:val="00134C6F"/>
    <w:rsid w:val="00134E10"/>
    <w:rsid w:val="00136228"/>
    <w:rsid w:val="001368D7"/>
    <w:rsid w:val="00137EB1"/>
    <w:rsid w:val="00140548"/>
    <w:rsid w:val="001409B9"/>
    <w:rsid w:val="00140CF4"/>
    <w:rsid w:val="00141589"/>
    <w:rsid w:val="00141D80"/>
    <w:rsid w:val="00141EB9"/>
    <w:rsid w:val="001423E3"/>
    <w:rsid w:val="001425C5"/>
    <w:rsid w:val="001431C4"/>
    <w:rsid w:val="00143271"/>
    <w:rsid w:val="001436B1"/>
    <w:rsid w:val="001438AF"/>
    <w:rsid w:val="001442E8"/>
    <w:rsid w:val="001445BD"/>
    <w:rsid w:val="001446DA"/>
    <w:rsid w:val="0014472E"/>
    <w:rsid w:val="001449DD"/>
    <w:rsid w:val="001450FF"/>
    <w:rsid w:val="001451D3"/>
    <w:rsid w:val="00145B3A"/>
    <w:rsid w:val="0014604C"/>
    <w:rsid w:val="001470ED"/>
    <w:rsid w:val="001472B0"/>
    <w:rsid w:val="001474C9"/>
    <w:rsid w:val="0014757E"/>
    <w:rsid w:val="00147DF0"/>
    <w:rsid w:val="001505B5"/>
    <w:rsid w:val="00150716"/>
    <w:rsid w:val="00150A96"/>
    <w:rsid w:val="00150AEA"/>
    <w:rsid w:val="00151524"/>
    <w:rsid w:val="00153766"/>
    <w:rsid w:val="00153B83"/>
    <w:rsid w:val="0015418A"/>
    <w:rsid w:val="0015443B"/>
    <w:rsid w:val="00155340"/>
    <w:rsid w:val="001553CE"/>
    <w:rsid w:val="00156496"/>
    <w:rsid w:val="0015650C"/>
    <w:rsid w:val="001565AC"/>
    <w:rsid w:val="00157B6F"/>
    <w:rsid w:val="00157B86"/>
    <w:rsid w:val="00157C3C"/>
    <w:rsid w:val="00160102"/>
    <w:rsid w:val="0016047E"/>
    <w:rsid w:val="00160920"/>
    <w:rsid w:val="00160B30"/>
    <w:rsid w:val="00160BAB"/>
    <w:rsid w:val="0016106E"/>
    <w:rsid w:val="00161E0F"/>
    <w:rsid w:val="00162070"/>
    <w:rsid w:val="00162501"/>
    <w:rsid w:val="00162DF8"/>
    <w:rsid w:val="00164D97"/>
    <w:rsid w:val="00164DE3"/>
    <w:rsid w:val="001656DC"/>
    <w:rsid w:val="00165784"/>
    <w:rsid w:val="00165AC4"/>
    <w:rsid w:val="00166652"/>
    <w:rsid w:val="001669CB"/>
    <w:rsid w:val="00167639"/>
    <w:rsid w:val="0016764B"/>
    <w:rsid w:val="00171068"/>
    <w:rsid w:val="00171807"/>
    <w:rsid w:val="00171F90"/>
    <w:rsid w:val="001721BC"/>
    <w:rsid w:val="00172593"/>
    <w:rsid w:val="00173664"/>
    <w:rsid w:val="00173694"/>
    <w:rsid w:val="001736D9"/>
    <w:rsid w:val="00174789"/>
    <w:rsid w:val="001761D9"/>
    <w:rsid w:val="00176E02"/>
    <w:rsid w:val="0017721D"/>
    <w:rsid w:val="001774D1"/>
    <w:rsid w:val="00177532"/>
    <w:rsid w:val="0018070B"/>
    <w:rsid w:val="00181573"/>
    <w:rsid w:val="001821CC"/>
    <w:rsid w:val="00182E26"/>
    <w:rsid w:val="00183BD1"/>
    <w:rsid w:val="001840B4"/>
    <w:rsid w:val="00184281"/>
    <w:rsid w:val="001843BA"/>
    <w:rsid w:val="001848FE"/>
    <w:rsid w:val="00184C2D"/>
    <w:rsid w:val="00185482"/>
    <w:rsid w:val="00185604"/>
    <w:rsid w:val="001856CF"/>
    <w:rsid w:val="00185AE2"/>
    <w:rsid w:val="001867AF"/>
    <w:rsid w:val="00186F3F"/>
    <w:rsid w:val="00187141"/>
    <w:rsid w:val="0018794B"/>
    <w:rsid w:val="00190A21"/>
    <w:rsid w:val="001910EA"/>
    <w:rsid w:val="0019118A"/>
    <w:rsid w:val="0019123F"/>
    <w:rsid w:val="00191340"/>
    <w:rsid w:val="00191766"/>
    <w:rsid w:val="0019184C"/>
    <w:rsid w:val="001924EF"/>
    <w:rsid w:val="0019272D"/>
    <w:rsid w:val="00192790"/>
    <w:rsid w:val="00192D12"/>
    <w:rsid w:val="00193BEB"/>
    <w:rsid w:val="00194146"/>
    <w:rsid w:val="001943B4"/>
    <w:rsid w:val="00194425"/>
    <w:rsid w:val="0019443B"/>
    <w:rsid w:val="001945FF"/>
    <w:rsid w:val="00195777"/>
    <w:rsid w:val="001966DD"/>
    <w:rsid w:val="0019680B"/>
    <w:rsid w:val="00196EDB"/>
    <w:rsid w:val="00197376"/>
    <w:rsid w:val="00197540"/>
    <w:rsid w:val="00197F9E"/>
    <w:rsid w:val="001A04E3"/>
    <w:rsid w:val="001A1203"/>
    <w:rsid w:val="001A1DCA"/>
    <w:rsid w:val="001A232A"/>
    <w:rsid w:val="001A27DB"/>
    <w:rsid w:val="001A38B3"/>
    <w:rsid w:val="001A435B"/>
    <w:rsid w:val="001A4FCA"/>
    <w:rsid w:val="001A5C69"/>
    <w:rsid w:val="001A5DB6"/>
    <w:rsid w:val="001A62B6"/>
    <w:rsid w:val="001A641E"/>
    <w:rsid w:val="001A6658"/>
    <w:rsid w:val="001A67F3"/>
    <w:rsid w:val="001A7C12"/>
    <w:rsid w:val="001A7D91"/>
    <w:rsid w:val="001A7E2B"/>
    <w:rsid w:val="001B00F7"/>
    <w:rsid w:val="001B122A"/>
    <w:rsid w:val="001B1429"/>
    <w:rsid w:val="001B1CA5"/>
    <w:rsid w:val="001B29D1"/>
    <w:rsid w:val="001B2AA1"/>
    <w:rsid w:val="001B2AA8"/>
    <w:rsid w:val="001B2F9E"/>
    <w:rsid w:val="001B3D7F"/>
    <w:rsid w:val="001B4384"/>
    <w:rsid w:val="001B49F9"/>
    <w:rsid w:val="001B4B22"/>
    <w:rsid w:val="001B4E57"/>
    <w:rsid w:val="001B50CC"/>
    <w:rsid w:val="001B5658"/>
    <w:rsid w:val="001B5C8A"/>
    <w:rsid w:val="001B673F"/>
    <w:rsid w:val="001B6F5D"/>
    <w:rsid w:val="001B7DED"/>
    <w:rsid w:val="001B7F4A"/>
    <w:rsid w:val="001C0235"/>
    <w:rsid w:val="001C05DD"/>
    <w:rsid w:val="001C0D71"/>
    <w:rsid w:val="001C1847"/>
    <w:rsid w:val="001C1D47"/>
    <w:rsid w:val="001C1F0C"/>
    <w:rsid w:val="001C2C17"/>
    <w:rsid w:val="001C32E0"/>
    <w:rsid w:val="001C354D"/>
    <w:rsid w:val="001C3914"/>
    <w:rsid w:val="001C3DBE"/>
    <w:rsid w:val="001C4307"/>
    <w:rsid w:val="001C438A"/>
    <w:rsid w:val="001C4566"/>
    <w:rsid w:val="001C56E5"/>
    <w:rsid w:val="001C5727"/>
    <w:rsid w:val="001C58E1"/>
    <w:rsid w:val="001C5924"/>
    <w:rsid w:val="001C5927"/>
    <w:rsid w:val="001C5C18"/>
    <w:rsid w:val="001C5FBA"/>
    <w:rsid w:val="001C66F8"/>
    <w:rsid w:val="001C6DD1"/>
    <w:rsid w:val="001C72CC"/>
    <w:rsid w:val="001D080D"/>
    <w:rsid w:val="001D0B07"/>
    <w:rsid w:val="001D0CA5"/>
    <w:rsid w:val="001D0D1B"/>
    <w:rsid w:val="001D0DC5"/>
    <w:rsid w:val="001D0DEF"/>
    <w:rsid w:val="001D143A"/>
    <w:rsid w:val="001D1953"/>
    <w:rsid w:val="001D2CE4"/>
    <w:rsid w:val="001D4C99"/>
    <w:rsid w:val="001D685A"/>
    <w:rsid w:val="001D6A61"/>
    <w:rsid w:val="001D7068"/>
    <w:rsid w:val="001E16F7"/>
    <w:rsid w:val="001E17CD"/>
    <w:rsid w:val="001E1C15"/>
    <w:rsid w:val="001E2413"/>
    <w:rsid w:val="001E29FA"/>
    <w:rsid w:val="001E2A7F"/>
    <w:rsid w:val="001E32AD"/>
    <w:rsid w:val="001E34A0"/>
    <w:rsid w:val="001E3F66"/>
    <w:rsid w:val="001E4424"/>
    <w:rsid w:val="001E44B0"/>
    <w:rsid w:val="001E44E5"/>
    <w:rsid w:val="001E4992"/>
    <w:rsid w:val="001E4CD6"/>
    <w:rsid w:val="001E503A"/>
    <w:rsid w:val="001E6F9F"/>
    <w:rsid w:val="001F0EEF"/>
    <w:rsid w:val="001F1111"/>
    <w:rsid w:val="001F1E48"/>
    <w:rsid w:val="001F1E88"/>
    <w:rsid w:val="001F2509"/>
    <w:rsid w:val="001F33B7"/>
    <w:rsid w:val="001F43AC"/>
    <w:rsid w:val="001F43B9"/>
    <w:rsid w:val="001F4BD1"/>
    <w:rsid w:val="001F5976"/>
    <w:rsid w:val="001F5A5A"/>
    <w:rsid w:val="001F61B1"/>
    <w:rsid w:val="001F6FE0"/>
    <w:rsid w:val="001F71C7"/>
    <w:rsid w:val="0020124E"/>
    <w:rsid w:val="00201309"/>
    <w:rsid w:val="002014D7"/>
    <w:rsid w:val="00201903"/>
    <w:rsid w:val="00201EC9"/>
    <w:rsid w:val="00202597"/>
    <w:rsid w:val="0020280E"/>
    <w:rsid w:val="00202AAD"/>
    <w:rsid w:val="00202AAF"/>
    <w:rsid w:val="00202B2E"/>
    <w:rsid w:val="00202E8B"/>
    <w:rsid w:val="00203113"/>
    <w:rsid w:val="002038AC"/>
    <w:rsid w:val="00203CA3"/>
    <w:rsid w:val="00204070"/>
    <w:rsid w:val="00204CCC"/>
    <w:rsid w:val="00205676"/>
    <w:rsid w:val="00205787"/>
    <w:rsid w:val="002060D2"/>
    <w:rsid w:val="00206500"/>
    <w:rsid w:val="002067FF"/>
    <w:rsid w:val="00206B1F"/>
    <w:rsid w:val="0020741B"/>
    <w:rsid w:val="00210BF6"/>
    <w:rsid w:val="00211106"/>
    <w:rsid w:val="002115A5"/>
    <w:rsid w:val="002115AE"/>
    <w:rsid w:val="00211D4A"/>
    <w:rsid w:val="0021295A"/>
    <w:rsid w:val="00213F39"/>
    <w:rsid w:val="00214A10"/>
    <w:rsid w:val="00214CE4"/>
    <w:rsid w:val="00216141"/>
    <w:rsid w:val="002166D5"/>
    <w:rsid w:val="00216E69"/>
    <w:rsid w:val="002202EA"/>
    <w:rsid w:val="00220435"/>
    <w:rsid w:val="00220716"/>
    <w:rsid w:val="00220E77"/>
    <w:rsid w:val="002221B6"/>
    <w:rsid w:val="00222EA1"/>
    <w:rsid w:val="00223139"/>
    <w:rsid w:val="002234E7"/>
    <w:rsid w:val="0022376C"/>
    <w:rsid w:val="00223AC9"/>
    <w:rsid w:val="00223EE7"/>
    <w:rsid w:val="002240A6"/>
    <w:rsid w:val="00224146"/>
    <w:rsid w:val="00225A52"/>
    <w:rsid w:val="00225BC7"/>
    <w:rsid w:val="00225BDB"/>
    <w:rsid w:val="002261B0"/>
    <w:rsid w:val="00227080"/>
    <w:rsid w:val="0022760E"/>
    <w:rsid w:val="0023091F"/>
    <w:rsid w:val="00230B99"/>
    <w:rsid w:val="00230CDA"/>
    <w:rsid w:val="00231006"/>
    <w:rsid w:val="002314A7"/>
    <w:rsid w:val="00231973"/>
    <w:rsid w:val="00231A4F"/>
    <w:rsid w:val="00231D85"/>
    <w:rsid w:val="00231DE8"/>
    <w:rsid w:val="00231E95"/>
    <w:rsid w:val="002321E1"/>
    <w:rsid w:val="00232341"/>
    <w:rsid w:val="0023266B"/>
    <w:rsid w:val="00233057"/>
    <w:rsid w:val="00234E40"/>
    <w:rsid w:val="0023699E"/>
    <w:rsid w:val="002369D8"/>
    <w:rsid w:val="002401B1"/>
    <w:rsid w:val="002402C8"/>
    <w:rsid w:val="00240B19"/>
    <w:rsid w:val="0024145B"/>
    <w:rsid w:val="00245236"/>
    <w:rsid w:val="002452A1"/>
    <w:rsid w:val="00246255"/>
    <w:rsid w:val="00246656"/>
    <w:rsid w:val="00246BE7"/>
    <w:rsid w:val="002472EF"/>
    <w:rsid w:val="00247389"/>
    <w:rsid w:val="00247996"/>
    <w:rsid w:val="0025024A"/>
    <w:rsid w:val="0025070E"/>
    <w:rsid w:val="00251314"/>
    <w:rsid w:val="00251C73"/>
    <w:rsid w:val="00251DDB"/>
    <w:rsid w:val="00251E15"/>
    <w:rsid w:val="00252236"/>
    <w:rsid w:val="00252C4F"/>
    <w:rsid w:val="002531FD"/>
    <w:rsid w:val="00253B00"/>
    <w:rsid w:val="00253DF4"/>
    <w:rsid w:val="002542AF"/>
    <w:rsid w:val="00254688"/>
    <w:rsid w:val="00254D8E"/>
    <w:rsid w:val="0025771B"/>
    <w:rsid w:val="002579A3"/>
    <w:rsid w:val="00257CE0"/>
    <w:rsid w:val="00260010"/>
    <w:rsid w:val="00260FDC"/>
    <w:rsid w:val="0026128E"/>
    <w:rsid w:val="002614AF"/>
    <w:rsid w:val="002619D8"/>
    <w:rsid w:val="00262475"/>
    <w:rsid w:val="00262898"/>
    <w:rsid w:val="002635C1"/>
    <w:rsid w:val="0026375E"/>
    <w:rsid w:val="002639DF"/>
    <w:rsid w:val="00263D39"/>
    <w:rsid w:val="00264952"/>
    <w:rsid w:val="00264F91"/>
    <w:rsid w:val="00265041"/>
    <w:rsid w:val="0026626B"/>
    <w:rsid w:val="00266647"/>
    <w:rsid w:val="0026666D"/>
    <w:rsid w:val="002667E7"/>
    <w:rsid w:val="00266834"/>
    <w:rsid w:val="0026749A"/>
    <w:rsid w:val="00267CD5"/>
    <w:rsid w:val="0027096B"/>
    <w:rsid w:val="00270DD8"/>
    <w:rsid w:val="00270F24"/>
    <w:rsid w:val="0027197C"/>
    <w:rsid w:val="00271A03"/>
    <w:rsid w:val="002724FD"/>
    <w:rsid w:val="002727EE"/>
    <w:rsid w:val="00273F1F"/>
    <w:rsid w:val="0027469B"/>
    <w:rsid w:val="00274D7C"/>
    <w:rsid w:val="002754E8"/>
    <w:rsid w:val="00275788"/>
    <w:rsid w:val="00275D6A"/>
    <w:rsid w:val="00276774"/>
    <w:rsid w:val="00277C18"/>
    <w:rsid w:val="002807C0"/>
    <w:rsid w:val="002809BA"/>
    <w:rsid w:val="0028184E"/>
    <w:rsid w:val="0028284D"/>
    <w:rsid w:val="00282D76"/>
    <w:rsid w:val="00282DD4"/>
    <w:rsid w:val="0028331E"/>
    <w:rsid w:val="002839BB"/>
    <w:rsid w:val="00283EB6"/>
    <w:rsid w:val="00284AD2"/>
    <w:rsid w:val="00284BA6"/>
    <w:rsid w:val="00284F9C"/>
    <w:rsid w:val="00285156"/>
    <w:rsid w:val="00285340"/>
    <w:rsid w:val="002856F8"/>
    <w:rsid w:val="0028641D"/>
    <w:rsid w:val="00286C4E"/>
    <w:rsid w:val="002875CA"/>
    <w:rsid w:val="00287900"/>
    <w:rsid w:val="00287A04"/>
    <w:rsid w:val="002907C3"/>
    <w:rsid w:val="00290E41"/>
    <w:rsid w:val="00291C85"/>
    <w:rsid w:val="00291F3E"/>
    <w:rsid w:val="00292A37"/>
    <w:rsid w:val="00292CD6"/>
    <w:rsid w:val="00292D1B"/>
    <w:rsid w:val="0029391C"/>
    <w:rsid w:val="00293FBF"/>
    <w:rsid w:val="002940F9"/>
    <w:rsid w:val="00294C20"/>
    <w:rsid w:val="00295A11"/>
    <w:rsid w:val="00295A1A"/>
    <w:rsid w:val="0029654D"/>
    <w:rsid w:val="0029696F"/>
    <w:rsid w:val="00296A49"/>
    <w:rsid w:val="00296A5C"/>
    <w:rsid w:val="00296B0E"/>
    <w:rsid w:val="0029771B"/>
    <w:rsid w:val="002A08C5"/>
    <w:rsid w:val="002A08CE"/>
    <w:rsid w:val="002A0B0A"/>
    <w:rsid w:val="002A0F7C"/>
    <w:rsid w:val="002A13FC"/>
    <w:rsid w:val="002A2A11"/>
    <w:rsid w:val="002A2DF5"/>
    <w:rsid w:val="002A329F"/>
    <w:rsid w:val="002A35C3"/>
    <w:rsid w:val="002A3AE8"/>
    <w:rsid w:val="002A400C"/>
    <w:rsid w:val="002A41F8"/>
    <w:rsid w:val="002A4E7E"/>
    <w:rsid w:val="002A5386"/>
    <w:rsid w:val="002A54F8"/>
    <w:rsid w:val="002A56DE"/>
    <w:rsid w:val="002A5F26"/>
    <w:rsid w:val="002A5FEB"/>
    <w:rsid w:val="002A6380"/>
    <w:rsid w:val="002A6692"/>
    <w:rsid w:val="002A66BB"/>
    <w:rsid w:val="002A6DF0"/>
    <w:rsid w:val="002A7475"/>
    <w:rsid w:val="002B029F"/>
    <w:rsid w:val="002B0B67"/>
    <w:rsid w:val="002B0FD3"/>
    <w:rsid w:val="002B1655"/>
    <w:rsid w:val="002B168F"/>
    <w:rsid w:val="002B18DD"/>
    <w:rsid w:val="002B1C55"/>
    <w:rsid w:val="002B33B3"/>
    <w:rsid w:val="002B393A"/>
    <w:rsid w:val="002B3A24"/>
    <w:rsid w:val="002B3D6A"/>
    <w:rsid w:val="002B405D"/>
    <w:rsid w:val="002B4150"/>
    <w:rsid w:val="002B4D4D"/>
    <w:rsid w:val="002B52B4"/>
    <w:rsid w:val="002B5906"/>
    <w:rsid w:val="002B65E4"/>
    <w:rsid w:val="002B6741"/>
    <w:rsid w:val="002B78D1"/>
    <w:rsid w:val="002B7CC2"/>
    <w:rsid w:val="002C0122"/>
    <w:rsid w:val="002C0C82"/>
    <w:rsid w:val="002C0F95"/>
    <w:rsid w:val="002C126F"/>
    <w:rsid w:val="002C1CBA"/>
    <w:rsid w:val="002C1F9C"/>
    <w:rsid w:val="002C2247"/>
    <w:rsid w:val="002C3DD0"/>
    <w:rsid w:val="002C4404"/>
    <w:rsid w:val="002C44A4"/>
    <w:rsid w:val="002C5418"/>
    <w:rsid w:val="002C6F22"/>
    <w:rsid w:val="002C7ABC"/>
    <w:rsid w:val="002C7B5A"/>
    <w:rsid w:val="002D0598"/>
    <w:rsid w:val="002D0CA8"/>
    <w:rsid w:val="002D1AAC"/>
    <w:rsid w:val="002D22CA"/>
    <w:rsid w:val="002D2B4A"/>
    <w:rsid w:val="002D2CB6"/>
    <w:rsid w:val="002D311B"/>
    <w:rsid w:val="002D3125"/>
    <w:rsid w:val="002D3571"/>
    <w:rsid w:val="002D396F"/>
    <w:rsid w:val="002D4203"/>
    <w:rsid w:val="002D46A1"/>
    <w:rsid w:val="002D56FF"/>
    <w:rsid w:val="002D6397"/>
    <w:rsid w:val="002D6C17"/>
    <w:rsid w:val="002D748E"/>
    <w:rsid w:val="002D784C"/>
    <w:rsid w:val="002E02DC"/>
    <w:rsid w:val="002E0576"/>
    <w:rsid w:val="002E0BB4"/>
    <w:rsid w:val="002E0EA1"/>
    <w:rsid w:val="002E134C"/>
    <w:rsid w:val="002E1566"/>
    <w:rsid w:val="002E17A7"/>
    <w:rsid w:val="002E2358"/>
    <w:rsid w:val="002E368F"/>
    <w:rsid w:val="002E385E"/>
    <w:rsid w:val="002E398E"/>
    <w:rsid w:val="002E441F"/>
    <w:rsid w:val="002E4434"/>
    <w:rsid w:val="002E50CB"/>
    <w:rsid w:val="002E51BB"/>
    <w:rsid w:val="002E5CD0"/>
    <w:rsid w:val="002E5D7E"/>
    <w:rsid w:val="002E5DBB"/>
    <w:rsid w:val="002E6023"/>
    <w:rsid w:val="002E77A4"/>
    <w:rsid w:val="002E78E5"/>
    <w:rsid w:val="002E7E67"/>
    <w:rsid w:val="002F0231"/>
    <w:rsid w:val="002F0324"/>
    <w:rsid w:val="002F0A6F"/>
    <w:rsid w:val="002F0F09"/>
    <w:rsid w:val="002F0FA0"/>
    <w:rsid w:val="002F107F"/>
    <w:rsid w:val="002F1DD8"/>
    <w:rsid w:val="002F2A18"/>
    <w:rsid w:val="002F2D11"/>
    <w:rsid w:val="002F3456"/>
    <w:rsid w:val="002F3769"/>
    <w:rsid w:val="002F3A5D"/>
    <w:rsid w:val="002F4347"/>
    <w:rsid w:val="002F4437"/>
    <w:rsid w:val="002F4EF8"/>
    <w:rsid w:val="002F4FDF"/>
    <w:rsid w:val="002F53FE"/>
    <w:rsid w:val="002F655F"/>
    <w:rsid w:val="00300F09"/>
    <w:rsid w:val="00300F32"/>
    <w:rsid w:val="003015E1"/>
    <w:rsid w:val="00301AE4"/>
    <w:rsid w:val="00301B67"/>
    <w:rsid w:val="003028D7"/>
    <w:rsid w:val="00303915"/>
    <w:rsid w:val="00304E9F"/>
    <w:rsid w:val="00305694"/>
    <w:rsid w:val="00305A4E"/>
    <w:rsid w:val="00305EED"/>
    <w:rsid w:val="003063BB"/>
    <w:rsid w:val="00306528"/>
    <w:rsid w:val="003066E9"/>
    <w:rsid w:val="00306A4A"/>
    <w:rsid w:val="00306F17"/>
    <w:rsid w:val="003072E3"/>
    <w:rsid w:val="0030742F"/>
    <w:rsid w:val="00307536"/>
    <w:rsid w:val="0030763E"/>
    <w:rsid w:val="00307DAF"/>
    <w:rsid w:val="00307EF1"/>
    <w:rsid w:val="00310184"/>
    <w:rsid w:val="0031173E"/>
    <w:rsid w:val="003117DB"/>
    <w:rsid w:val="003120D1"/>
    <w:rsid w:val="00312B6D"/>
    <w:rsid w:val="003136DA"/>
    <w:rsid w:val="0031372F"/>
    <w:rsid w:val="00313794"/>
    <w:rsid w:val="00313D08"/>
    <w:rsid w:val="00313F11"/>
    <w:rsid w:val="0031460C"/>
    <w:rsid w:val="00314E2F"/>
    <w:rsid w:val="00314E6B"/>
    <w:rsid w:val="0031620A"/>
    <w:rsid w:val="00316459"/>
    <w:rsid w:val="003176B7"/>
    <w:rsid w:val="00317F52"/>
    <w:rsid w:val="00320697"/>
    <w:rsid w:val="00320DEB"/>
    <w:rsid w:val="003210A3"/>
    <w:rsid w:val="003210E3"/>
    <w:rsid w:val="003211AE"/>
    <w:rsid w:val="0032292B"/>
    <w:rsid w:val="003229EB"/>
    <w:rsid w:val="00322D27"/>
    <w:rsid w:val="00323A54"/>
    <w:rsid w:val="00324A65"/>
    <w:rsid w:val="00324FA6"/>
    <w:rsid w:val="003253A4"/>
    <w:rsid w:val="0032565E"/>
    <w:rsid w:val="003259D1"/>
    <w:rsid w:val="00326D92"/>
    <w:rsid w:val="00326DB5"/>
    <w:rsid w:val="00327119"/>
    <w:rsid w:val="0032731A"/>
    <w:rsid w:val="00327D78"/>
    <w:rsid w:val="00327FE0"/>
    <w:rsid w:val="0033011C"/>
    <w:rsid w:val="00330AEA"/>
    <w:rsid w:val="003318BA"/>
    <w:rsid w:val="00331A01"/>
    <w:rsid w:val="00331A9A"/>
    <w:rsid w:val="00331CBF"/>
    <w:rsid w:val="0033201D"/>
    <w:rsid w:val="003327F9"/>
    <w:rsid w:val="00333CDE"/>
    <w:rsid w:val="0033422B"/>
    <w:rsid w:val="0033436D"/>
    <w:rsid w:val="00334525"/>
    <w:rsid w:val="00335A01"/>
    <w:rsid w:val="00335A81"/>
    <w:rsid w:val="00336200"/>
    <w:rsid w:val="00336C54"/>
    <w:rsid w:val="00337351"/>
    <w:rsid w:val="00337382"/>
    <w:rsid w:val="0033758B"/>
    <w:rsid w:val="00337F86"/>
    <w:rsid w:val="0034068B"/>
    <w:rsid w:val="00340A58"/>
    <w:rsid w:val="003411C7"/>
    <w:rsid w:val="00341655"/>
    <w:rsid w:val="00341B98"/>
    <w:rsid w:val="00341C9E"/>
    <w:rsid w:val="00341D97"/>
    <w:rsid w:val="00342ECD"/>
    <w:rsid w:val="00344227"/>
    <w:rsid w:val="00344447"/>
    <w:rsid w:val="003456A6"/>
    <w:rsid w:val="00345C0D"/>
    <w:rsid w:val="00345FFA"/>
    <w:rsid w:val="0034611F"/>
    <w:rsid w:val="003470E2"/>
    <w:rsid w:val="00347980"/>
    <w:rsid w:val="003500EF"/>
    <w:rsid w:val="003504AC"/>
    <w:rsid w:val="00350FEA"/>
    <w:rsid w:val="00351288"/>
    <w:rsid w:val="0035151F"/>
    <w:rsid w:val="00352A64"/>
    <w:rsid w:val="003530AB"/>
    <w:rsid w:val="0035386F"/>
    <w:rsid w:val="00353AE2"/>
    <w:rsid w:val="00353E2E"/>
    <w:rsid w:val="00353E4E"/>
    <w:rsid w:val="00354098"/>
    <w:rsid w:val="00354D9C"/>
    <w:rsid w:val="0035564B"/>
    <w:rsid w:val="0035656F"/>
    <w:rsid w:val="00356FDE"/>
    <w:rsid w:val="00357D7D"/>
    <w:rsid w:val="003619FC"/>
    <w:rsid w:val="00361D0D"/>
    <w:rsid w:val="003623EF"/>
    <w:rsid w:val="0036347D"/>
    <w:rsid w:val="0036363A"/>
    <w:rsid w:val="00363A7C"/>
    <w:rsid w:val="00364757"/>
    <w:rsid w:val="00364966"/>
    <w:rsid w:val="00364F81"/>
    <w:rsid w:val="00365183"/>
    <w:rsid w:val="00365343"/>
    <w:rsid w:val="00365B70"/>
    <w:rsid w:val="00365F12"/>
    <w:rsid w:val="00366612"/>
    <w:rsid w:val="003666E6"/>
    <w:rsid w:val="0036707D"/>
    <w:rsid w:val="003678E7"/>
    <w:rsid w:val="00367C35"/>
    <w:rsid w:val="00367D5E"/>
    <w:rsid w:val="00367D7D"/>
    <w:rsid w:val="00367E6A"/>
    <w:rsid w:val="003704B3"/>
    <w:rsid w:val="00370686"/>
    <w:rsid w:val="00370707"/>
    <w:rsid w:val="0037168B"/>
    <w:rsid w:val="003724BE"/>
    <w:rsid w:val="00372C9F"/>
    <w:rsid w:val="00373075"/>
    <w:rsid w:val="003738B1"/>
    <w:rsid w:val="0037475C"/>
    <w:rsid w:val="00374DAA"/>
    <w:rsid w:val="00374F42"/>
    <w:rsid w:val="003769AB"/>
    <w:rsid w:val="00376A0B"/>
    <w:rsid w:val="00376B10"/>
    <w:rsid w:val="00376D5C"/>
    <w:rsid w:val="00377313"/>
    <w:rsid w:val="003800F7"/>
    <w:rsid w:val="00380285"/>
    <w:rsid w:val="003808E8"/>
    <w:rsid w:val="0038120E"/>
    <w:rsid w:val="0038191C"/>
    <w:rsid w:val="00381AA6"/>
    <w:rsid w:val="00382A2C"/>
    <w:rsid w:val="0038328F"/>
    <w:rsid w:val="00383401"/>
    <w:rsid w:val="0038398F"/>
    <w:rsid w:val="00383EA4"/>
    <w:rsid w:val="00384061"/>
    <w:rsid w:val="00384457"/>
    <w:rsid w:val="00384A4C"/>
    <w:rsid w:val="00384CB7"/>
    <w:rsid w:val="00385149"/>
    <w:rsid w:val="003853AD"/>
    <w:rsid w:val="0038568A"/>
    <w:rsid w:val="00385CA0"/>
    <w:rsid w:val="003860C6"/>
    <w:rsid w:val="003866DA"/>
    <w:rsid w:val="00386F57"/>
    <w:rsid w:val="00387294"/>
    <w:rsid w:val="00387723"/>
    <w:rsid w:val="003906D6"/>
    <w:rsid w:val="003914F6"/>
    <w:rsid w:val="00391B4E"/>
    <w:rsid w:val="003921DA"/>
    <w:rsid w:val="00392CB5"/>
    <w:rsid w:val="00393314"/>
    <w:rsid w:val="003935EC"/>
    <w:rsid w:val="00393B3F"/>
    <w:rsid w:val="003940AD"/>
    <w:rsid w:val="00394BDC"/>
    <w:rsid w:val="00394ED5"/>
    <w:rsid w:val="00396424"/>
    <w:rsid w:val="00396EBF"/>
    <w:rsid w:val="003974B7"/>
    <w:rsid w:val="003979B9"/>
    <w:rsid w:val="00397E0B"/>
    <w:rsid w:val="003A0738"/>
    <w:rsid w:val="003A19C3"/>
    <w:rsid w:val="003A1A14"/>
    <w:rsid w:val="003A1ABF"/>
    <w:rsid w:val="003A1CDB"/>
    <w:rsid w:val="003A1DF2"/>
    <w:rsid w:val="003A297A"/>
    <w:rsid w:val="003A2E92"/>
    <w:rsid w:val="003A3702"/>
    <w:rsid w:val="003A38E5"/>
    <w:rsid w:val="003A40F9"/>
    <w:rsid w:val="003A46BE"/>
    <w:rsid w:val="003A4B0A"/>
    <w:rsid w:val="003A4F1C"/>
    <w:rsid w:val="003A4F7C"/>
    <w:rsid w:val="003A4FFA"/>
    <w:rsid w:val="003A5147"/>
    <w:rsid w:val="003A7437"/>
    <w:rsid w:val="003A7F08"/>
    <w:rsid w:val="003B0175"/>
    <w:rsid w:val="003B03E9"/>
    <w:rsid w:val="003B0582"/>
    <w:rsid w:val="003B0BC0"/>
    <w:rsid w:val="003B0D2D"/>
    <w:rsid w:val="003B0D37"/>
    <w:rsid w:val="003B125A"/>
    <w:rsid w:val="003B21C0"/>
    <w:rsid w:val="003B2B20"/>
    <w:rsid w:val="003B2F1B"/>
    <w:rsid w:val="003B411B"/>
    <w:rsid w:val="003B4BDB"/>
    <w:rsid w:val="003B4EA3"/>
    <w:rsid w:val="003B68A8"/>
    <w:rsid w:val="003B78C5"/>
    <w:rsid w:val="003C0A8E"/>
    <w:rsid w:val="003C1170"/>
    <w:rsid w:val="003C12EE"/>
    <w:rsid w:val="003C1635"/>
    <w:rsid w:val="003C17D4"/>
    <w:rsid w:val="003C18FA"/>
    <w:rsid w:val="003C1D02"/>
    <w:rsid w:val="003C2498"/>
    <w:rsid w:val="003C3149"/>
    <w:rsid w:val="003C3992"/>
    <w:rsid w:val="003C3C15"/>
    <w:rsid w:val="003C3E9E"/>
    <w:rsid w:val="003C4D09"/>
    <w:rsid w:val="003C50A1"/>
    <w:rsid w:val="003C56D1"/>
    <w:rsid w:val="003C6026"/>
    <w:rsid w:val="003C6ADC"/>
    <w:rsid w:val="003C7064"/>
    <w:rsid w:val="003C749E"/>
    <w:rsid w:val="003C782E"/>
    <w:rsid w:val="003C7A65"/>
    <w:rsid w:val="003C7E4F"/>
    <w:rsid w:val="003C7FE5"/>
    <w:rsid w:val="003D0094"/>
    <w:rsid w:val="003D0B04"/>
    <w:rsid w:val="003D13EE"/>
    <w:rsid w:val="003D1448"/>
    <w:rsid w:val="003D191E"/>
    <w:rsid w:val="003D1993"/>
    <w:rsid w:val="003D2560"/>
    <w:rsid w:val="003D3372"/>
    <w:rsid w:val="003D3454"/>
    <w:rsid w:val="003D44E1"/>
    <w:rsid w:val="003D49C3"/>
    <w:rsid w:val="003D4D1C"/>
    <w:rsid w:val="003D56FD"/>
    <w:rsid w:val="003D6624"/>
    <w:rsid w:val="003D6802"/>
    <w:rsid w:val="003D7316"/>
    <w:rsid w:val="003D73E0"/>
    <w:rsid w:val="003D7B22"/>
    <w:rsid w:val="003E004B"/>
    <w:rsid w:val="003E0599"/>
    <w:rsid w:val="003E0C6C"/>
    <w:rsid w:val="003E1368"/>
    <w:rsid w:val="003E18E5"/>
    <w:rsid w:val="003E1941"/>
    <w:rsid w:val="003E1DAD"/>
    <w:rsid w:val="003E2231"/>
    <w:rsid w:val="003E2240"/>
    <w:rsid w:val="003E2856"/>
    <w:rsid w:val="003E34A4"/>
    <w:rsid w:val="003E395F"/>
    <w:rsid w:val="003E3C67"/>
    <w:rsid w:val="003E5873"/>
    <w:rsid w:val="003E5B4F"/>
    <w:rsid w:val="003E5CF2"/>
    <w:rsid w:val="003E629C"/>
    <w:rsid w:val="003E6984"/>
    <w:rsid w:val="003E78DA"/>
    <w:rsid w:val="003E7C60"/>
    <w:rsid w:val="003E7CAB"/>
    <w:rsid w:val="003F08D3"/>
    <w:rsid w:val="003F128F"/>
    <w:rsid w:val="003F310A"/>
    <w:rsid w:val="003F3175"/>
    <w:rsid w:val="003F3E6F"/>
    <w:rsid w:val="003F45E7"/>
    <w:rsid w:val="003F46F7"/>
    <w:rsid w:val="003F56FA"/>
    <w:rsid w:val="003F5DE2"/>
    <w:rsid w:val="003F6470"/>
    <w:rsid w:val="003F6A20"/>
    <w:rsid w:val="003F7A4B"/>
    <w:rsid w:val="003F7DE8"/>
    <w:rsid w:val="003F7F32"/>
    <w:rsid w:val="004000C2"/>
    <w:rsid w:val="0040019B"/>
    <w:rsid w:val="004007E8"/>
    <w:rsid w:val="004012E9"/>
    <w:rsid w:val="004015CC"/>
    <w:rsid w:val="004021D9"/>
    <w:rsid w:val="00402374"/>
    <w:rsid w:val="00402784"/>
    <w:rsid w:val="00402CCE"/>
    <w:rsid w:val="00402EE9"/>
    <w:rsid w:val="004033AE"/>
    <w:rsid w:val="004036B0"/>
    <w:rsid w:val="0040371C"/>
    <w:rsid w:val="00403C87"/>
    <w:rsid w:val="004040D4"/>
    <w:rsid w:val="0040500D"/>
    <w:rsid w:val="00405240"/>
    <w:rsid w:val="0040583E"/>
    <w:rsid w:val="00405922"/>
    <w:rsid w:val="00405D86"/>
    <w:rsid w:val="0040743F"/>
    <w:rsid w:val="00410420"/>
    <w:rsid w:val="00410A10"/>
    <w:rsid w:val="00410BD1"/>
    <w:rsid w:val="00410D6C"/>
    <w:rsid w:val="00410FB8"/>
    <w:rsid w:val="0041161A"/>
    <w:rsid w:val="00412187"/>
    <w:rsid w:val="004121EE"/>
    <w:rsid w:val="0041292A"/>
    <w:rsid w:val="004146F7"/>
    <w:rsid w:val="00414A1E"/>
    <w:rsid w:val="00414B68"/>
    <w:rsid w:val="00414CDC"/>
    <w:rsid w:val="004154E8"/>
    <w:rsid w:val="0041572B"/>
    <w:rsid w:val="00416BAA"/>
    <w:rsid w:val="00416C4C"/>
    <w:rsid w:val="00416F42"/>
    <w:rsid w:val="0042080F"/>
    <w:rsid w:val="00421C4D"/>
    <w:rsid w:val="00422D64"/>
    <w:rsid w:val="00424C16"/>
    <w:rsid w:val="0042579D"/>
    <w:rsid w:val="004257BD"/>
    <w:rsid w:val="00425A8C"/>
    <w:rsid w:val="00426967"/>
    <w:rsid w:val="00426F1E"/>
    <w:rsid w:val="0042708D"/>
    <w:rsid w:val="004272A7"/>
    <w:rsid w:val="00427D8C"/>
    <w:rsid w:val="00430DC5"/>
    <w:rsid w:val="00431A4E"/>
    <w:rsid w:val="00431E3E"/>
    <w:rsid w:val="0043238C"/>
    <w:rsid w:val="004326DE"/>
    <w:rsid w:val="0043300C"/>
    <w:rsid w:val="0043409F"/>
    <w:rsid w:val="00435411"/>
    <w:rsid w:val="00435760"/>
    <w:rsid w:val="00435999"/>
    <w:rsid w:val="00436674"/>
    <w:rsid w:val="00436BB1"/>
    <w:rsid w:val="0043720D"/>
    <w:rsid w:val="0043743C"/>
    <w:rsid w:val="00437827"/>
    <w:rsid w:val="00437FB3"/>
    <w:rsid w:val="004401FB"/>
    <w:rsid w:val="004404EB"/>
    <w:rsid w:val="004406B8"/>
    <w:rsid w:val="004407EE"/>
    <w:rsid w:val="004410F9"/>
    <w:rsid w:val="00441FE8"/>
    <w:rsid w:val="00442215"/>
    <w:rsid w:val="00442B51"/>
    <w:rsid w:val="00443F0E"/>
    <w:rsid w:val="0044479C"/>
    <w:rsid w:val="0044529E"/>
    <w:rsid w:val="004455B0"/>
    <w:rsid w:val="0044574C"/>
    <w:rsid w:val="004459D1"/>
    <w:rsid w:val="004502C2"/>
    <w:rsid w:val="00450453"/>
    <w:rsid w:val="00452088"/>
    <w:rsid w:val="0045324F"/>
    <w:rsid w:val="0045436D"/>
    <w:rsid w:val="004544EA"/>
    <w:rsid w:val="00454D99"/>
    <w:rsid w:val="00456272"/>
    <w:rsid w:val="004569C4"/>
    <w:rsid w:val="004569C6"/>
    <w:rsid w:val="00456C86"/>
    <w:rsid w:val="00460723"/>
    <w:rsid w:val="004608A7"/>
    <w:rsid w:val="0046103A"/>
    <w:rsid w:val="00462330"/>
    <w:rsid w:val="00462CDF"/>
    <w:rsid w:val="00462ED2"/>
    <w:rsid w:val="00463A93"/>
    <w:rsid w:val="00463FA7"/>
    <w:rsid w:val="00464650"/>
    <w:rsid w:val="00464DA0"/>
    <w:rsid w:val="00464E77"/>
    <w:rsid w:val="0046526B"/>
    <w:rsid w:val="00465A71"/>
    <w:rsid w:val="00465C6A"/>
    <w:rsid w:val="0046689F"/>
    <w:rsid w:val="0046782A"/>
    <w:rsid w:val="00467E70"/>
    <w:rsid w:val="00471008"/>
    <w:rsid w:val="0047117F"/>
    <w:rsid w:val="0047189B"/>
    <w:rsid w:val="0047190E"/>
    <w:rsid w:val="00471F6A"/>
    <w:rsid w:val="00472136"/>
    <w:rsid w:val="00472533"/>
    <w:rsid w:val="00472D1B"/>
    <w:rsid w:val="00473761"/>
    <w:rsid w:val="00474299"/>
    <w:rsid w:val="00474AA0"/>
    <w:rsid w:val="00475574"/>
    <w:rsid w:val="00475C08"/>
    <w:rsid w:val="00475C15"/>
    <w:rsid w:val="00476BBC"/>
    <w:rsid w:val="00480763"/>
    <w:rsid w:val="004809F3"/>
    <w:rsid w:val="00481451"/>
    <w:rsid w:val="00481EB2"/>
    <w:rsid w:val="00482155"/>
    <w:rsid w:val="004822FE"/>
    <w:rsid w:val="00482306"/>
    <w:rsid w:val="00482E0A"/>
    <w:rsid w:val="00483FCA"/>
    <w:rsid w:val="00485E60"/>
    <w:rsid w:val="0048748B"/>
    <w:rsid w:val="00487EBF"/>
    <w:rsid w:val="0049042F"/>
    <w:rsid w:val="00491618"/>
    <w:rsid w:val="004917EE"/>
    <w:rsid w:val="0049188D"/>
    <w:rsid w:val="004919A2"/>
    <w:rsid w:val="00491CE4"/>
    <w:rsid w:val="0049235E"/>
    <w:rsid w:val="004927EF"/>
    <w:rsid w:val="00492E1A"/>
    <w:rsid w:val="00492E3E"/>
    <w:rsid w:val="00492F00"/>
    <w:rsid w:val="00493075"/>
    <w:rsid w:val="004930F6"/>
    <w:rsid w:val="00493162"/>
    <w:rsid w:val="004945F9"/>
    <w:rsid w:val="00494A6A"/>
    <w:rsid w:val="00494F93"/>
    <w:rsid w:val="00495181"/>
    <w:rsid w:val="00495262"/>
    <w:rsid w:val="0049540A"/>
    <w:rsid w:val="004958E5"/>
    <w:rsid w:val="00496013"/>
    <w:rsid w:val="00496204"/>
    <w:rsid w:val="004971B9"/>
    <w:rsid w:val="004973C2"/>
    <w:rsid w:val="00497FC3"/>
    <w:rsid w:val="004A0345"/>
    <w:rsid w:val="004A07D8"/>
    <w:rsid w:val="004A16D9"/>
    <w:rsid w:val="004A19C4"/>
    <w:rsid w:val="004A1ED1"/>
    <w:rsid w:val="004A3B16"/>
    <w:rsid w:val="004A40E2"/>
    <w:rsid w:val="004A4D84"/>
    <w:rsid w:val="004A57AD"/>
    <w:rsid w:val="004A59BD"/>
    <w:rsid w:val="004A5FFD"/>
    <w:rsid w:val="004A6EF1"/>
    <w:rsid w:val="004A70CF"/>
    <w:rsid w:val="004A754C"/>
    <w:rsid w:val="004B0A90"/>
    <w:rsid w:val="004B0E8A"/>
    <w:rsid w:val="004B2255"/>
    <w:rsid w:val="004B29C2"/>
    <w:rsid w:val="004B2AAC"/>
    <w:rsid w:val="004B2BAE"/>
    <w:rsid w:val="004B36A6"/>
    <w:rsid w:val="004B3955"/>
    <w:rsid w:val="004B3C0F"/>
    <w:rsid w:val="004B3F3E"/>
    <w:rsid w:val="004B5116"/>
    <w:rsid w:val="004B7728"/>
    <w:rsid w:val="004B7C0A"/>
    <w:rsid w:val="004C0AB8"/>
    <w:rsid w:val="004C0C06"/>
    <w:rsid w:val="004C11B7"/>
    <w:rsid w:val="004C1CF5"/>
    <w:rsid w:val="004C21F4"/>
    <w:rsid w:val="004C246C"/>
    <w:rsid w:val="004C2525"/>
    <w:rsid w:val="004C2A8A"/>
    <w:rsid w:val="004C2BD0"/>
    <w:rsid w:val="004C3EAC"/>
    <w:rsid w:val="004C4021"/>
    <w:rsid w:val="004C414B"/>
    <w:rsid w:val="004C552D"/>
    <w:rsid w:val="004C5BAA"/>
    <w:rsid w:val="004C5D80"/>
    <w:rsid w:val="004C67C0"/>
    <w:rsid w:val="004C689F"/>
    <w:rsid w:val="004C7AAB"/>
    <w:rsid w:val="004D0F22"/>
    <w:rsid w:val="004D14FE"/>
    <w:rsid w:val="004D1EBB"/>
    <w:rsid w:val="004D22E2"/>
    <w:rsid w:val="004D2B43"/>
    <w:rsid w:val="004D2F4A"/>
    <w:rsid w:val="004D3278"/>
    <w:rsid w:val="004D3D65"/>
    <w:rsid w:val="004D467E"/>
    <w:rsid w:val="004D4C75"/>
    <w:rsid w:val="004D5BEF"/>
    <w:rsid w:val="004D5CEE"/>
    <w:rsid w:val="004D6683"/>
    <w:rsid w:val="004D67E0"/>
    <w:rsid w:val="004D68B6"/>
    <w:rsid w:val="004D6AE8"/>
    <w:rsid w:val="004D7778"/>
    <w:rsid w:val="004D7917"/>
    <w:rsid w:val="004E00DF"/>
    <w:rsid w:val="004E14A8"/>
    <w:rsid w:val="004E18FC"/>
    <w:rsid w:val="004E1C93"/>
    <w:rsid w:val="004E21F3"/>
    <w:rsid w:val="004E229C"/>
    <w:rsid w:val="004E3336"/>
    <w:rsid w:val="004E3A62"/>
    <w:rsid w:val="004E44AC"/>
    <w:rsid w:val="004E47C9"/>
    <w:rsid w:val="004E5409"/>
    <w:rsid w:val="004E54CC"/>
    <w:rsid w:val="004E5905"/>
    <w:rsid w:val="004E7B04"/>
    <w:rsid w:val="004E7EFE"/>
    <w:rsid w:val="004F0018"/>
    <w:rsid w:val="004F006B"/>
    <w:rsid w:val="004F0FC4"/>
    <w:rsid w:val="004F1503"/>
    <w:rsid w:val="004F193D"/>
    <w:rsid w:val="004F199B"/>
    <w:rsid w:val="004F246E"/>
    <w:rsid w:val="004F2967"/>
    <w:rsid w:val="004F2AB1"/>
    <w:rsid w:val="004F30FA"/>
    <w:rsid w:val="004F39E0"/>
    <w:rsid w:val="004F3EEA"/>
    <w:rsid w:val="004F3FAA"/>
    <w:rsid w:val="004F3FEC"/>
    <w:rsid w:val="004F40AB"/>
    <w:rsid w:val="004F5E82"/>
    <w:rsid w:val="004F5FD2"/>
    <w:rsid w:val="004F63D5"/>
    <w:rsid w:val="004F658F"/>
    <w:rsid w:val="004F7BF4"/>
    <w:rsid w:val="004F7C22"/>
    <w:rsid w:val="005006ED"/>
    <w:rsid w:val="00501637"/>
    <w:rsid w:val="0050219A"/>
    <w:rsid w:val="0050277A"/>
    <w:rsid w:val="005035CD"/>
    <w:rsid w:val="00503AF6"/>
    <w:rsid w:val="00504A8B"/>
    <w:rsid w:val="005056D9"/>
    <w:rsid w:val="005061C8"/>
    <w:rsid w:val="005079AE"/>
    <w:rsid w:val="00507E6F"/>
    <w:rsid w:val="00507F4F"/>
    <w:rsid w:val="005107BC"/>
    <w:rsid w:val="00511CC3"/>
    <w:rsid w:val="00512126"/>
    <w:rsid w:val="005123D6"/>
    <w:rsid w:val="005123F7"/>
    <w:rsid w:val="005124F0"/>
    <w:rsid w:val="00512D44"/>
    <w:rsid w:val="005136CD"/>
    <w:rsid w:val="00513A5D"/>
    <w:rsid w:val="00513B9E"/>
    <w:rsid w:val="00513EFD"/>
    <w:rsid w:val="0051401C"/>
    <w:rsid w:val="00514DA4"/>
    <w:rsid w:val="00515047"/>
    <w:rsid w:val="00515A70"/>
    <w:rsid w:val="00515A89"/>
    <w:rsid w:val="00516311"/>
    <w:rsid w:val="005176D5"/>
    <w:rsid w:val="00517C9E"/>
    <w:rsid w:val="00517CEC"/>
    <w:rsid w:val="00521186"/>
    <w:rsid w:val="005212BE"/>
    <w:rsid w:val="00521413"/>
    <w:rsid w:val="005215F4"/>
    <w:rsid w:val="00521802"/>
    <w:rsid w:val="005220B7"/>
    <w:rsid w:val="00522264"/>
    <w:rsid w:val="005226AC"/>
    <w:rsid w:val="005228FF"/>
    <w:rsid w:val="005232F4"/>
    <w:rsid w:val="00523CFE"/>
    <w:rsid w:val="00523DA1"/>
    <w:rsid w:val="00523FC3"/>
    <w:rsid w:val="00524B3D"/>
    <w:rsid w:val="00525B2B"/>
    <w:rsid w:val="005262E5"/>
    <w:rsid w:val="00526E6F"/>
    <w:rsid w:val="00527BBA"/>
    <w:rsid w:val="005300D8"/>
    <w:rsid w:val="005309CD"/>
    <w:rsid w:val="0053103A"/>
    <w:rsid w:val="00531213"/>
    <w:rsid w:val="00532058"/>
    <w:rsid w:val="005322C3"/>
    <w:rsid w:val="00532540"/>
    <w:rsid w:val="00533A3D"/>
    <w:rsid w:val="00534103"/>
    <w:rsid w:val="0053448E"/>
    <w:rsid w:val="00534853"/>
    <w:rsid w:val="005355BB"/>
    <w:rsid w:val="00536032"/>
    <w:rsid w:val="005364CA"/>
    <w:rsid w:val="00536E69"/>
    <w:rsid w:val="005379F8"/>
    <w:rsid w:val="00537AAE"/>
    <w:rsid w:val="0054069D"/>
    <w:rsid w:val="00540F56"/>
    <w:rsid w:val="00540F85"/>
    <w:rsid w:val="005414F1"/>
    <w:rsid w:val="00541525"/>
    <w:rsid w:val="005415A3"/>
    <w:rsid w:val="00542F6D"/>
    <w:rsid w:val="0054339D"/>
    <w:rsid w:val="005436E1"/>
    <w:rsid w:val="00543B39"/>
    <w:rsid w:val="005446B4"/>
    <w:rsid w:val="005447C3"/>
    <w:rsid w:val="00544877"/>
    <w:rsid w:val="00544AEC"/>
    <w:rsid w:val="00545006"/>
    <w:rsid w:val="00545173"/>
    <w:rsid w:val="00545603"/>
    <w:rsid w:val="0054614E"/>
    <w:rsid w:val="00547EC0"/>
    <w:rsid w:val="00550A7F"/>
    <w:rsid w:val="00553170"/>
    <w:rsid w:val="00553D4C"/>
    <w:rsid w:val="00554783"/>
    <w:rsid w:val="0055478A"/>
    <w:rsid w:val="00555490"/>
    <w:rsid w:val="00555985"/>
    <w:rsid w:val="00555F10"/>
    <w:rsid w:val="00556318"/>
    <w:rsid w:val="005569C2"/>
    <w:rsid w:val="00556C08"/>
    <w:rsid w:val="00557DF7"/>
    <w:rsid w:val="00560012"/>
    <w:rsid w:val="005607E5"/>
    <w:rsid w:val="00561799"/>
    <w:rsid w:val="00561911"/>
    <w:rsid w:val="00561E65"/>
    <w:rsid w:val="00561E66"/>
    <w:rsid w:val="005623DD"/>
    <w:rsid w:val="00562EA0"/>
    <w:rsid w:val="005632FE"/>
    <w:rsid w:val="00563CD2"/>
    <w:rsid w:val="00563DA2"/>
    <w:rsid w:val="005640F6"/>
    <w:rsid w:val="00564518"/>
    <w:rsid w:val="00564562"/>
    <w:rsid w:val="00564B7A"/>
    <w:rsid w:val="00565B50"/>
    <w:rsid w:val="0056652A"/>
    <w:rsid w:val="00566AAC"/>
    <w:rsid w:val="00566B79"/>
    <w:rsid w:val="0056782C"/>
    <w:rsid w:val="00570CCB"/>
    <w:rsid w:val="00571023"/>
    <w:rsid w:val="00572208"/>
    <w:rsid w:val="00572221"/>
    <w:rsid w:val="00572345"/>
    <w:rsid w:val="00572379"/>
    <w:rsid w:val="0057341A"/>
    <w:rsid w:val="0057355B"/>
    <w:rsid w:val="00573E60"/>
    <w:rsid w:val="005741A4"/>
    <w:rsid w:val="005741AE"/>
    <w:rsid w:val="005742BA"/>
    <w:rsid w:val="0057483A"/>
    <w:rsid w:val="00574A41"/>
    <w:rsid w:val="0057503D"/>
    <w:rsid w:val="0057594A"/>
    <w:rsid w:val="00575BC5"/>
    <w:rsid w:val="0057665E"/>
    <w:rsid w:val="0057778B"/>
    <w:rsid w:val="005779AE"/>
    <w:rsid w:val="00577A04"/>
    <w:rsid w:val="00577F1B"/>
    <w:rsid w:val="005800F6"/>
    <w:rsid w:val="0058040C"/>
    <w:rsid w:val="00580C2C"/>
    <w:rsid w:val="0058103D"/>
    <w:rsid w:val="005815B1"/>
    <w:rsid w:val="00581733"/>
    <w:rsid w:val="00581960"/>
    <w:rsid w:val="00581D15"/>
    <w:rsid w:val="00581F45"/>
    <w:rsid w:val="005832D0"/>
    <w:rsid w:val="0058337B"/>
    <w:rsid w:val="005838DD"/>
    <w:rsid w:val="00583C1A"/>
    <w:rsid w:val="00583E2E"/>
    <w:rsid w:val="00584D0E"/>
    <w:rsid w:val="00584E19"/>
    <w:rsid w:val="00585374"/>
    <w:rsid w:val="00585928"/>
    <w:rsid w:val="00585D71"/>
    <w:rsid w:val="00586146"/>
    <w:rsid w:val="0058659D"/>
    <w:rsid w:val="005870D9"/>
    <w:rsid w:val="0058738E"/>
    <w:rsid w:val="00587997"/>
    <w:rsid w:val="00587CF5"/>
    <w:rsid w:val="00587D30"/>
    <w:rsid w:val="0059040A"/>
    <w:rsid w:val="00591FF7"/>
    <w:rsid w:val="00593078"/>
    <w:rsid w:val="0059433C"/>
    <w:rsid w:val="005946AB"/>
    <w:rsid w:val="0059490F"/>
    <w:rsid w:val="0059498B"/>
    <w:rsid w:val="00595D09"/>
    <w:rsid w:val="00595F30"/>
    <w:rsid w:val="0059601F"/>
    <w:rsid w:val="0059624A"/>
    <w:rsid w:val="00596B42"/>
    <w:rsid w:val="00596F83"/>
    <w:rsid w:val="005972AC"/>
    <w:rsid w:val="005979D0"/>
    <w:rsid w:val="00597E1E"/>
    <w:rsid w:val="005A0111"/>
    <w:rsid w:val="005A0436"/>
    <w:rsid w:val="005A15DF"/>
    <w:rsid w:val="005A2455"/>
    <w:rsid w:val="005A2C29"/>
    <w:rsid w:val="005A365B"/>
    <w:rsid w:val="005A44A4"/>
    <w:rsid w:val="005A50FA"/>
    <w:rsid w:val="005A5BB0"/>
    <w:rsid w:val="005A60BD"/>
    <w:rsid w:val="005A69E5"/>
    <w:rsid w:val="005A6F2E"/>
    <w:rsid w:val="005A777B"/>
    <w:rsid w:val="005B014D"/>
    <w:rsid w:val="005B06F5"/>
    <w:rsid w:val="005B080A"/>
    <w:rsid w:val="005B1DF4"/>
    <w:rsid w:val="005B1FB3"/>
    <w:rsid w:val="005B2A50"/>
    <w:rsid w:val="005B2BDA"/>
    <w:rsid w:val="005B2F13"/>
    <w:rsid w:val="005B3D31"/>
    <w:rsid w:val="005B3D44"/>
    <w:rsid w:val="005B43DC"/>
    <w:rsid w:val="005B46BB"/>
    <w:rsid w:val="005B46C1"/>
    <w:rsid w:val="005B5FD3"/>
    <w:rsid w:val="005B6086"/>
    <w:rsid w:val="005B6137"/>
    <w:rsid w:val="005B67E6"/>
    <w:rsid w:val="005B6C4C"/>
    <w:rsid w:val="005B7A7E"/>
    <w:rsid w:val="005B7B02"/>
    <w:rsid w:val="005C1791"/>
    <w:rsid w:val="005C1944"/>
    <w:rsid w:val="005C1B2F"/>
    <w:rsid w:val="005C1C69"/>
    <w:rsid w:val="005C21D6"/>
    <w:rsid w:val="005C21D8"/>
    <w:rsid w:val="005C3154"/>
    <w:rsid w:val="005C41C0"/>
    <w:rsid w:val="005C4511"/>
    <w:rsid w:val="005C4886"/>
    <w:rsid w:val="005C54B5"/>
    <w:rsid w:val="005C5EF7"/>
    <w:rsid w:val="005C7CA2"/>
    <w:rsid w:val="005D034D"/>
    <w:rsid w:val="005D0742"/>
    <w:rsid w:val="005D0E29"/>
    <w:rsid w:val="005D1598"/>
    <w:rsid w:val="005D159C"/>
    <w:rsid w:val="005D28B6"/>
    <w:rsid w:val="005D2F69"/>
    <w:rsid w:val="005D308D"/>
    <w:rsid w:val="005D415D"/>
    <w:rsid w:val="005D49CE"/>
    <w:rsid w:val="005D5104"/>
    <w:rsid w:val="005D5152"/>
    <w:rsid w:val="005D52D2"/>
    <w:rsid w:val="005D5A41"/>
    <w:rsid w:val="005D5ABC"/>
    <w:rsid w:val="005D647C"/>
    <w:rsid w:val="005D6609"/>
    <w:rsid w:val="005D6621"/>
    <w:rsid w:val="005D7067"/>
    <w:rsid w:val="005D7209"/>
    <w:rsid w:val="005D72AC"/>
    <w:rsid w:val="005D7A00"/>
    <w:rsid w:val="005D7BE3"/>
    <w:rsid w:val="005D7CF6"/>
    <w:rsid w:val="005D7D58"/>
    <w:rsid w:val="005E0556"/>
    <w:rsid w:val="005E063E"/>
    <w:rsid w:val="005E076D"/>
    <w:rsid w:val="005E0F95"/>
    <w:rsid w:val="005E13A6"/>
    <w:rsid w:val="005E2A35"/>
    <w:rsid w:val="005E2E60"/>
    <w:rsid w:val="005E33E1"/>
    <w:rsid w:val="005E3791"/>
    <w:rsid w:val="005E3D6D"/>
    <w:rsid w:val="005E411A"/>
    <w:rsid w:val="005E4A3B"/>
    <w:rsid w:val="005E70F6"/>
    <w:rsid w:val="005E73F9"/>
    <w:rsid w:val="005E75A9"/>
    <w:rsid w:val="005E7BDD"/>
    <w:rsid w:val="005F0514"/>
    <w:rsid w:val="005F0A66"/>
    <w:rsid w:val="005F0B87"/>
    <w:rsid w:val="005F0E12"/>
    <w:rsid w:val="005F1077"/>
    <w:rsid w:val="005F1233"/>
    <w:rsid w:val="005F2376"/>
    <w:rsid w:val="005F37E7"/>
    <w:rsid w:val="005F4280"/>
    <w:rsid w:val="005F4A35"/>
    <w:rsid w:val="005F4D4D"/>
    <w:rsid w:val="005F5204"/>
    <w:rsid w:val="005F5492"/>
    <w:rsid w:val="005F59AC"/>
    <w:rsid w:val="005F5A14"/>
    <w:rsid w:val="005F64C8"/>
    <w:rsid w:val="005F7415"/>
    <w:rsid w:val="005F7CF6"/>
    <w:rsid w:val="006003DF"/>
    <w:rsid w:val="0060085A"/>
    <w:rsid w:val="0060108F"/>
    <w:rsid w:val="00601F95"/>
    <w:rsid w:val="00602696"/>
    <w:rsid w:val="0060276B"/>
    <w:rsid w:val="00602B66"/>
    <w:rsid w:val="00603039"/>
    <w:rsid w:val="00604073"/>
    <w:rsid w:val="00604341"/>
    <w:rsid w:val="006048E8"/>
    <w:rsid w:val="00606AFE"/>
    <w:rsid w:val="00606E2F"/>
    <w:rsid w:val="00607934"/>
    <w:rsid w:val="00610000"/>
    <w:rsid w:val="0061035E"/>
    <w:rsid w:val="006104B5"/>
    <w:rsid w:val="00610611"/>
    <w:rsid w:val="00611326"/>
    <w:rsid w:val="006113C5"/>
    <w:rsid w:val="0061140E"/>
    <w:rsid w:val="006128BB"/>
    <w:rsid w:val="0061324B"/>
    <w:rsid w:val="006139B8"/>
    <w:rsid w:val="00614704"/>
    <w:rsid w:val="00617E5E"/>
    <w:rsid w:val="0062064A"/>
    <w:rsid w:val="00620893"/>
    <w:rsid w:val="00621719"/>
    <w:rsid w:val="00621C8D"/>
    <w:rsid w:val="00621D16"/>
    <w:rsid w:val="00621D8B"/>
    <w:rsid w:val="00621E63"/>
    <w:rsid w:val="00623064"/>
    <w:rsid w:val="00623499"/>
    <w:rsid w:val="006234E9"/>
    <w:rsid w:val="006234EF"/>
    <w:rsid w:val="0062402F"/>
    <w:rsid w:val="0062422D"/>
    <w:rsid w:val="00624348"/>
    <w:rsid w:val="00624882"/>
    <w:rsid w:val="00624BCE"/>
    <w:rsid w:val="0062557A"/>
    <w:rsid w:val="006256A7"/>
    <w:rsid w:val="00625C1B"/>
    <w:rsid w:val="006272C1"/>
    <w:rsid w:val="00627949"/>
    <w:rsid w:val="00627A64"/>
    <w:rsid w:val="0063042A"/>
    <w:rsid w:val="0063049A"/>
    <w:rsid w:val="0063119A"/>
    <w:rsid w:val="00631643"/>
    <w:rsid w:val="00631F97"/>
    <w:rsid w:val="00633A82"/>
    <w:rsid w:val="00633C08"/>
    <w:rsid w:val="00634412"/>
    <w:rsid w:val="0063443A"/>
    <w:rsid w:val="00634B2C"/>
    <w:rsid w:val="00634FE6"/>
    <w:rsid w:val="006353FB"/>
    <w:rsid w:val="00635A87"/>
    <w:rsid w:val="006367EC"/>
    <w:rsid w:val="00636BDB"/>
    <w:rsid w:val="00637145"/>
    <w:rsid w:val="00637A27"/>
    <w:rsid w:val="00640953"/>
    <w:rsid w:val="00640CE3"/>
    <w:rsid w:val="00640F09"/>
    <w:rsid w:val="006428D2"/>
    <w:rsid w:val="006434E5"/>
    <w:rsid w:val="00643BBF"/>
    <w:rsid w:val="0064441F"/>
    <w:rsid w:val="00644425"/>
    <w:rsid w:val="0064462B"/>
    <w:rsid w:val="00645139"/>
    <w:rsid w:val="006472FA"/>
    <w:rsid w:val="00647849"/>
    <w:rsid w:val="00647C9E"/>
    <w:rsid w:val="006504A0"/>
    <w:rsid w:val="00650F68"/>
    <w:rsid w:val="006518D0"/>
    <w:rsid w:val="00651C79"/>
    <w:rsid w:val="00651D5F"/>
    <w:rsid w:val="00652DD5"/>
    <w:rsid w:val="006532B3"/>
    <w:rsid w:val="0065337E"/>
    <w:rsid w:val="00653480"/>
    <w:rsid w:val="0065373A"/>
    <w:rsid w:val="00654076"/>
    <w:rsid w:val="0065457E"/>
    <w:rsid w:val="006545C4"/>
    <w:rsid w:val="0065470A"/>
    <w:rsid w:val="00654AF5"/>
    <w:rsid w:val="0065505B"/>
    <w:rsid w:val="00655EEE"/>
    <w:rsid w:val="00656183"/>
    <w:rsid w:val="006561CE"/>
    <w:rsid w:val="006563E8"/>
    <w:rsid w:val="00657A12"/>
    <w:rsid w:val="00657B00"/>
    <w:rsid w:val="006604D5"/>
    <w:rsid w:val="00662503"/>
    <w:rsid w:val="006627E8"/>
    <w:rsid w:val="006632F7"/>
    <w:rsid w:val="00663B03"/>
    <w:rsid w:val="00663BF2"/>
    <w:rsid w:val="006644BD"/>
    <w:rsid w:val="006644E7"/>
    <w:rsid w:val="00664A43"/>
    <w:rsid w:val="00665157"/>
    <w:rsid w:val="00665577"/>
    <w:rsid w:val="006655F8"/>
    <w:rsid w:val="00665E23"/>
    <w:rsid w:val="006670B7"/>
    <w:rsid w:val="006670CE"/>
    <w:rsid w:val="0066736B"/>
    <w:rsid w:val="006676F1"/>
    <w:rsid w:val="00667825"/>
    <w:rsid w:val="006701B9"/>
    <w:rsid w:val="0067064A"/>
    <w:rsid w:val="00670720"/>
    <w:rsid w:val="00670E44"/>
    <w:rsid w:val="00672077"/>
    <w:rsid w:val="00672A76"/>
    <w:rsid w:val="00672BF3"/>
    <w:rsid w:val="00672C2E"/>
    <w:rsid w:val="00672D98"/>
    <w:rsid w:val="00672F48"/>
    <w:rsid w:val="00673FE0"/>
    <w:rsid w:val="00674216"/>
    <w:rsid w:val="00674262"/>
    <w:rsid w:val="0067663D"/>
    <w:rsid w:val="006802F1"/>
    <w:rsid w:val="00680AAF"/>
    <w:rsid w:val="00680F39"/>
    <w:rsid w:val="0068124D"/>
    <w:rsid w:val="006812DE"/>
    <w:rsid w:val="00681D76"/>
    <w:rsid w:val="00682AD1"/>
    <w:rsid w:val="00683140"/>
    <w:rsid w:val="00683848"/>
    <w:rsid w:val="00683E2E"/>
    <w:rsid w:val="006849EE"/>
    <w:rsid w:val="00684BBE"/>
    <w:rsid w:val="00684C66"/>
    <w:rsid w:val="00685653"/>
    <w:rsid w:val="0068631D"/>
    <w:rsid w:val="00686652"/>
    <w:rsid w:val="00686AC1"/>
    <w:rsid w:val="00686E6E"/>
    <w:rsid w:val="00687FDF"/>
    <w:rsid w:val="006906AD"/>
    <w:rsid w:val="006913B9"/>
    <w:rsid w:val="00691515"/>
    <w:rsid w:val="0069186C"/>
    <w:rsid w:val="00691DAD"/>
    <w:rsid w:val="006928AC"/>
    <w:rsid w:val="00693141"/>
    <w:rsid w:val="006933D6"/>
    <w:rsid w:val="00693866"/>
    <w:rsid w:val="00695141"/>
    <w:rsid w:val="006951E5"/>
    <w:rsid w:val="00695221"/>
    <w:rsid w:val="006964E6"/>
    <w:rsid w:val="00696C92"/>
    <w:rsid w:val="006976BE"/>
    <w:rsid w:val="006976EB"/>
    <w:rsid w:val="0069799C"/>
    <w:rsid w:val="006979BD"/>
    <w:rsid w:val="00697A8E"/>
    <w:rsid w:val="006A0440"/>
    <w:rsid w:val="006A0D5D"/>
    <w:rsid w:val="006A0F20"/>
    <w:rsid w:val="006A1AC4"/>
    <w:rsid w:val="006A23AB"/>
    <w:rsid w:val="006A2631"/>
    <w:rsid w:val="006A329B"/>
    <w:rsid w:val="006A372F"/>
    <w:rsid w:val="006A40DD"/>
    <w:rsid w:val="006A464A"/>
    <w:rsid w:val="006A4DDC"/>
    <w:rsid w:val="006A624B"/>
    <w:rsid w:val="006A762F"/>
    <w:rsid w:val="006A765B"/>
    <w:rsid w:val="006B0A00"/>
    <w:rsid w:val="006B0C16"/>
    <w:rsid w:val="006B1001"/>
    <w:rsid w:val="006B168A"/>
    <w:rsid w:val="006B1711"/>
    <w:rsid w:val="006B1B5F"/>
    <w:rsid w:val="006B1DAD"/>
    <w:rsid w:val="006B218B"/>
    <w:rsid w:val="006B308C"/>
    <w:rsid w:val="006B37E9"/>
    <w:rsid w:val="006B5D01"/>
    <w:rsid w:val="006B6CCB"/>
    <w:rsid w:val="006B6E45"/>
    <w:rsid w:val="006B771F"/>
    <w:rsid w:val="006B783E"/>
    <w:rsid w:val="006C052B"/>
    <w:rsid w:val="006C2306"/>
    <w:rsid w:val="006C350F"/>
    <w:rsid w:val="006C3AB1"/>
    <w:rsid w:val="006C3E72"/>
    <w:rsid w:val="006C4110"/>
    <w:rsid w:val="006C41AC"/>
    <w:rsid w:val="006C5348"/>
    <w:rsid w:val="006C54CF"/>
    <w:rsid w:val="006C696E"/>
    <w:rsid w:val="006C74D2"/>
    <w:rsid w:val="006C79BD"/>
    <w:rsid w:val="006C7BE6"/>
    <w:rsid w:val="006D1016"/>
    <w:rsid w:val="006D1B1D"/>
    <w:rsid w:val="006D1DC9"/>
    <w:rsid w:val="006D2412"/>
    <w:rsid w:val="006D2682"/>
    <w:rsid w:val="006D2B91"/>
    <w:rsid w:val="006D5150"/>
    <w:rsid w:val="006D5251"/>
    <w:rsid w:val="006D5B6F"/>
    <w:rsid w:val="006D6046"/>
    <w:rsid w:val="006D62EE"/>
    <w:rsid w:val="006D67E0"/>
    <w:rsid w:val="006D6981"/>
    <w:rsid w:val="006D7211"/>
    <w:rsid w:val="006D7593"/>
    <w:rsid w:val="006D774E"/>
    <w:rsid w:val="006D7B57"/>
    <w:rsid w:val="006E0312"/>
    <w:rsid w:val="006E0DD3"/>
    <w:rsid w:val="006E1E26"/>
    <w:rsid w:val="006E2E63"/>
    <w:rsid w:val="006E2F2F"/>
    <w:rsid w:val="006E31EA"/>
    <w:rsid w:val="006E32D8"/>
    <w:rsid w:val="006E3DEB"/>
    <w:rsid w:val="006E3EF4"/>
    <w:rsid w:val="006E458E"/>
    <w:rsid w:val="006E496A"/>
    <w:rsid w:val="006E4A38"/>
    <w:rsid w:val="006E4E70"/>
    <w:rsid w:val="006E5057"/>
    <w:rsid w:val="006E5643"/>
    <w:rsid w:val="006E56E6"/>
    <w:rsid w:val="006E6238"/>
    <w:rsid w:val="006E6A21"/>
    <w:rsid w:val="006E7218"/>
    <w:rsid w:val="006E74BD"/>
    <w:rsid w:val="006E760C"/>
    <w:rsid w:val="006E7E6E"/>
    <w:rsid w:val="006F0297"/>
    <w:rsid w:val="006F0679"/>
    <w:rsid w:val="006F0771"/>
    <w:rsid w:val="006F0A58"/>
    <w:rsid w:val="006F224D"/>
    <w:rsid w:val="006F2F9E"/>
    <w:rsid w:val="006F31C8"/>
    <w:rsid w:val="006F41E5"/>
    <w:rsid w:val="006F4B7F"/>
    <w:rsid w:val="006F521D"/>
    <w:rsid w:val="006F6820"/>
    <w:rsid w:val="006F6B14"/>
    <w:rsid w:val="006F72E5"/>
    <w:rsid w:val="007001DF"/>
    <w:rsid w:val="007002DF"/>
    <w:rsid w:val="00700646"/>
    <w:rsid w:val="007008B0"/>
    <w:rsid w:val="007009E2"/>
    <w:rsid w:val="00700E81"/>
    <w:rsid w:val="00701063"/>
    <w:rsid w:val="007011A4"/>
    <w:rsid w:val="007021B4"/>
    <w:rsid w:val="00702317"/>
    <w:rsid w:val="0070268D"/>
    <w:rsid w:val="00702C38"/>
    <w:rsid w:val="0070336A"/>
    <w:rsid w:val="00703760"/>
    <w:rsid w:val="0070420C"/>
    <w:rsid w:val="007044B8"/>
    <w:rsid w:val="00704586"/>
    <w:rsid w:val="0070548B"/>
    <w:rsid w:val="00705A7E"/>
    <w:rsid w:val="00705AA2"/>
    <w:rsid w:val="007073BE"/>
    <w:rsid w:val="00707453"/>
    <w:rsid w:val="007100C7"/>
    <w:rsid w:val="00710AC0"/>
    <w:rsid w:val="007119F1"/>
    <w:rsid w:val="0071254F"/>
    <w:rsid w:val="007133E9"/>
    <w:rsid w:val="0071370A"/>
    <w:rsid w:val="00713837"/>
    <w:rsid w:val="00713AA9"/>
    <w:rsid w:val="00713D96"/>
    <w:rsid w:val="007142A8"/>
    <w:rsid w:val="007159E7"/>
    <w:rsid w:val="007170D0"/>
    <w:rsid w:val="007176E3"/>
    <w:rsid w:val="007176EB"/>
    <w:rsid w:val="00720321"/>
    <w:rsid w:val="00720928"/>
    <w:rsid w:val="00721A7D"/>
    <w:rsid w:val="00722845"/>
    <w:rsid w:val="0072337C"/>
    <w:rsid w:val="007239B0"/>
    <w:rsid w:val="00723A3F"/>
    <w:rsid w:val="00723EE3"/>
    <w:rsid w:val="007240C3"/>
    <w:rsid w:val="007247B4"/>
    <w:rsid w:val="0072525F"/>
    <w:rsid w:val="007252A3"/>
    <w:rsid w:val="0072590E"/>
    <w:rsid w:val="00727028"/>
    <w:rsid w:val="00727B9D"/>
    <w:rsid w:val="00727D4A"/>
    <w:rsid w:val="00727F56"/>
    <w:rsid w:val="00730312"/>
    <w:rsid w:val="00730912"/>
    <w:rsid w:val="007315B8"/>
    <w:rsid w:val="00731FAA"/>
    <w:rsid w:val="007321DA"/>
    <w:rsid w:val="007331F4"/>
    <w:rsid w:val="007332DC"/>
    <w:rsid w:val="007333DC"/>
    <w:rsid w:val="007335C8"/>
    <w:rsid w:val="00733F13"/>
    <w:rsid w:val="00733F99"/>
    <w:rsid w:val="00735B67"/>
    <w:rsid w:val="00735D45"/>
    <w:rsid w:val="00736994"/>
    <w:rsid w:val="00736B48"/>
    <w:rsid w:val="00736E34"/>
    <w:rsid w:val="00737A69"/>
    <w:rsid w:val="00737AAA"/>
    <w:rsid w:val="00737C27"/>
    <w:rsid w:val="00740D4B"/>
    <w:rsid w:val="0074104B"/>
    <w:rsid w:val="007413FC"/>
    <w:rsid w:val="00742A69"/>
    <w:rsid w:val="00742A9D"/>
    <w:rsid w:val="0074310D"/>
    <w:rsid w:val="00743267"/>
    <w:rsid w:val="00744E44"/>
    <w:rsid w:val="00745FD2"/>
    <w:rsid w:val="00746BCF"/>
    <w:rsid w:val="007470B0"/>
    <w:rsid w:val="00747A29"/>
    <w:rsid w:val="00747BA1"/>
    <w:rsid w:val="007513C4"/>
    <w:rsid w:val="007515F3"/>
    <w:rsid w:val="00751669"/>
    <w:rsid w:val="00751C44"/>
    <w:rsid w:val="007529B5"/>
    <w:rsid w:val="0075346A"/>
    <w:rsid w:val="00753A6D"/>
    <w:rsid w:val="00753BB6"/>
    <w:rsid w:val="007542C2"/>
    <w:rsid w:val="00754BFF"/>
    <w:rsid w:val="00754CD5"/>
    <w:rsid w:val="00754CF1"/>
    <w:rsid w:val="0075503A"/>
    <w:rsid w:val="007551C2"/>
    <w:rsid w:val="00755816"/>
    <w:rsid w:val="00755AD3"/>
    <w:rsid w:val="00755FFC"/>
    <w:rsid w:val="0075653B"/>
    <w:rsid w:val="00757973"/>
    <w:rsid w:val="007607E0"/>
    <w:rsid w:val="00760CED"/>
    <w:rsid w:val="00760FF3"/>
    <w:rsid w:val="007610FB"/>
    <w:rsid w:val="0076180D"/>
    <w:rsid w:val="007630A3"/>
    <w:rsid w:val="0076316E"/>
    <w:rsid w:val="007631D5"/>
    <w:rsid w:val="007632DE"/>
    <w:rsid w:val="00763719"/>
    <w:rsid w:val="00763FF9"/>
    <w:rsid w:val="00764509"/>
    <w:rsid w:val="00766661"/>
    <w:rsid w:val="00766BA5"/>
    <w:rsid w:val="00766DE0"/>
    <w:rsid w:val="007675BA"/>
    <w:rsid w:val="007702B5"/>
    <w:rsid w:val="0077087B"/>
    <w:rsid w:val="00770954"/>
    <w:rsid w:val="007709BF"/>
    <w:rsid w:val="007712E2"/>
    <w:rsid w:val="007713BE"/>
    <w:rsid w:val="00771448"/>
    <w:rsid w:val="00771B4D"/>
    <w:rsid w:val="0077253C"/>
    <w:rsid w:val="0077340E"/>
    <w:rsid w:val="007734E8"/>
    <w:rsid w:val="00773D7C"/>
    <w:rsid w:val="00774057"/>
    <w:rsid w:val="00775FEF"/>
    <w:rsid w:val="00776062"/>
    <w:rsid w:val="00776384"/>
    <w:rsid w:val="0077667B"/>
    <w:rsid w:val="007768BB"/>
    <w:rsid w:val="00776A4B"/>
    <w:rsid w:val="00777390"/>
    <w:rsid w:val="007773E7"/>
    <w:rsid w:val="00777492"/>
    <w:rsid w:val="00777EA7"/>
    <w:rsid w:val="00780EBC"/>
    <w:rsid w:val="00780EF5"/>
    <w:rsid w:val="00780FD3"/>
    <w:rsid w:val="00781171"/>
    <w:rsid w:val="00781186"/>
    <w:rsid w:val="00781A26"/>
    <w:rsid w:val="007822A5"/>
    <w:rsid w:val="007833EB"/>
    <w:rsid w:val="00783E05"/>
    <w:rsid w:val="0078596F"/>
    <w:rsid w:val="00785E11"/>
    <w:rsid w:val="00786327"/>
    <w:rsid w:val="00786D69"/>
    <w:rsid w:val="00787460"/>
    <w:rsid w:val="00790D75"/>
    <w:rsid w:val="00792C47"/>
    <w:rsid w:val="00792DFD"/>
    <w:rsid w:val="00793354"/>
    <w:rsid w:val="00793380"/>
    <w:rsid w:val="00793791"/>
    <w:rsid w:val="00793B35"/>
    <w:rsid w:val="00793CB8"/>
    <w:rsid w:val="00793F99"/>
    <w:rsid w:val="0079416F"/>
    <w:rsid w:val="00794F08"/>
    <w:rsid w:val="007955F6"/>
    <w:rsid w:val="007959DC"/>
    <w:rsid w:val="00795AA6"/>
    <w:rsid w:val="00795D53"/>
    <w:rsid w:val="007961EA"/>
    <w:rsid w:val="00796E12"/>
    <w:rsid w:val="0079753F"/>
    <w:rsid w:val="00797AB5"/>
    <w:rsid w:val="007A0ADF"/>
    <w:rsid w:val="007A18DC"/>
    <w:rsid w:val="007A2650"/>
    <w:rsid w:val="007A2F34"/>
    <w:rsid w:val="007A3306"/>
    <w:rsid w:val="007A34C8"/>
    <w:rsid w:val="007A3F16"/>
    <w:rsid w:val="007A5229"/>
    <w:rsid w:val="007A5779"/>
    <w:rsid w:val="007A5A8F"/>
    <w:rsid w:val="007A5BE5"/>
    <w:rsid w:val="007A5EED"/>
    <w:rsid w:val="007A6897"/>
    <w:rsid w:val="007A766E"/>
    <w:rsid w:val="007A7DB4"/>
    <w:rsid w:val="007B0297"/>
    <w:rsid w:val="007B09E5"/>
    <w:rsid w:val="007B0ACE"/>
    <w:rsid w:val="007B1E5D"/>
    <w:rsid w:val="007B2196"/>
    <w:rsid w:val="007B24A5"/>
    <w:rsid w:val="007B2B9D"/>
    <w:rsid w:val="007B2CAC"/>
    <w:rsid w:val="007B308B"/>
    <w:rsid w:val="007B31B0"/>
    <w:rsid w:val="007B41EB"/>
    <w:rsid w:val="007B42A1"/>
    <w:rsid w:val="007B4F92"/>
    <w:rsid w:val="007B5010"/>
    <w:rsid w:val="007B5720"/>
    <w:rsid w:val="007B5BB5"/>
    <w:rsid w:val="007B6219"/>
    <w:rsid w:val="007B62E3"/>
    <w:rsid w:val="007B6BD7"/>
    <w:rsid w:val="007B6F82"/>
    <w:rsid w:val="007B707A"/>
    <w:rsid w:val="007B708B"/>
    <w:rsid w:val="007B7264"/>
    <w:rsid w:val="007B78E9"/>
    <w:rsid w:val="007B7CF6"/>
    <w:rsid w:val="007B7F47"/>
    <w:rsid w:val="007C1561"/>
    <w:rsid w:val="007C17AC"/>
    <w:rsid w:val="007C1E27"/>
    <w:rsid w:val="007C4593"/>
    <w:rsid w:val="007C4683"/>
    <w:rsid w:val="007C4CA5"/>
    <w:rsid w:val="007C4CB2"/>
    <w:rsid w:val="007C60DB"/>
    <w:rsid w:val="007C7445"/>
    <w:rsid w:val="007D10D9"/>
    <w:rsid w:val="007D1948"/>
    <w:rsid w:val="007D195F"/>
    <w:rsid w:val="007D1C07"/>
    <w:rsid w:val="007D2A5E"/>
    <w:rsid w:val="007D2FE3"/>
    <w:rsid w:val="007D319D"/>
    <w:rsid w:val="007D331C"/>
    <w:rsid w:val="007D34BD"/>
    <w:rsid w:val="007D4A3A"/>
    <w:rsid w:val="007D5FCC"/>
    <w:rsid w:val="007D6470"/>
    <w:rsid w:val="007D793A"/>
    <w:rsid w:val="007E01A6"/>
    <w:rsid w:val="007E01DC"/>
    <w:rsid w:val="007E035F"/>
    <w:rsid w:val="007E05E2"/>
    <w:rsid w:val="007E0976"/>
    <w:rsid w:val="007E0C48"/>
    <w:rsid w:val="007E0D50"/>
    <w:rsid w:val="007E0D62"/>
    <w:rsid w:val="007E0F49"/>
    <w:rsid w:val="007E158B"/>
    <w:rsid w:val="007E1CE0"/>
    <w:rsid w:val="007E20B8"/>
    <w:rsid w:val="007E20C9"/>
    <w:rsid w:val="007E2EB9"/>
    <w:rsid w:val="007E32B0"/>
    <w:rsid w:val="007E374B"/>
    <w:rsid w:val="007E4BEE"/>
    <w:rsid w:val="007E50D2"/>
    <w:rsid w:val="007E6C9D"/>
    <w:rsid w:val="007E7A10"/>
    <w:rsid w:val="007F009E"/>
    <w:rsid w:val="007F0331"/>
    <w:rsid w:val="007F087F"/>
    <w:rsid w:val="007F0897"/>
    <w:rsid w:val="007F0945"/>
    <w:rsid w:val="007F0B71"/>
    <w:rsid w:val="007F0C9E"/>
    <w:rsid w:val="007F15A6"/>
    <w:rsid w:val="007F1688"/>
    <w:rsid w:val="007F19E7"/>
    <w:rsid w:val="007F2448"/>
    <w:rsid w:val="007F26E9"/>
    <w:rsid w:val="007F3251"/>
    <w:rsid w:val="007F3992"/>
    <w:rsid w:val="007F4C45"/>
    <w:rsid w:val="007F4E2A"/>
    <w:rsid w:val="007F6A0D"/>
    <w:rsid w:val="007F6ADE"/>
    <w:rsid w:val="007F73B8"/>
    <w:rsid w:val="007F7519"/>
    <w:rsid w:val="007F76D0"/>
    <w:rsid w:val="007F76FC"/>
    <w:rsid w:val="007F78C1"/>
    <w:rsid w:val="0080004A"/>
    <w:rsid w:val="00800CD9"/>
    <w:rsid w:val="00800CF7"/>
    <w:rsid w:val="00801045"/>
    <w:rsid w:val="00801668"/>
    <w:rsid w:val="008017BC"/>
    <w:rsid w:val="00802ACD"/>
    <w:rsid w:val="00803E46"/>
    <w:rsid w:val="00803ECB"/>
    <w:rsid w:val="00804A96"/>
    <w:rsid w:val="00804FA9"/>
    <w:rsid w:val="008055D1"/>
    <w:rsid w:val="0080576C"/>
    <w:rsid w:val="00805C43"/>
    <w:rsid w:val="00805C87"/>
    <w:rsid w:val="00805F8D"/>
    <w:rsid w:val="00806D9D"/>
    <w:rsid w:val="00807570"/>
    <w:rsid w:val="00811030"/>
    <w:rsid w:val="008111BF"/>
    <w:rsid w:val="00812B1F"/>
    <w:rsid w:val="00812EAA"/>
    <w:rsid w:val="008138DB"/>
    <w:rsid w:val="00814D05"/>
    <w:rsid w:val="0081506F"/>
    <w:rsid w:val="0081595A"/>
    <w:rsid w:val="00815A9B"/>
    <w:rsid w:val="00815F22"/>
    <w:rsid w:val="00816BBF"/>
    <w:rsid w:val="0081727B"/>
    <w:rsid w:val="008176B6"/>
    <w:rsid w:val="00817CF9"/>
    <w:rsid w:val="00817E5C"/>
    <w:rsid w:val="00820391"/>
    <w:rsid w:val="00820E3D"/>
    <w:rsid w:val="00821F0B"/>
    <w:rsid w:val="00821FDA"/>
    <w:rsid w:val="00822487"/>
    <w:rsid w:val="0082317A"/>
    <w:rsid w:val="00823222"/>
    <w:rsid w:val="008236F9"/>
    <w:rsid w:val="008244CC"/>
    <w:rsid w:val="00824AFB"/>
    <w:rsid w:val="00824DE9"/>
    <w:rsid w:val="0082523F"/>
    <w:rsid w:val="00826578"/>
    <w:rsid w:val="008268E3"/>
    <w:rsid w:val="00826D20"/>
    <w:rsid w:val="00827206"/>
    <w:rsid w:val="00827D90"/>
    <w:rsid w:val="00827E5E"/>
    <w:rsid w:val="00827EA2"/>
    <w:rsid w:val="008317D0"/>
    <w:rsid w:val="00831C5B"/>
    <w:rsid w:val="00831F3F"/>
    <w:rsid w:val="00832423"/>
    <w:rsid w:val="00832872"/>
    <w:rsid w:val="008329D1"/>
    <w:rsid w:val="00832EB9"/>
    <w:rsid w:val="00833007"/>
    <w:rsid w:val="00833278"/>
    <w:rsid w:val="00833473"/>
    <w:rsid w:val="00833689"/>
    <w:rsid w:val="00833E5C"/>
    <w:rsid w:val="0083449F"/>
    <w:rsid w:val="008349A7"/>
    <w:rsid w:val="00835543"/>
    <w:rsid w:val="00836AD0"/>
    <w:rsid w:val="00837136"/>
    <w:rsid w:val="0083776F"/>
    <w:rsid w:val="00837CBB"/>
    <w:rsid w:val="00837DC7"/>
    <w:rsid w:val="00837DEE"/>
    <w:rsid w:val="00837F5D"/>
    <w:rsid w:val="00840066"/>
    <w:rsid w:val="0084052A"/>
    <w:rsid w:val="00840812"/>
    <w:rsid w:val="00840880"/>
    <w:rsid w:val="00840BD9"/>
    <w:rsid w:val="00840C9D"/>
    <w:rsid w:val="00841454"/>
    <w:rsid w:val="0084155E"/>
    <w:rsid w:val="00841E55"/>
    <w:rsid w:val="00842938"/>
    <w:rsid w:val="00842C8A"/>
    <w:rsid w:val="00843958"/>
    <w:rsid w:val="00843B6A"/>
    <w:rsid w:val="00843D2D"/>
    <w:rsid w:val="00843FA7"/>
    <w:rsid w:val="00845187"/>
    <w:rsid w:val="008451E2"/>
    <w:rsid w:val="0084554D"/>
    <w:rsid w:val="0084563A"/>
    <w:rsid w:val="00845983"/>
    <w:rsid w:val="00845B83"/>
    <w:rsid w:val="00846076"/>
    <w:rsid w:val="008461D0"/>
    <w:rsid w:val="00846931"/>
    <w:rsid w:val="00847907"/>
    <w:rsid w:val="00847C19"/>
    <w:rsid w:val="00850741"/>
    <w:rsid w:val="0085182B"/>
    <w:rsid w:val="00852E1E"/>
    <w:rsid w:val="008531C7"/>
    <w:rsid w:val="00853255"/>
    <w:rsid w:val="00853343"/>
    <w:rsid w:val="008539C4"/>
    <w:rsid w:val="00854B45"/>
    <w:rsid w:val="008554A6"/>
    <w:rsid w:val="008578A2"/>
    <w:rsid w:val="00857CE9"/>
    <w:rsid w:val="00860D56"/>
    <w:rsid w:val="00860EF3"/>
    <w:rsid w:val="00861BE5"/>
    <w:rsid w:val="00861D86"/>
    <w:rsid w:val="008629E2"/>
    <w:rsid w:val="00862A5A"/>
    <w:rsid w:val="00862E1F"/>
    <w:rsid w:val="00863D59"/>
    <w:rsid w:val="00863FA4"/>
    <w:rsid w:val="008641B7"/>
    <w:rsid w:val="00864B5E"/>
    <w:rsid w:val="008656A4"/>
    <w:rsid w:val="00867E42"/>
    <w:rsid w:val="00870279"/>
    <w:rsid w:val="0087428A"/>
    <w:rsid w:val="008744EE"/>
    <w:rsid w:val="00874856"/>
    <w:rsid w:val="00874D04"/>
    <w:rsid w:val="008750B2"/>
    <w:rsid w:val="00875FCB"/>
    <w:rsid w:val="008761D2"/>
    <w:rsid w:val="00876804"/>
    <w:rsid w:val="00876A62"/>
    <w:rsid w:val="00876AC2"/>
    <w:rsid w:val="008779BD"/>
    <w:rsid w:val="008804E1"/>
    <w:rsid w:val="0088157F"/>
    <w:rsid w:val="00881BFC"/>
    <w:rsid w:val="00882850"/>
    <w:rsid w:val="00882EB9"/>
    <w:rsid w:val="008839CC"/>
    <w:rsid w:val="00883C61"/>
    <w:rsid w:val="00884581"/>
    <w:rsid w:val="0088477C"/>
    <w:rsid w:val="008847B2"/>
    <w:rsid w:val="008847C0"/>
    <w:rsid w:val="0088494B"/>
    <w:rsid w:val="00884FFA"/>
    <w:rsid w:val="00885E28"/>
    <w:rsid w:val="008869F4"/>
    <w:rsid w:val="00886A37"/>
    <w:rsid w:val="00886E58"/>
    <w:rsid w:val="00887029"/>
    <w:rsid w:val="00887F6A"/>
    <w:rsid w:val="0089015E"/>
    <w:rsid w:val="00890AD4"/>
    <w:rsid w:val="00890DBE"/>
    <w:rsid w:val="00891269"/>
    <w:rsid w:val="008923E9"/>
    <w:rsid w:val="008926C0"/>
    <w:rsid w:val="00892AFC"/>
    <w:rsid w:val="00892ECD"/>
    <w:rsid w:val="008932CB"/>
    <w:rsid w:val="00893FB0"/>
    <w:rsid w:val="008944F3"/>
    <w:rsid w:val="00894E91"/>
    <w:rsid w:val="00894FA8"/>
    <w:rsid w:val="00895AC2"/>
    <w:rsid w:val="00896F3E"/>
    <w:rsid w:val="00897360"/>
    <w:rsid w:val="00897D76"/>
    <w:rsid w:val="008A0164"/>
    <w:rsid w:val="008A095D"/>
    <w:rsid w:val="008A0D6B"/>
    <w:rsid w:val="008A0ED0"/>
    <w:rsid w:val="008A141A"/>
    <w:rsid w:val="008A18B7"/>
    <w:rsid w:val="008A1FEE"/>
    <w:rsid w:val="008A24DF"/>
    <w:rsid w:val="008A2ADF"/>
    <w:rsid w:val="008A2CBD"/>
    <w:rsid w:val="008A2E1E"/>
    <w:rsid w:val="008A315D"/>
    <w:rsid w:val="008A3560"/>
    <w:rsid w:val="008A4586"/>
    <w:rsid w:val="008A4D73"/>
    <w:rsid w:val="008A500A"/>
    <w:rsid w:val="008A54B2"/>
    <w:rsid w:val="008A5894"/>
    <w:rsid w:val="008A5DDB"/>
    <w:rsid w:val="008A5FB1"/>
    <w:rsid w:val="008A605B"/>
    <w:rsid w:val="008A7303"/>
    <w:rsid w:val="008B0394"/>
    <w:rsid w:val="008B0420"/>
    <w:rsid w:val="008B0559"/>
    <w:rsid w:val="008B131F"/>
    <w:rsid w:val="008B1493"/>
    <w:rsid w:val="008B23A2"/>
    <w:rsid w:val="008B2507"/>
    <w:rsid w:val="008B2B0F"/>
    <w:rsid w:val="008B38A7"/>
    <w:rsid w:val="008B3918"/>
    <w:rsid w:val="008B3AEB"/>
    <w:rsid w:val="008B5098"/>
    <w:rsid w:val="008B5282"/>
    <w:rsid w:val="008B5306"/>
    <w:rsid w:val="008B55CF"/>
    <w:rsid w:val="008B5DDC"/>
    <w:rsid w:val="008B6266"/>
    <w:rsid w:val="008B746E"/>
    <w:rsid w:val="008B79EE"/>
    <w:rsid w:val="008B7AE9"/>
    <w:rsid w:val="008C026A"/>
    <w:rsid w:val="008C0504"/>
    <w:rsid w:val="008C0E1A"/>
    <w:rsid w:val="008C0E47"/>
    <w:rsid w:val="008C157D"/>
    <w:rsid w:val="008C1A67"/>
    <w:rsid w:val="008C1FEB"/>
    <w:rsid w:val="008C2466"/>
    <w:rsid w:val="008C37F3"/>
    <w:rsid w:val="008C3E57"/>
    <w:rsid w:val="008C4D9B"/>
    <w:rsid w:val="008C55A3"/>
    <w:rsid w:val="008C5C76"/>
    <w:rsid w:val="008C6083"/>
    <w:rsid w:val="008C6E1E"/>
    <w:rsid w:val="008C6E3D"/>
    <w:rsid w:val="008D03F6"/>
    <w:rsid w:val="008D0636"/>
    <w:rsid w:val="008D0D3C"/>
    <w:rsid w:val="008D25CB"/>
    <w:rsid w:val="008D3728"/>
    <w:rsid w:val="008D385A"/>
    <w:rsid w:val="008D3ABB"/>
    <w:rsid w:val="008D3D16"/>
    <w:rsid w:val="008D3F97"/>
    <w:rsid w:val="008D4145"/>
    <w:rsid w:val="008D51A4"/>
    <w:rsid w:val="008D5540"/>
    <w:rsid w:val="008D5876"/>
    <w:rsid w:val="008D5DF5"/>
    <w:rsid w:val="008D63B5"/>
    <w:rsid w:val="008D6DC0"/>
    <w:rsid w:val="008D7984"/>
    <w:rsid w:val="008D7AC7"/>
    <w:rsid w:val="008D7D0A"/>
    <w:rsid w:val="008E0EB4"/>
    <w:rsid w:val="008E1533"/>
    <w:rsid w:val="008E16C8"/>
    <w:rsid w:val="008E1947"/>
    <w:rsid w:val="008E28FB"/>
    <w:rsid w:val="008E3BA4"/>
    <w:rsid w:val="008E60EB"/>
    <w:rsid w:val="008E62E2"/>
    <w:rsid w:val="008E6492"/>
    <w:rsid w:val="008E6583"/>
    <w:rsid w:val="008E6B67"/>
    <w:rsid w:val="008E6BA4"/>
    <w:rsid w:val="008E6F1C"/>
    <w:rsid w:val="008E76D9"/>
    <w:rsid w:val="008F0387"/>
    <w:rsid w:val="008F0BB7"/>
    <w:rsid w:val="008F3157"/>
    <w:rsid w:val="008F3598"/>
    <w:rsid w:val="008F5612"/>
    <w:rsid w:val="008F5AE7"/>
    <w:rsid w:val="008F6D4A"/>
    <w:rsid w:val="008F70CB"/>
    <w:rsid w:val="009001A5"/>
    <w:rsid w:val="0090196F"/>
    <w:rsid w:val="00902A3C"/>
    <w:rsid w:val="0090364E"/>
    <w:rsid w:val="00903730"/>
    <w:rsid w:val="00903E74"/>
    <w:rsid w:val="00903F6C"/>
    <w:rsid w:val="00904320"/>
    <w:rsid w:val="009046C1"/>
    <w:rsid w:val="009049D3"/>
    <w:rsid w:val="00905ECA"/>
    <w:rsid w:val="0090734C"/>
    <w:rsid w:val="00907A5A"/>
    <w:rsid w:val="00907B05"/>
    <w:rsid w:val="00907F2D"/>
    <w:rsid w:val="00910DD0"/>
    <w:rsid w:val="00910F13"/>
    <w:rsid w:val="00911B0D"/>
    <w:rsid w:val="00912CA4"/>
    <w:rsid w:val="00913852"/>
    <w:rsid w:val="00913AFE"/>
    <w:rsid w:val="00914314"/>
    <w:rsid w:val="00914DBD"/>
    <w:rsid w:val="009151B6"/>
    <w:rsid w:val="009152C9"/>
    <w:rsid w:val="009153AE"/>
    <w:rsid w:val="00915512"/>
    <w:rsid w:val="009159EF"/>
    <w:rsid w:val="00915A66"/>
    <w:rsid w:val="00916798"/>
    <w:rsid w:val="00916E3F"/>
    <w:rsid w:val="009179D3"/>
    <w:rsid w:val="00917D58"/>
    <w:rsid w:val="0092022D"/>
    <w:rsid w:val="00920D67"/>
    <w:rsid w:val="0092177F"/>
    <w:rsid w:val="00921F6C"/>
    <w:rsid w:val="00922001"/>
    <w:rsid w:val="0092245E"/>
    <w:rsid w:val="00922D66"/>
    <w:rsid w:val="00922FC2"/>
    <w:rsid w:val="00923266"/>
    <w:rsid w:val="00923316"/>
    <w:rsid w:val="00924464"/>
    <w:rsid w:val="00926ABD"/>
    <w:rsid w:val="00926F7C"/>
    <w:rsid w:val="00927DEF"/>
    <w:rsid w:val="0093005C"/>
    <w:rsid w:val="00930AE2"/>
    <w:rsid w:val="00930CBB"/>
    <w:rsid w:val="0093129F"/>
    <w:rsid w:val="009314DF"/>
    <w:rsid w:val="00932769"/>
    <w:rsid w:val="00932CCA"/>
    <w:rsid w:val="00932E86"/>
    <w:rsid w:val="009332CA"/>
    <w:rsid w:val="00933674"/>
    <w:rsid w:val="00933842"/>
    <w:rsid w:val="00933F3B"/>
    <w:rsid w:val="00933F7B"/>
    <w:rsid w:val="0093439D"/>
    <w:rsid w:val="009347A3"/>
    <w:rsid w:val="009358F9"/>
    <w:rsid w:val="00935916"/>
    <w:rsid w:val="00935B72"/>
    <w:rsid w:val="009360C0"/>
    <w:rsid w:val="00937847"/>
    <w:rsid w:val="00937A59"/>
    <w:rsid w:val="00937C04"/>
    <w:rsid w:val="009405D2"/>
    <w:rsid w:val="009407AB"/>
    <w:rsid w:val="009408D4"/>
    <w:rsid w:val="00941730"/>
    <w:rsid w:val="00942348"/>
    <w:rsid w:val="00942899"/>
    <w:rsid w:val="00942ADB"/>
    <w:rsid w:val="009434CF"/>
    <w:rsid w:val="009434D9"/>
    <w:rsid w:val="00943740"/>
    <w:rsid w:val="0094400B"/>
    <w:rsid w:val="00944433"/>
    <w:rsid w:val="00944537"/>
    <w:rsid w:val="00944DB6"/>
    <w:rsid w:val="00945812"/>
    <w:rsid w:val="009458C3"/>
    <w:rsid w:val="009468BF"/>
    <w:rsid w:val="00946EA4"/>
    <w:rsid w:val="0094799F"/>
    <w:rsid w:val="00947FA6"/>
    <w:rsid w:val="00950B1A"/>
    <w:rsid w:val="00951603"/>
    <w:rsid w:val="00951A2D"/>
    <w:rsid w:val="00951C18"/>
    <w:rsid w:val="00951EAE"/>
    <w:rsid w:val="009523F0"/>
    <w:rsid w:val="0095245D"/>
    <w:rsid w:val="00952CFC"/>
    <w:rsid w:val="009534B7"/>
    <w:rsid w:val="00953911"/>
    <w:rsid w:val="00954506"/>
    <w:rsid w:val="00954B48"/>
    <w:rsid w:val="0095500B"/>
    <w:rsid w:val="009550D9"/>
    <w:rsid w:val="00955437"/>
    <w:rsid w:val="00955A43"/>
    <w:rsid w:val="00955C9D"/>
    <w:rsid w:val="00956584"/>
    <w:rsid w:val="009603A3"/>
    <w:rsid w:val="0096059B"/>
    <w:rsid w:val="00960827"/>
    <w:rsid w:val="0096089D"/>
    <w:rsid w:val="009612A8"/>
    <w:rsid w:val="00961AA3"/>
    <w:rsid w:val="00961CFE"/>
    <w:rsid w:val="009621BC"/>
    <w:rsid w:val="009624C3"/>
    <w:rsid w:val="009632FE"/>
    <w:rsid w:val="00963CDF"/>
    <w:rsid w:val="009641E8"/>
    <w:rsid w:val="009649D7"/>
    <w:rsid w:val="00964C75"/>
    <w:rsid w:val="009652A7"/>
    <w:rsid w:val="00965DF9"/>
    <w:rsid w:val="009663A6"/>
    <w:rsid w:val="00967596"/>
    <w:rsid w:val="0096759B"/>
    <w:rsid w:val="00967B66"/>
    <w:rsid w:val="00967D7A"/>
    <w:rsid w:val="00967F37"/>
    <w:rsid w:val="00967F4F"/>
    <w:rsid w:val="0097072D"/>
    <w:rsid w:val="00970C71"/>
    <w:rsid w:val="00970C8C"/>
    <w:rsid w:val="0097262A"/>
    <w:rsid w:val="009726C6"/>
    <w:rsid w:val="009728A7"/>
    <w:rsid w:val="00973D75"/>
    <w:rsid w:val="00973DFC"/>
    <w:rsid w:val="00974BB9"/>
    <w:rsid w:val="009752AC"/>
    <w:rsid w:val="00975507"/>
    <w:rsid w:val="00975CF7"/>
    <w:rsid w:val="00976D36"/>
    <w:rsid w:val="0097758A"/>
    <w:rsid w:val="0097774E"/>
    <w:rsid w:val="0098088F"/>
    <w:rsid w:val="00980BD3"/>
    <w:rsid w:val="009810F9"/>
    <w:rsid w:val="009813F1"/>
    <w:rsid w:val="00981621"/>
    <w:rsid w:val="0098174D"/>
    <w:rsid w:val="00984072"/>
    <w:rsid w:val="00984296"/>
    <w:rsid w:val="009844B0"/>
    <w:rsid w:val="009844EA"/>
    <w:rsid w:val="00984707"/>
    <w:rsid w:val="00984F7C"/>
    <w:rsid w:val="00984FD5"/>
    <w:rsid w:val="00986EB8"/>
    <w:rsid w:val="00987C87"/>
    <w:rsid w:val="00987D88"/>
    <w:rsid w:val="0099070C"/>
    <w:rsid w:val="00991E32"/>
    <w:rsid w:val="00991FE0"/>
    <w:rsid w:val="00992F99"/>
    <w:rsid w:val="009930A9"/>
    <w:rsid w:val="0099361E"/>
    <w:rsid w:val="0099395B"/>
    <w:rsid w:val="009942E2"/>
    <w:rsid w:val="00994695"/>
    <w:rsid w:val="00994A05"/>
    <w:rsid w:val="00995077"/>
    <w:rsid w:val="0099604F"/>
    <w:rsid w:val="009962A5"/>
    <w:rsid w:val="009965A1"/>
    <w:rsid w:val="00997F54"/>
    <w:rsid w:val="009A01E7"/>
    <w:rsid w:val="009A04E1"/>
    <w:rsid w:val="009A05B7"/>
    <w:rsid w:val="009A0D96"/>
    <w:rsid w:val="009A1EDD"/>
    <w:rsid w:val="009A224E"/>
    <w:rsid w:val="009A2AD5"/>
    <w:rsid w:val="009A2CD6"/>
    <w:rsid w:val="009A301C"/>
    <w:rsid w:val="009A3E94"/>
    <w:rsid w:val="009A3F8B"/>
    <w:rsid w:val="009A4B53"/>
    <w:rsid w:val="009A5366"/>
    <w:rsid w:val="009A545C"/>
    <w:rsid w:val="009A573C"/>
    <w:rsid w:val="009A62AD"/>
    <w:rsid w:val="009A6A8E"/>
    <w:rsid w:val="009A75E9"/>
    <w:rsid w:val="009A7E2E"/>
    <w:rsid w:val="009B25AC"/>
    <w:rsid w:val="009B25F3"/>
    <w:rsid w:val="009B2F5E"/>
    <w:rsid w:val="009B2FB9"/>
    <w:rsid w:val="009B38F3"/>
    <w:rsid w:val="009B3CB3"/>
    <w:rsid w:val="009B4284"/>
    <w:rsid w:val="009B4343"/>
    <w:rsid w:val="009B4A60"/>
    <w:rsid w:val="009B4EEE"/>
    <w:rsid w:val="009B52A6"/>
    <w:rsid w:val="009B5A6C"/>
    <w:rsid w:val="009B6042"/>
    <w:rsid w:val="009B60CF"/>
    <w:rsid w:val="009B6277"/>
    <w:rsid w:val="009B69FC"/>
    <w:rsid w:val="009B6B72"/>
    <w:rsid w:val="009B6FE0"/>
    <w:rsid w:val="009B75FF"/>
    <w:rsid w:val="009B78D5"/>
    <w:rsid w:val="009C0276"/>
    <w:rsid w:val="009C1149"/>
    <w:rsid w:val="009C1C1D"/>
    <w:rsid w:val="009C2AB9"/>
    <w:rsid w:val="009C2BA8"/>
    <w:rsid w:val="009C37B3"/>
    <w:rsid w:val="009C4311"/>
    <w:rsid w:val="009C432D"/>
    <w:rsid w:val="009C46AB"/>
    <w:rsid w:val="009C4AF9"/>
    <w:rsid w:val="009C5299"/>
    <w:rsid w:val="009C5499"/>
    <w:rsid w:val="009C5546"/>
    <w:rsid w:val="009C6184"/>
    <w:rsid w:val="009C644E"/>
    <w:rsid w:val="009C6A60"/>
    <w:rsid w:val="009C751F"/>
    <w:rsid w:val="009C7C39"/>
    <w:rsid w:val="009D00A0"/>
    <w:rsid w:val="009D015E"/>
    <w:rsid w:val="009D0242"/>
    <w:rsid w:val="009D03C2"/>
    <w:rsid w:val="009D1104"/>
    <w:rsid w:val="009D1C67"/>
    <w:rsid w:val="009D2ADC"/>
    <w:rsid w:val="009D2AE3"/>
    <w:rsid w:val="009D306F"/>
    <w:rsid w:val="009D3749"/>
    <w:rsid w:val="009D4175"/>
    <w:rsid w:val="009D4425"/>
    <w:rsid w:val="009D4548"/>
    <w:rsid w:val="009D4CA4"/>
    <w:rsid w:val="009D51DC"/>
    <w:rsid w:val="009D62B3"/>
    <w:rsid w:val="009D65A9"/>
    <w:rsid w:val="009D6813"/>
    <w:rsid w:val="009D6848"/>
    <w:rsid w:val="009D6DEF"/>
    <w:rsid w:val="009D70BE"/>
    <w:rsid w:val="009E012E"/>
    <w:rsid w:val="009E01EA"/>
    <w:rsid w:val="009E10ED"/>
    <w:rsid w:val="009E15D0"/>
    <w:rsid w:val="009E2121"/>
    <w:rsid w:val="009E2B85"/>
    <w:rsid w:val="009E3280"/>
    <w:rsid w:val="009E354B"/>
    <w:rsid w:val="009E3715"/>
    <w:rsid w:val="009E4292"/>
    <w:rsid w:val="009E4688"/>
    <w:rsid w:val="009E5E00"/>
    <w:rsid w:val="009E64D5"/>
    <w:rsid w:val="009E6519"/>
    <w:rsid w:val="009E6E53"/>
    <w:rsid w:val="009E78F4"/>
    <w:rsid w:val="009E7C10"/>
    <w:rsid w:val="009F02F1"/>
    <w:rsid w:val="009F040E"/>
    <w:rsid w:val="009F0CD1"/>
    <w:rsid w:val="009F1ABA"/>
    <w:rsid w:val="009F1E71"/>
    <w:rsid w:val="009F318F"/>
    <w:rsid w:val="009F397B"/>
    <w:rsid w:val="009F40B5"/>
    <w:rsid w:val="009F4259"/>
    <w:rsid w:val="009F429F"/>
    <w:rsid w:val="009F4A3B"/>
    <w:rsid w:val="009F4F68"/>
    <w:rsid w:val="009F52B9"/>
    <w:rsid w:val="009F52C1"/>
    <w:rsid w:val="009F5C06"/>
    <w:rsid w:val="009F5CCF"/>
    <w:rsid w:val="009F6770"/>
    <w:rsid w:val="009F6ECD"/>
    <w:rsid w:val="009F6F84"/>
    <w:rsid w:val="009F7B63"/>
    <w:rsid w:val="00A004C0"/>
    <w:rsid w:val="00A0096A"/>
    <w:rsid w:val="00A00A6F"/>
    <w:rsid w:val="00A0160F"/>
    <w:rsid w:val="00A01A9D"/>
    <w:rsid w:val="00A01E36"/>
    <w:rsid w:val="00A024D9"/>
    <w:rsid w:val="00A03038"/>
    <w:rsid w:val="00A030CC"/>
    <w:rsid w:val="00A03B45"/>
    <w:rsid w:val="00A03F3D"/>
    <w:rsid w:val="00A04306"/>
    <w:rsid w:val="00A04762"/>
    <w:rsid w:val="00A058A1"/>
    <w:rsid w:val="00A05923"/>
    <w:rsid w:val="00A11083"/>
    <w:rsid w:val="00A11486"/>
    <w:rsid w:val="00A12046"/>
    <w:rsid w:val="00A12575"/>
    <w:rsid w:val="00A138C8"/>
    <w:rsid w:val="00A1401F"/>
    <w:rsid w:val="00A14915"/>
    <w:rsid w:val="00A14D3A"/>
    <w:rsid w:val="00A14DBD"/>
    <w:rsid w:val="00A14E51"/>
    <w:rsid w:val="00A1623B"/>
    <w:rsid w:val="00A163DD"/>
    <w:rsid w:val="00A164FD"/>
    <w:rsid w:val="00A16BE8"/>
    <w:rsid w:val="00A2054F"/>
    <w:rsid w:val="00A20830"/>
    <w:rsid w:val="00A2221A"/>
    <w:rsid w:val="00A22EE9"/>
    <w:rsid w:val="00A23A95"/>
    <w:rsid w:val="00A24AAC"/>
    <w:rsid w:val="00A24FF6"/>
    <w:rsid w:val="00A2544C"/>
    <w:rsid w:val="00A25679"/>
    <w:rsid w:val="00A25939"/>
    <w:rsid w:val="00A2606F"/>
    <w:rsid w:val="00A264E9"/>
    <w:rsid w:val="00A26605"/>
    <w:rsid w:val="00A27963"/>
    <w:rsid w:val="00A32018"/>
    <w:rsid w:val="00A3215B"/>
    <w:rsid w:val="00A32493"/>
    <w:rsid w:val="00A324C2"/>
    <w:rsid w:val="00A32AFB"/>
    <w:rsid w:val="00A3377A"/>
    <w:rsid w:val="00A33F1B"/>
    <w:rsid w:val="00A34028"/>
    <w:rsid w:val="00A34161"/>
    <w:rsid w:val="00A34928"/>
    <w:rsid w:val="00A34D92"/>
    <w:rsid w:val="00A3511C"/>
    <w:rsid w:val="00A35C42"/>
    <w:rsid w:val="00A35D7E"/>
    <w:rsid w:val="00A35DC3"/>
    <w:rsid w:val="00A3670F"/>
    <w:rsid w:val="00A36C84"/>
    <w:rsid w:val="00A37D81"/>
    <w:rsid w:val="00A4102D"/>
    <w:rsid w:val="00A41FFA"/>
    <w:rsid w:val="00A4261E"/>
    <w:rsid w:val="00A42AF0"/>
    <w:rsid w:val="00A42DE9"/>
    <w:rsid w:val="00A43040"/>
    <w:rsid w:val="00A4308B"/>
    <w:rsid w:val="00A43491"/>
    <w:rsid w:val="00A43E13"/>
    <w:rsid w:val="00A4442A"/>
    <w:rsid w:val="00A45461"/>
    <w:rsid w:val="00A45F8F"/>
    <w:rsid w:val="00A46AD7"/>
    <w:rsid w:val="00A471D8"/>
    <w:rsid w:val="00A4763F"/>
    <w:rsid w:val="00A50450"/>
    <w:rsid w:val="00A5084D"/>
    <w:rsid w:val="00A50D0D"/>
    <w:rsid w:val="00A51974"/>
    <w:rsid w:val="00A5212B"/>
    <w:rsid w:val="00A5225D"/>
    <w:rsid w:val="00A52A91"/>
    <w:rsid w:val="00A53AD7"/>
    <w:rsid w:val="00A53B0E"/>
    <w:rsid w:val="00A54513"/>
    <w:rsid w:val="00A54B16"/>
    <w:rsid w:val="00A55145"/>
    <w:rsid w:val="00A5565C"/>
    <w:rsid w:val="00A55B1D"/>
    <w:rsid w:val="00A55EFB"/>
    <w:rsid w:val="00A5604A"/>
    <w:rsid w:val="00A5729F"/>
    <w:rsid w:val="00A5768E"/>
    <w:rsid w:val="00A57C44"/>
    <w:rsid w:val="00A60071"/>
    <w:rsid w:val="00A605A7"/>
    <w:rsid w:val="00A60670"/>
    <w:rsid w:val="00A60E2D"/>
    <w:rsid w:val="00A60EF1"/>
    <w:rsid w:val="00A6101C"/>
    <w:rsid w:val="00A61514"/>
    <w:rsid w:val="00A6221A"/>
    <w:rsid w:val="00A6297A"/>
    <w:rsid w:val="00A6319E"/>
    <w:rsid w:val="00A63A00"/>
    <w:rsid w:val="00A6403A"/>
    <w:rsid w:val="00A64F79"/>
    <w:rsid w:val="00A6517E"/>
    <w:rsid w:val="00A65A4E"/>
    <w:rsid w:val="00A65C1F"/>
    <w:rsid w:val="00A666B7"/>
    <w:rsid w:val="00A674A7"/>
    <w:rsid w:val="00A676E8"/>
    <w:rsid w:val="00A7047B"/>
    <w:rsid w:val="00A70D0B"/>
    <w:rsid w:val="00A70ECC"/>
    <w:rsid w:val="00A717BA"/>
    <w:rsid w:val="00A71829"/>
    <w:rsid w:val="00A71A46"/>
    <w:rsid w:val="00A72991"/>
    <w:rsid w:val="00A72CAD"/>
    <w:rsid w:val="00A73D7C"/>
    <w:rsid w:val="00A754BA"/>
    <w:rsid w:val="00A7603E"/>
    <w:rsid w:val="00A7667D"/>
    <w:rsid w:val="00A77866"/>
    <w:rsid w:val="00A779F7"/>
    <w:rsid w:val="00A77ADB"/>
    <w:rsid w:val="00A809CD"/>
    <w:rsid w:val="00A80BDD"/>
    <w:rsid w:val="00A82581"/>
    <w:rsid w:val="00A83EEB"/>
    <w:rsid w:val="00A83EEF"/>
    <w:rsid w:val="00A83F52"/>
    <w:rsid w:val="00A8429A"/>
    <w:rsid w:val="00A84B08"/>
    <w:rsid w:val="00A84D8A"/>
    <w:rsid w:val="00A851B1"/>
    <w:rsid w:val="00A85F1A"/>
    <w:rsid w:val="00A862A4"/>
    <w:rsid w:val="00A8644F"/>
    <w:rsid w:val="00A86621"/>
    <w:rsid w:val="00A90714"/>
    <w:rsid w:val="00A90B5C"/>
    <w:rsid w:val="00A911B3"/>
    <w:rsid w:val="00A91A9B"/>
    <w:rsid w:val="00A91D12"/>
    <w:rsid w:val="00A91F0E"/>
    <w:rsid w:val="00A91F47"/>
    <w:rsid w:val="00A9228C"/>
    <w:rsid w:val="00A92563"/>
    <w:rsid w:val="00A93D33"/>
    <w:rsid w:val="00A94073"/>
    <w:rsid w:val="00A94222"/>
    <w:rsid w:val="00A94330"/>
    <w:rsid w:val="00A95910"/>
    <w:rsid w:val="00A962B2"/>
    <w:rsid w:val="00A966F7"/>
    <w:rsid w:val="00A96D92"/>
    <w:rsid w:val="00A970CA"/>
    <w:rsid w:val="00A9745B"/>
    <w:rsid w:val="00A97978"/>
    <w:rsid w:val="00A97D74"/>
    <w:rsid w:val="00AA16B0"/>
    <w:rsid w:val="00AA196C"/>
    <w:rsid w:val="00AA1D96"/>
    <w:rsid w:val="00AA20EA"/>
    <w:rsid w:val="00AA27C6"/>
    <w:rsid w:val="00AA2D5B"/>
    <w:rsid w:val="00AA2E86"/>
    <w:rsid w:val="00AA2EA4"/>
    <w:rsid w:val="00AA2EF3"/>
    <w:rsid w:val="00AA36CB"/>
    <w:rsid w:val="00AA3AC3"/>
    <w:rsid w:val="00AA3CBB"/>
    <w:rsid w:val="00AA3D42"/>
    <w:rsid w:val="00AA4315"/>
    <w:rsid w:val="00AA4EDF"/>
    <w:rsid w:val="00AA5347"/>
    <w:rsid w:val="00AA58AF"/>
    <w:rsid w:val="00AA5C38"/>
    <w:rsid w:val="00AA6398"/>
    <w:rsid w:val="00AA6A0C"/>
    <w:rsid w:val="00AA7EA4"/>
    <w:rsid w:val="00AA7F4E"/>
    <w:rsid w:val="00AB1462"/>
    <w:rsid w:val="00AB17C8"/>
    <w:rsid w:val="00AB1E9A"/>
    <w:rsid w:val="00AB2517"/>
    <w:rsid w:val="00AB33CF"/>
    <w:rsid w:val="00AB35C5"/>
    <w:rsid w:val="00AB3FCF"/>
    <w:rsid w:val="00AB44F6"/>
    <w:rsid w:val="00AB47F8"/>
    <w:rsid w:val="00AB4897"/>
    <w:rsid w:val="00AB633B"/>
    <w:rsid w:val="00AB65AD"/>
    <w:rsid w:val="00AB661A"/>
    <w:rsid w:val="00AB6AB1"/>
    <w:rsid w:val="00AB7171"/>
    <w:rsid w:val="00AC0853"/>
    <w:rsid w:val="00AC1262"/>
    <w:rsid w:val="00AC1C1D"/>
    <w:rsid w:val="00AC2097"/>
    <w:rsid w:val="00AC2CFB"/>
    <w:rsid w:val="00AC34ED"/>
    <w:rsid w:val="00AC3625"/>
    <w:rsid w:val="00AC368C"/>
    <w:rsid w:val="00AC3B10"/>
    <w:rsid w:val="00AC3F03"/>
    <w:rsid w:val="00AC4FB3"/>
    <w:rsid w:val="00AC55A3"/>
    <w:rsid w:val="00AC583A"/>
    <w:rsid w:val="00AC5BBF"/>
    <w:rsid w:val="00AC7723"/>
    <w:rsid w:val="00AC7862"/>
    <w:rsid w:val="00AD0612"/>
    <w:rsid w:val="00AD1347"/>
    <w:rsid w:val="00AD1BEE"/>
    <w:rsid w:val="00AD1D44"/>
    <w:rsid w:val="00AD21F5"/>
    <w:rsid w:val="00AD3030"/>
    <w:rsid w:val="00AD3CD2"/>
    <w:rsid w:val="00AD40F1"/>
    <w:rsid w:val="00AD4E10"/>
    <w:rsid w:val="00AD5785"/>
    <w:rsid w:val="00AD7DB0"/>
    <w:rsid w:val="00AE0C66"/>
    <w:rsid w:val="00AE0FBD"/>
    <w:rsid w:val="00AE1677"/>
    <w:rsid w:val="00AE1827"/>
    <w:rsid w:val="00AE1D1D"/>
    <w:rsid w:val="00AE1EDF"/>
    <w:rsid w:val="00AE1F33"/>
    <w:rsid w:val="00AE215F"/>
    <w:rsid w:val="00AE2577"/>
    <w:rsid w:val="00AE2EED"/>
    <w:rsid w:val="00AE384E"/>
    <w:rsid w:val="00AE4686"/>
    <w:rsid w:val="00AE47C5"/>
    <w:rsid w:val="00AE518B"/>
    <w:rsid w:val="00AE5484"/>
    <w:rsid w:val="00AE5925"/>
    <w:rsid w:val="00AE5D9F"/>
    <w:rsid w:val="00AE6061"/>
    <w:rsid w:val="00AE6269"/>
    <w:rsid w:val="00AF0223"/>
    <w:rsid w:val="00AF0284"/>
    <w:rsid w:val="00AF26BC"/>
    <w:rsid w:val="00AF2D7D"/>
    <w:rsid w:val="00AF3234"/>
    <w:rsid w:val="00AF4034"/>
    <w:rsid w:val="00AF45B3"/>
    <w:rsid w:val="00AF4829"/>
    <w:rsid w:val="00AF5B66"/>
    <w:rsid w:val="00AF69B0"/>
    <w:rsid w:val="00AF6CD3"/>
    <w:rsid w:val="00AF74C2"/>
    <w:rsid w:val="00AF761D"/>
    <w:rsid w:val="00AF7A2E"/>
    <w:rsid w:val="00AF7B97"/>
    <w:rsid w:val="00B003FD"/>
    <w:rsid w:val="00B00BDC"/>
    <w:rsid w:val="00B01067"/>
    <w:rsid w:val="00B018A2"/>
    <w:rsid w:val="00B019B6"/>
    <w:rsid w:val="00B01A67"/>
    <w:rsid w:val="00B01A9F"/>
    <w:rsid w:val="00B01B14"/>
    <w:rsid w:val="00B01BD8"/>
    <w:rsid w:val="00B01CA9"/>
    <w:rsid w:val="00B023B7"/>
    <w:rsid w:val="00B045BA"/>
    <w:rsid w:val="00B04876"/>
    <w:rsid w:val="00B0532B"/>
    <w:rsid w:val="00B05857"/>
    <w:rsid w:val="00B05E82"/>
    <w:rsid w:val="00B05F12"/>
    <w:rsid w:val="00B076F9"/>
    <w:rsid w:val="00B07832"/>
    <w:rsid w:val="00B07CFB"/>
    <w:rsid w:val="00B07D1C"/>
    <w:rsid w:val="00B07FE0"/>
    <w:rsid w:val="00B103D3"/>
    <w:rsid w:val="00B1070F"/>
    <w:rsid w:val="00B10B0E"/>
    <w:rsid w:val="00B114F4"/>
    <w:rsid w:val="00B1164A"/>
    <w:rsid w:val="00B11A39"/>
    <w:rsid w:val="00B11B5D"/>
    <w:rsid w:val="00B11C31"/>
    <w:rsid w:val="00B128E0"/>
    <w:rsid w:val="00B13097"/>
    <w:rsid w:val="00B140C9"/>
    <w:rsid w:val="00B1427F"/>
    <w:rsid w:val="00B14486"/>
    <w:rsid w:val="00B14518"/>
    <w:rsid w:val="00B14581"/>
    <w:rsid w:val="00B15570"/>
    <w:rsid w:val="00B15834"/>
    <w:rsid w:val="00B15C5A"/>
    <w:rsid w:val="00B15E27"/>
    <w:rsid w:val="00B1600E"/>
    <w:rsid w:val="00B164BC"/>
    <w:rsid w:val="00B16528"/>
    <w:rsid w:val="00B16572"/>
    <w:rsid w:val="00B1663F"/>
    <w:rsid w:val="00B16B8E"/>
    <w:rsid w:val="00B17195"/>
    <w:rsid w:val="00B17A69"/>
    <w:rsid w:val="00B17B2F"/>
    <w:rsid w:val="00B20218"/>
    <w:rsid w:val="00B2086F"/>
    <w:rsid w:val="00B20BD5"/>
    <w:rsid w:val="00B216E0"/>
    <w:rsid w:val="00B21A66"/>
    <w:rsid w:val="00B21FB3"/>
    <w:rsid w:val="00B22430"/>
    <w:rsid w:val="00B22481"/>
    <w:rsid w:val="00B23788"/>
    <w:rsid w:val="00B23FB1"/>
    <w:rsid w:val="00B244EE"/>
    <w:rsid w:val="00B2467D"/>
    <w:rsid w:val="00B24914"/>
    <w:rsid w:val="00B26136"/>
    <w:rsid w:val="00B26518"/>
    <w:rsid w:val="00B26901"/>
    <w:rsid w:val="00B27A2D"/>
    <w:rsid w:val="00B30B94"/>
    <w:rsid w:val="00B31E21"/>
    <w:rsid w:val="00B32784"/>
    <w:rsid w:val="00B33640"/>
    <w:rsid w:val="00B34432"/>
    <w:rsid w:val="00B34767"/>
    <w:rsid w:val="00B34FF4"/>
    <w:rsid w:val="00B363D8"/>
    <w:rsid w:val="00B402B2"/>
    <w:rsid w:val="00B406DB"/>
    <w:rsid w:val="00B4131F"/>
    <w:rsid w:val="00B4136C"/>
    <w:rsid w:val="00B41D06"/>
    <w:rsid w:val="00B43CB9"/>
    <w:rsid w:val="00B44693"/>
    <w:rsid w:val="00B449FF"/>
    <w:rsid w:val="00B44C0A"/>
    <w:rsid w:val="00B4578C"/>
    <w:rsid w:val="00B460DC"/>
    <w:rsid w:val="00B463B8"/>
    <w:rsid w:val="00B466C6"/>
    <w:rsid w:val="00B46DD4"/>
    <w:rsid w:val="00B47A4F"/>
    <w:rsid w:val="00B47B85"/>
    <w:rsid w:val="00B50446"/>
    <w:rsid w:val="00B51035"/>
    <w:rsid w:val="00B5124B"/>
    <w:rsid w:val="00B51416"/>
    <w:rsid w:val="00B517B4"/>
    <w:rsid w:val="00B51856"/>
    <w:rsid w:val="00B52838"/>
    <w:rsid w:val="00B52D81"/>
    <w:rsid w:val="00B536FC"/>
    <w:rsid w:val="00B53E6D"/>
    <w:rsid w:val="00B54834"/>
    <w:rsid w:val="00B55646"/>
    <w:rsid w:val="00B5613B"/>
    <w:rsid w:val="00B56D44"/>
    <w:rsid w:val="00B57428"/>
    <w:rsid w:val="00B5771A"/>
    <w:rsid w:val="00B57DD0"/>
    <w:rsid w:val="00B61A02"/>
    <w:rsid w:val="00B6291E"/>
    <w:rsid w:val="00B62BC5"/>
    <w:rsid w:val="00B62E28"/>
    <w:rsid w:val="00B63433"/>
    <w:rsid w:val="00B634B4"/>
    <w:rsid w:val="00B63E7E"/>
    <w:rsid w:val="00B64CA4"/>
    <w:rsid w:val="00B652B1"/>
    <w:rsid w:val="00B663B4"/>
    <w:rsid w:val="00B66506"/>
    <w:rsid w:val="00B666E5"/>
    <w:rsid w:val="00B669E0"/>
    <w:rsid w:val="00B672EC"/>
    <w:rsid w:val="00B67400"/>
    <w:rsid w:val="00B67CFD"/>
    <w:rsid w:val="00B704C1"/>
    <w:rsid w:val="00B70540"/>
    <w:rsid w:val="00B711B8"/>
    <w:rsid w:val="00B711DF"/>
    <w:rsid w:val="00B7178C"/>
    <w:rsid w:val="00B71F27"/>
    <w:rsid w:val="00B72154"/>
    <w:rsid w:val="00B7241E"/>
    <w:rsid w:val="00B72DC8"/>
    <w:rsid w:val="00B7331C"/>
    <w:rsid w:val="00B737DA"/>
    <w:rsid w:val="00B73A5E"/>
    <w:rsid w:val="00B75220"/>
    <w:rsid w:val="00B7607A"/>
    <w:rsid w:val="00B7610E"/>
    <w:rsid w:val="00B762D6"/>
    <w:rsid w:val="00B767A4"/>
    <w:rsid w:val="00B76E04"/>
    <w:rsid w:val="00B77C07"/>
    <w:rsid w:val="00B77D72"/>
    <w:rsid w:val="00B77F5D"/>
    <w:rsid w:val="00B80FE2"/>
    <w:rsid w:val="00B8114F"/>
    <w:rsid w:val="00B81187"/>
    <w:rsid w:val="00B82FAF"/>
    <w:rsid w:val="00B83768"/>
    <w:rsid w:val="00B840DA"/>
    <w:rsid w:val="00B8424C"/>
    <w:rsid w:val="00B8488F"/>
    <w:rsid w:val="00B84CB0"/>
    <w:rsid w:val="00B84F26"/>
    <w:rsid w:val="00B854E7"/>
    <w:rsid w:val="00B85A8F"/>
    <w:rsid w:val="00B8618D"/>
    <w:rsid w:val="00B86AFB"/>
    <w:rsid w:val="00B86B5D"/>
    <w:rsid w:val="00B86B9F"/>
    <w:rsid w:val="00B87196"/>
    <w:rsid w:val="00B87717"/>
    <w:rsid w:val="00B87D72"/>
    <w:rsid w:val="00B9023A"/>
    <w:rsid w:val="00B9079E"/>
    <w:rsid w:val="00B90C8B"/>
    <w:rsid w:val="00B91881"/>
    <w:rsid w:val="00B92454"/>
    <w:rsid w:val="00B93650"/>
    <w:rsid w:val="00B949DC"/>
    <w:rsid w:val="00B94E90"/>
    <w:rsid w:val="00B94F8D"/>
    <w:rsid w:val="00B950DE"/>
    <w:rsid w:val="00B95122"/>
    <w:rsid w:val="00B951F6"/>
    <w:rsid w:val="00B9578B"/>
    <w:rsid w:val="00B96299"/>
    <w:rsid w:val="00B9676C"/>
    <w:rsid w:val="00B96978"/>
    <w:rsid w:val="00B96A40"/>
    <w:rsid w:val="00B978B3"/>
    <w:rsid w:val="00B97F5C"/>
    <w:rsid w:val="00BA037D"/>
    <w:rsid w:val="00BA0E19"/>
    <w:rsid w:val="00BA20CF"/>
    <w:rsid w:val="00BA394E"/>
    <w:rsid w:val="00BA396D"/>
    <w:rsid w:val="00BA4D32"/>
    <w:rsid w:val="00BA5367"/>
    <w:rsid w:val="00BA5559"/>
    <w:rsid w:val="00BA5651"/>
    <w:rsid w:val="00BA5808"/>
    <w:rsid w:val="00BA652D"/>
    <w:rsid w:val="00BA696E"/>
    <w:rsid w:val="00BA6C55"/>
    <w:rsid w:val="00BA7475"/>
    <w:rsid w:val="00BA7698"/>
    <w:rsid w:val="00BA7C95"/>
    <w:rsid w:val="00BB00D6"/>
    <w:rsid w:val="00BB01BE"/>
    <w:rsid w:val="00BB0656"/>
    <w:rsid w:val="00BB099E"/>
    <w:rsid w:val="00BB09F5"/>
    <w:rsid w:val="00BB0D7C"/>
    <w:rsid w:val="00BB1118"/>
    <w:rsid w:val="00BB1B00"/>
    <w:rsid w:val="00BB2248"/>
    <w:rsid w:val="00BB2E8A"/>
    <w:rsid w:val="00BB3822"/>
    <w:rsid w:val="00BB383F"/>
    <w:rsid w:val="00BB4204"/>
    <w:rsid w:val="00BB45D8"/>
    <w:rsid w:val="00BB47D4"/>
    <w:rsid w:val="00BB49F3"/>
    <w:rsid w:val="00BB4A43"/>
    <w:rsid w:val="00BB5C08"/>
    <w:rsid w:val="00BB5E59"/>
    <w:rsid w:val="00BB7519"/>
    <w:rsid w:val="00BC0F61"/>
    <w:rsid w:val="00BC127D"/>
    <w:rsid w:val="00BC18E2"/>
    <w:rsid w:val="00BC29DA"/>
    <w:rsid w:val="00BC327D"/>
    <w:rsid w:val="00BC3917"/>
    <w:rsid w:val="00BC440D"/>
    <w:rsid w:val="00BC466C"/>
    <w:rsid w:val="00BC4E1E"/>
    <w:rsid w:val="00BC5C87"/>
    <w:rsid w:val="00BC5FE5"/>
    <w:rsid w:val="00BC6A95"/>
    <w:rsid w:val="00BC72C9"/>
    <w:rsid w:val="00BC7BD7"/>
    <w:rsid w:val="00BC7DA9"/>
    <w:rsid w:val="00BC7F94"/>
    <w:rsid w:val="00BD0F13"/>
    <w:rsid w:val="00BD1F5A"/>
    <w:rsid w:val="00BD306E"/>
    <w:rsid w:val="00BD32BA"/>
    <w:rsid w:val="00BD3519"/>
    <w:rsid w:val="00BD3644"/>
    <w:rsid w:val="00BD3709"/>
    <w:rsid w:val="00BD37E4"/>
    <w:rsid w:val="00BD3D6A"/>
    <w:rsid w:val="00BD4ED4"/>
    <w:rsid w:val="00BD6173"/>
    <w:rsid w:val="00BD6AF0"/>
    <w:rsid w:val="00BD776B"/>
    <w:rsid w:val="00BD778F"/>
    <w:rsid w:val="00BD7893"/>
    <w:rsid w:val="00BD7C31"/>
    <w:rsid w:val="00BD7D7D"/>
    <w:rsid w:val="00BE02CB"/>
    <w:rsid w:val="00BE0F8E"/>
    <w:rsid w:val="00BE15CA"/>
    <w:rsid w:val="00BE1984"/>
    <w:rsid w:val="00BE1989"/>
    <w:rsid w:val="00BE1C47"/>
    <w:rsid w:val="00BE1DBC"/>
    <w:rsid w:val="00BE27FC"/>
    <w:rsid w:val="00BE2A8D"/>
    <w:rsid w:val="00BE3723"/>
    <w:rsid w:val="00BE418A"/>
    <w:rsid w:val="00BE436B"/>
    <w:rsid w:val="00BE4810"/>
    <w:rsid w:val="00BE4DBB"/>
    <w:rsid w:val="00BE5B3D"/>
    <w:rsid w:val="00BE5B45"/>
    <w:rsid w:val="00BE5F8E"/>
    <w:rsid w:val="00BE6597"/>
    <w:rsid w:val="00BE6840"/>
    <w:rsid w:val="00BE6D58"/>
    <w:rsid w:val="00BE6F3A"/>
    <w:rsid w:val="00BF0117"/>
    <w:rsid w:val="00BF01CE"/>
    <w:rsid w:val="00BF03F3"/>
    <w:rsid w:val="00BF0610"/>
    <w:rsid w:val="00BF144D"/>
    <w:rsid w:val="00BF1B7F"/>
    <w:rsid w:val="00BF2FD9"/>
    <w:rsid w:val="00BF377A"/>
    <w:rsid w:val="00BF3F83"/>
    <w:rsid w:val="00BF44FF"/>
    <w:rsid w:val="00BF4811"/>
    <w:rsid w:val="00BF5045"/>
    <w:rsid w:val="00BF54CF"/>
    <w:rsid w:val="00BF54D1"/>
    <w:rsid w:val="00BF5C34"/>
    <w:rsid w:val="00BF5D6C"/>
    <w:rsid w:val="00BF6243"/>
    <w:rsid w:val="00BF68A9"/>
    <w:rsid w:val="00BF717F"/>
    <w:rsid w:val="00BF7D12"/>
    <w:rsid w:val="00BF7E0B"/>
    <w:rsid w:val="00C001FB"/>
    <w:rsid w:val="00C005AB"/>
    <w:rsid w:val="00C01460"/>
    <w:rsid w:val="00C0167B"/>
    <w:rsid w:val="00C018DD"/>
    <w:rsid w:val="00C019C6"/>
    <w:rsid w:val="00C025E4"/>
    <w:rsid w:val="00C0269B"/>
    <w:rsid w:val="00C026C6"/>
    <w:rsid w:val="00C02B52"/>
    <w:rsid w:val="00C02CD2"/>
    <w:rsid w:val="00C037B4"/>
    <w:rsid w:val="00C03BCF"/>
    <w:rsid w:val="00C04328"/>
    <w:rsid w:val="00C0485F"/>
    <w:rsid w:val="00C057CF"/>
    <w:rsid w:val="00C05876"/>
    <w:rsid w:val="00C06739"/>
    <w:rsid w:val="00C06BF3"/>
    <w:rsid w:val="00C0710F"/>
    <w:rsid w:val="00C0746E"/>
    <w:rsid w:val="00C07D1B"/>
    <w:rsid w:val="00C10340"/>
    <w:rsid w:val="00C1081B"/>
    <w:rsid w:val="00C10998"/>
    <w:rsid w:val="00C11AE8"/>
    <w:rsid w:val="00C12AC9"/>
    <w:rsid w:val="00C151D1"/>
    <w:rsid w:val="00C15556"/>
    <w:rsid w:val="00C15BA0"/>
    <w:rsid w:val="00C15EDA"/>
    <w:rsid w:val="00C167B8"/>
    <w:rsid w:val="00C167FA"/>
    <w:rsid w:val="00C16FCE"/>
    <w:rsid w:val="00C1715A"/>
    <w:rsid w:val="00C174A5"/>
    <w:rsid w:val="00C1792D"/>
    <w:rsid w:val="00C214B2"/>
    <w:rsid w:val="00C2162D"/>
    <w:rsid w:val="00C219CA"/>
    <w:rsid w:val="00C21D56"/>
    <w:rsid w:val="00C238CE"/>
    <w:rsid w:val="00C23C4E"/>
    <w:rsid w:val="00C23DF6"/>
    <w:rsid w:val="00C2447E"/>
    <w:rsid w:val="00C24CBB"/>
    <w:rsid w:val="00C25AEB"/>
    <w:rsid w:val="00C269A5"/>
    <w:rsid w:val="00C26D83"/>
    <w:rsid w:val="00C270AE"/>
    <w:rsid w:val="00C3195D"/>
    <w:rsid w:val="00C31B0B"/>
    <w:rsid w:val="00C32116"/>
    <w:rsid w:val="00C32DA2"/>
    <w:rsid w:val="00C33362"/>
    <w:rsid w:val="00C33CBE"/>
    <w:rsid w:val="00C344B1"/>
    <w:rsid w:val="00C34BC8"/>
    <w:rsid w:val="00C34DC1"/>
    <w:rsid w:val="00C3504B"/>
    <w:rsid w:val="00C353C8"/>
    <w:rsid w:val="00C356EB"/>
    <w:rsid w:val="00C35CF3"/>
    <w:rsid w:val="00C35DF4"/>
    <w:rsid w:val="00C3650D"/>
    <w:rsid w:val="00C36575"/>
    <w:rsid w:val="00C365A6"/>
    <w:rsid w:val="00C368CE"/>
    <w:rsid w:val="00C36E8C"/>
    <w:rsid w:val="00C37543"/>
    <w:rsid w:val="00C37829"/>
    <w:rsid w:val="00C403A6"/>
    <w:rsid w:val="00C403E3"/>
    <w:rsid w:val="00C40BA1"/>
    <w:rsid w:val="00C41230"/>
    <w:rsid w:val="00C41B84"/>
    <w:rsid w:val="00C429B4"/>
    <w:rsid w:val="00C42A9A"/>
    <w:rsid w:val="00C42FC5"/>
    <w:rsid w:val="00C434E5"/>
    <w:rsid w:val="00C43A64"/>
    <w:rsid w:val="00C43EFA"/>
    <w:rsid w:val="00C44866"/>
    <w:rsid w:val="00C45FEB"/>
    <w:rsid w:val="00C474ED"/>
    <w:rsid w:val="00C47DD8"/>
    <w:rsid w:val="00C50093"/>
    <w:rsid w:val="00C509A4"/>
    <w:rsid w:val="00C50B64"/>
    <w:rsid w:val="00C50BE2"/>
    <w:rsid w:val="00C51774"/>
    <w:rsid w:val="00C51BB4"/>
    <w:rsid w:val="00C51EF2"/>
    <w:rsid w:val="00C52EFF"/>
    <w:rsid w:val="00C532B2"/>
    <w:rsid w:val="00C53FA2"/>
    <w:rsid w:val="00C54186"/>
    <w:rsid w:val="00C545A8"/>
    <w:rsid w:val="00C5509C"/>
    <w:rsid w:val="00C56297"/>
    <w:rsid w:val="00C56911"/>
    <w:rsid w:val="00C56967"/>
    <w:rsid w:val="00C57439"/>
    <w:rsid w:val="00C603FE"/>
    <w:rsid w:val="00C6043F"/>
    <w:rsid w:val="00C60B69"/>
    <w:rsid w:val="00C60DB6"/>
    <w:rsid w:val="00C62E3E"/>
    <w:rsid w:val="00C62F28"/>
    <w:rsid w:val="00C632A9"/>
    <w:rsid w:val="00C63613"/>
    <w:rsid w:val="00C63909"/>
    <w:rsid w:val="00C63FAB"/>
    <w:rsid w:val="00C642DB"/>
    <w:rsid w:val="00C644EE"/>
    <w:rsid w:val="00C64E15"/>
    <w:rsid w:val="00C64EA5"/>
    <w:rsid w:val="00C66253"/>
    <w:rsid w:val="00C6625D"/>
    <w:rsid w:val="00C67246"/>
    <w:rsid w:val="00C67395"/>
    <w:rsid w:val="00C67851"/>
    <w:rsid w:val="00C67956"/>
    <w:rsid w:val="00C67AEB"/>
    <w:rsid w:val="00C70E1E"/>
    <w:rsid w:val="00C70F69"/>
    <w:rsid w:val="00C711EE"/>
    <w:rsid w:val="00C7148C"/>
    <w:rsid w:val="00C7190B"/>
    <w:rsid w:val="00C71B6E"/>
    <w:rsid w:val="00C72083"/>
    <w:rsid w:val="00C72ED4"/>
    <w:rsid w:val="00C733CC"/>
    <w:rsid w:val="00C73C74"/>
    <w:rsid w:val="00C74E6D"/>
    <w:rsid w:val="00C7500E"/>
    <w:rsid w:val="00C762D9"/>
    <w:rsid w:val="00C77869"/>
    <w:rsid w:val="00C77910"/>
    <w:rsid w:val="00C77C87"/>
    <w:rsid w:val="00C804AA"/>
    <w:rsid w:val="00C81307"/>
    <w:rsid w:val="00C81615"/>
    <w:rsid w:val="00C8179A"/>
    <w:rsid w:val="00C82732"/>
    <w:rsid w:val="00C82908"/>
    <w:rsid w:val="00C82952"/>
    <w:rsid w:val="00C82C23"/>
    <w:rsid w:val="00C82CE5"/>
    <w:rsid w:val="00C831AF"/>
    <w:rsid w:val="00C8411A"/>
    <w:rsid w:val="00C847DD"/>
    <w:rsid w:val="00C84A21"/>
    <w:rsid w:val="00C84D92"/>
    <w:rsid w:val="00C85982"/>
    <w:rsid w:val="00C860B7"/>
    <w:rsid w:val="00C86629"/>
    <w:rsid w:val="00C8727A"/>
    <w:rsid w:val="00C9001C"/>
    <w:rsid w:val="00C9083C"/>
    <w:rsid w:val="00C926F4"/>
    <w:rsid w:val="00C942E8"/>
    <w:rsid w:val="00C94434"/>
    <w:rsid w:val="00C94AEA"/>
    <w:rsid w:val="00C94C75"/>
    <w:rsid w:val="00C94F20"/>
    <w:rsid w:val="00C9522E"/>
    <w:rsid w:val="00C96E3E"/>
    <w:rsid w:val="00C97224"/>
    <w:rsid w:val="00C97734"/>
    <w:rsid w:val="00C97E3D"/>
    <w:rsid w:val="00CA0964"/>
    <w:rsid w:val="00CA1DD6"/>
    <w:rsid w:val="00CA2372"/>
    <w:rsid w:val="00CA2EDC"/>
    <w:rsid w:val="00CA3342"/>
    <w:rsid w:val="00CA396E"/>
    <w:rsid w:val="00CA4244"/>
    <w:rsid w:val="00CA443C"/>
    <w:rsid w:val="00CA4E4F"/>
    <w:rsid w:val="00CA57B2"/>
    <w:rsid w:val="00CA6036"/>
    <w:rsid w:val="00CA6E11"/>
    <w:rsid w:val="00CA74BB"/>
    <w:rsid w:val="00CB0729"/>
    <w:rsid w:val="00CB076D"/>
    <w:rsid w:val="00CB094B"/>
    <w:rsid w:val="00CB1129"/>
    <w:rsid w:val="00CB18D0"/>
    <w:rsid w:val="00CB1E6D"/>
    <w:rsid w:val="00CB2409"/>
    <w:rsid w:val="00CB3F93"/>
    <w:rsid w:val="00CB4A07"/>
    <w:rsid w:val="00CB4EEE"/>
    <w:rsid w:val="00CB5626"/>
    <w:rsid w:val="00CB5B67"/>
    <w:rsid w:val="00CB61B4"/>
    <w:rsid w:val="00CB7176"/>
    <w:rsid w:val="00CB7371"/>
    <w:rsid w:val="00CB7A7A"/>
    <w:rsid w:val="00CB7AF1"/>
    <w:rsid w:val="00CC04F1"/>
    <w:rsid w:val="00CC0740"/>
    <w:rsid w:val="00CC11DA"/>
    <w:rsid w:val="00CC18CB"/>
    <w:rsid w:val="00CC1B66"/>
    <w:rsid w:val="00CC22FE"/>
    <w:rsid w:val="00CC24CE"/>
    <w:rsid w:val="00CC2A12"/>
    <w:rsid w:val="00CC2BFD"/>
    <w:rsid w:val="00CC36C8"/>
    <w:rsid w:val="00CC3ADF"/>
    <w:rsid w:val="00CC3FCC"/>
    <w:rsid w:val="00CC4361"/>
    <w:rsid w:val="00CC4F96"/>
    <w:rsid w:val="00CC52DA"/>
    <w:rsid w:val="00CC69C0"/>
    <w:rsid w:val="00CC6C1C"/>
    <w:rsid w:val="00CC6D47"/>
    <w:rsid w:val="00CC771B"/>
    <w:rsid w:val="00CD0174"/>
    <w:rsid w:val="00CD02CD"/>
    <w:rsid w:val="00CD047D"/>
    <w:rsid w:val="00CD0488"/>
    <w:rsid w:val="00CD0C86"/>
    <w:rsid w:val="00CD1000"/>
    <w:rsid w:val="00CD16DC"/>
    <w:rsid w:val="00CD28D0"/>
    <w:rsid w:val="00CD396C"/>
    <w:rsid w:val="00CD39B7"/>
    <w:rsid w:val="00CD3C22"/>
    <w:rsid w:val="00CD419F"/>
    <w:rsid w:val="00CD4438"/>
    <w:rsid w:val="00CD48D5"/>
    <w:rsid w:val="00CD4F28"/>
    <w:rsid w:val="00CD50C8"/>
    <w:rsid w:val="00CD526F"/>
    <w:rsid w:val="00CD63CD"/>
    <w:rsid w:val="00CD678F"/>
    <w:rsid w:val="00CD692B"/>
    <w:rsid w:val="00CD6EA7"/>
    <w:rsid w:val="00CD7AEA"/>
    <w:rsid w:val="00CE01BF"/>
    <w:rsid w:val="00CE040B"/>
    <w:rsid w:val="00CE049F"/>
    <w:rsid w:val="00CE0C1A"/>
    <w:rsid w:val="00CE128F"/>
    <w:rsid w:val="00CE158E"/>
    <w:rsid w:val="00CE2047"/>
    <w:rsid w:val="00CE21B8"/>
    <w:rsid w:val="00CE2445"/>
    <w:rsid w:val="00CE38B2"/>
    <w:rsid w:val="00CE3A08"/>
    <w:rsid w:val="00CE420E"/>
    <w:rsid w:val="00CE49EC"/>
    <w:rsid w:val="00CE4A6A"/>
    <w:rsid w:val="00CE4D59"/>
    <w:rsid w:val="00CE50A0"/>
    <w:rsid w:val="00CE5FC9"/>
    <w:rsid w:val="00CE66DF"/>
    <w:rsid w:val="00CE6A90"/>
    <w:rsid w:val="00CE7924"/>
    <w:rsid w:val="00CF25E6"/>
    <w:rsid w:val="00CF2826"/>
    <w:rsid w:val="00CF295C"/>
    <w:rsid w:val="00CF2BC5"/>
    <w:rsid w:val="00CF2C41"/>
    <w:rsid w:val="00CF3859"/>
    <w:rsid w:val="00CF4F01"/>
    <w:rsid w:val="00CF571C"/>
    <w:rsid w:val="00CF7D85"/>
    <w:rsid w:val="00D00357"/>
    <w:rsid w:val="00D01BDC"/>
    <w:rsid w:val="00D02466"/>
    <w:rsid w:val="00D0373E"/>
    <w:rsid w:val="00D04131"/>
    <w:rsid w:val="00D04318"/>
    <w:rsid w:val="00D044FA"/>
    <w:rsid w:val="00D04AE2"/>
    <w:rsid w:val="00D051C5"/>
    <w:rsid w:val="00D05982"/>
    <w:rsid w:val="00D059EF"/>
    <w:rsid w:val="00D06C04"/>
    <w:rsid w:val="00D06FE8"/>
    <w:rsid w:val="00D07295"/>
    <w:rsid w:val="00D10B38"/>
    <w:rsid w:val="00D10B7A"/>
    <w:rsid w:val="00D10F2D"/>
    <w:rsid w:val="00D11578"/>
    <w:rsid w:val="00D11788"/>
    <w:rsid w:val="00D117E3"/>
    <w:rsid w:val="00D11DD6"/>
    <w:rsid w:val="00D12689"/>
    <w:rsid w:val="00D12A8B"/>
    <w:rsid w:val="00D12F9A"/>
    <w:rsid w:val="00D13037"/>
    <w:rsid w:val="00D130B2"/>
    <w:rsid w:val="00D1326B"/>
    <w:rsid w:val="00D132D6"/>
    <w:rsid w:val="00D13330"/>
    <w:rsid w:val="00D13B50"/>
    <w:rsid w:val="00D140F6"/>
    <w:rsid w:val="00D153A7"/>
    <w:rsid w:val="00D156AE"/>
    <w:rsid w:val="00D17276"/>
    <w:rsid w:val="00D17328"/>
    <w:rsid w:val="00D17489"/>
    <w:rsid w:val="00D175DE"/>
    <w:rsid w:val="00D2008F"/>
    <w:rsid w:val="00D21E68"/>
    <w:rsid w:val="00D224C4"/>
    <w:rsid w:val="00D2295F"/>
    <w:rsid w:val="00D24615"/>
    <w:rsid w:val="00D24983"/>
    <w:rsid w:val="00D25E96"/>
    <w:rsid w:val="00D26126"/>
    <w:rsid w:val="00D26808"/>
    <w:rsid w:val="00D27099"/>
    <w:rsid w:val="00D27DC9"/>
    <w:rsid w:val="00D308B9"/>
    <w:rsid w:val="00D312FD"/>
    <w:rsid w:val="00D31327"/>
    <w:rsid w:val="00D314AD"/>
    <w:rsid w:val="00D31FAF"/>
    <w:rsid w:val="00D325CD"/>
    <w:rsid w:val="00D32CE5"/>
    <w:rsid w:val="00D337E0"/>
    <w:rsid w:val="00D337FD"/>
    <w:rsid w:val="00D337FF"/>
    <w:rsid w:val="00D33CA7"/>
    <w:rsid w:val="00D342BE"/>
    <w:rsid w:val="00D358B5"/>
    <w:rsid w:val="00D36EFE"/>
    <w:rsid w:val="00D37214"/>
    <w:rsid w:val="00D3774B"/>
    <w:rsid w:val="00D37A11"/>
    <w:rsid w:val="00D37D99"/>
    <w:rsid w:val="00D37E6B"/>
    <w:rsid w:val="00D40BAF"/>
    <w:rsid w:val="00D41537"/>
    <w:rsid w:val="00D41890"/>
    <w:rsid w:val="00D42996"/>
    <w:rsid w:val="00D42A28"/>
    <w:rsid w:val="00D43805"/>
    <w:rsid w:val="00D4439E"/>
    <w:rsid w:val="00D44BEC"/>
    <w:rsid w:val="00D45070"/>
    <w:rsid w:val="00D45186"/>
    <w:rsid w:val="00D452D7"/>
    <w:rsid w:val="00D45BB7"/>
    <w:rsid w:val="00D4647C"/>
    <w:rsid w:val="00D467F7"/>
    <w:rsid w:val="00D46C8D"/>
    <w:rsid w:val="00D4725B"/>
    <w:rsid w:val="00D47EAA"/>
    <w:rsid w:val="00D50246"/>
    <w:rsid w:val="00D50394"/>
    <w:rsid w:val="00D5064A"/>
    <w:rsid w:val="00D509A4"/>
    <w:rsid w:val="00D50D0F"/>
    <w:rsid w:val="00D50FA9"/>
    <w:rsid w:val="00D515FC"/>
    <w:rsid w:val="00D51C47"/>
    <w:rsid w:val="00D52AD8"/>
    <w:rsid w:val="00D5406E"/>
    <w:rsid w:val="00D54B4B"/>
    <w:rsid w:val="00D5536B"/>
    <w:rsid w:val="00D55888"/>
    <w:rsid w:val="00D558FA"/>
    <w:rsid w:val="00D56E57"/>
    <w:rsid w:val="00D570FC"/>
    <w:rsid w:val="00D57A87"/>
    <w:rsid w:val="00D57EF9"/>
    <w:rsid w:val="00D6028C"/>
    <w:rsid w:val="00D608CE"/>
    <w:rsid w:val="00D620AD"/>
    <w:rsid w:val="00D62626"/>
    <w:rsid w:val="00D627E8"/>
    <w:rsid w:val="00D632A0"/>
    <w:rsid w:val="00D632E5"/>
    <w:rsid w:val="00D63826"/>
    <w:rsid w:val="00D6432F"/>
    <w:rsid w:val="00D64AB4"/>
    <w:rsid w:val="00D6587F"/>
    <w:rsid w:val="00D65CE3"/>
    <w:rsid w:val="00D66010"/>
    <w:rsid w:val="00D671C6"/>
    <w:rsid w:val="00D67A7A"/>
    <w:rsid w:val="00D67BC4"/>
    <w:rsid w:val="00D67C5B"/>
    <w:rsid w:val="00D70009"/>
    <w:rsid w:val="00D7018E"/>
    <w:rsid w:val="00D70CD3"/>
    <w:rsid w:val="00D70E62"/>
    <w:rsid w:val="00D7166F"/>
    <w:rsid w:val="00D72CCB"/>
    <w:rsid w:val="00D72DDA"/>
    <w:rsid w:val="00D73AE1"/>
    <w:rsid w:val="00D73C22"/>
    <w:rsid w:val="00D7469B"/>
    <w:rsid w:val="00D748C9"/>
    <w:rsid w:val="00D75099"/>
    <w:rsid w:val="00D75BF1"/>
    <w:rsid w:val="00D76288"/>
    <w:rsid w:val="00D77271"/>
    <w:rsid w:val="00D77C7B"/>
    <w:rsid w:val="00D81C94"/>
    <w:rsid w:val="00D8236B"/>
    <w:rsid w:val="00D82D2B"/>
    <w:rsid w:val="00D83000"/>
    <w:rsid w:val="00D8348F"/>
    <w:rsid w:val="00D83B64"/>
    <w:rsid w:val="00D841A4"/>
    <w:rsid w:val="00D84841"/>
    <w:rsid w:val="00D849BA"/>
    <w:rsid w:val="00D85961"/>
    <w:rsid w:val="00D85A67"/>
    <w:rsid w:val="00D85C71"/>
    <w:rsid w:val="00D85D57"/>
    <w:rsid w:val="00D867DC"/>
    <w:rsid w:val="00D90E45"/>
    <w:rsid w:val="00D91273"/>
    <w:rsid w:val="00D91504"/>
    <w:rsid w:val="00D91722"/>
    <w:rsid w:val="00D9232E"/>
    <w:rsid w:val="00D9280A"/>
    <w:rsid w:val="00D929C0"/>
    <w:rsid w:val="00D93648"/>
    <w:rsid w:val="00D948F3"/>
    <w:rsid w:val="00D94C87"/>
    <w:rsid w:val="00D94F3B"/>
    <w:rsid w:val="00D951B0"/>
    <w:rsid w:val="00D959D7"/>
    <w:rsid w:val="00D95EC3"/>
    <w:rsid w:val="00D972D1"/>
    <w:rsid w:val="00D9736A"/>
    <w:rsid w:val="00D976E7"/>
    <w:rsid w:val="00DA07C4"/>
    <w:rsid w:val="00DA12F5"/>
    <w:rsid w:val="00DA27AA"/>
    <w:rsid w:val="00DA28D1"/>
    <w:rsid w:val="00DA2C1B"/>
    <w:rsid w:val="00DA35A2"/>
    <w:rsid w:val="00DA595F"/>
    <w:rsid w:val="00DA59C2"/>
    <w:rsid w:val="00DA6DD3"/>
    <w:rsid w:val="00DB045D"/>
    <w:rsid w:val="00DB0A9D"/>
    <w:rsid w:val="00DB0BD2"/>
    <w:rsid w:val="00DB0E90"/>
    <w:rsid w:val="00DB1F9F"/>
    <w:rsid w:val="00DB1FD4"/>
    <w:rsid w:val="00DB2638"/>
    <w:rsid w:val="00DB290A"/>
    <w:rsid w:val="00DB35F7"/>
    <w:rsid w:val="00DB3809"/>
    <w:rsid w:val="00DB3B00"/>
    <w:rsid w:val="00DB3B20"/>
    <w:rsid w:val="00DB51FE"/>
    <w:rsid w:val="00DB55E1"/>
    <w:rsid w:val="00DB570B"/>
    <w:rsid w:val="00DB6A8C"/>
    <w:rsid w:val="00DB6B17"/>
    <w:rsid w:val="00DB7496"/>
    <w:rsid w:val="00DC028B"/>
    <w:rsid w:val="00DC36F1"/>
    <w:rsid w:val="00DC3D8E"/>
    <w:rsid w:val="00DC4106"/>
    <w:rsid w:val="00DC4AA5"/>
    <w:rsid w:val="00DC4F21"/>
    <w:rsid w:val="00DC4F68"/>
    <w:rsid w:val="00DC529B"/>
    <w:rsid w:val="00DC56DC"/>
    <w:rsid w:val="00DC5CC9"/>
    <w:rsid w:val="00DC6038"/>
    <w:rsid w:val="00DC6224"/>
    <w:rsid w:val="00DC68A4"/>
    <w:rsid w:val="00DC71E4"/>
    <w:rsid w:val="00DC7478"/>
    <w:rsid w:val="00DC7D53"/>
    <w:rsid w:val="00DD00E2"/>
    <w:rsid w:val="00DD01CC"/>
    <w:rsid w:val="00DD02B1"/>
    <w:rsid w:val="00DD0CEE"/>
    <w:rsid w:val="00DD0E59"/>
    <w:rsid w:val="00DD1406"/>
    <w:rsid w:val="00DD1639"/>
    <w:rsid w:val="00DD1E78"/>
    <w:rsid w:val="00DD2EC6"/>
    <w:rsid w:val="00DD2FD4"/>
    <w:rsid w:val="00DD3A49"/>
    <w:rsid w:val="00DD3F22"/>
    <w:rsid w:val="00DD4251"/>
    <w:rsid w:val="00DD4D58"/>
    <w:rsid w:val="00DD6971"/>
    <w:rsid w:val="00DD6CF8"/>
    <w:rsid w:val="00DD7091"/>
    <w:rsid w:val="00DD79F9"/>
    <w:rsid w:val="00DE1113"/>
    <w:rsid w:val="00DE13C9"/>
    <w:rsid w:val="00DE187A"/>
    <w:rsid w:val="00DE2B2B"/>
    <w:rsid w:val="00DE2F8D"/>
    <w:rsid w:val="00DE366B"/>
    <w:rsid w:val="00DE4A1B"/>
    <w:rsid w:val="00DE4AE2"/>
    <w:rsid w:val="00DE4F23"/>
    <w:rsid w:val="00DE66C6"/>
    <w:rsid w:val="00DE6A64"/>
    <w:rsid w:val="00DE7128"/>
    <w:rsid w:val="00DE7ED7"/>
    <w:rsid w:val="00DF1CAE"/>
    <w:rsid w:val="00DF1E54"/>
    <w:rsid w:val="00DF2929"/>
    <w:rsid w:val="00DF2D6C"/>
    <w:rsid w:val="00DF3C04"/>
    <w:rsid w:val="00DF3D78"/>
    <w:rsid w:val="00DF446E"/>
    <w:rsid w:val="00DF44D9"/>
    <w:rsid w:val="00DF4DAA"/>
    <w:rsid w:val="00DF521A"/>
    <w:rsid w:val="00DF5493"/>
    <w:rsid w:val="00DF5CF8"/>
    <w:rsid w:val="00DF5EBC"/>
    <w:rsid w:val="00DF6072"/>
    <w:rsid w:val="00DF6CF8"/>
    <w:rsid w:val="00DF77BA"/>
    <w:rsid w:val="00DF7974"/>
    <w:rsid w:val="00DF79C4"/>
    <w:rsid w:val="00DF7EDA"/>
    <w:rsid w:val="00E00034"/>
    <w:rsid w:val="00E00718"/>
    <w:rsid w:val="00E012D3"/>
    <w:rsid w:val="00E017DF"/>
    <w:rsid w:val="00E021D0"/>
    <w:rsid w:val="00E02A80"/>
    <w:rsid w:val="00E02C1F"/>
    <w:rsid w:val="00E030C7"/>
    <w:rsid w:val="00E0329D"/>
    <w:rsid w:val="00E034A8"/>
    <w:rsid w:val="00E0364A"/>
    <w:rsid w:val="00E03FCC"/>
    <w:rsid w:val="00E04495"/>
    <w:rsid w:val="00E04518"/>
    <w:rsid w:val="00E0495D"/>
    <w:rsid w:val="00E04CC2"/>
    <w:rsid w:val="00E0589E"/>
    <w:rsid w:val="00E0615F"/>
    <w:rsid w:val="00E06684"/>
    <w:rsid w:val="00E07435"/>
    <w:rsid w:val="00E1065D"/>
    <w:rsid w:val="00E10EEB"/>
    <w:rsid w:val="00E110FF"/>
    <w:rsid w:val="00E11349"/>
    <w:rsid w:val="00E1164E"/>
    <w:rsid w:val="00E128AC"/>
    <w:rsid w:val="00E12ACD"/>
    <w:rsid w:val="00E131C2"/>
    <w:rsid w:val="00E1374C"/>
    <w:rsid w:val="00E1382D"/>
    <w:rsid w:val="00E13977"/>
    <w:rsid w:val="00E1448D"/>
    <w:rsid w:val="00E148F7"/>
    <w:rsid w:val="00E14992"/>
    <w:rsid w:val="00E14EFA"/>
    <w:rsid w:val="00E15C97"/>
    <w:rsid w:val="00E15E88"/>
    <w:rsid w:val="00E16576"/>
    <w:rsid w:val="00E16616"/>
    <w:rsid w:val="00E1683E"/>
    <w:rsid w:val="00E17A58"/>
    <w:rsid w:val="00E2027B"/>
    <w:rsid w:val="00E21517"/>
    <w:rsid w:val="00E219A0"/>
    <w:rsid w:val="00E21E72"/>
    <w:rsid w:val="00E222F1"/>
    <w:rsid w:val="00E22554"/>
    <w:rsid w:val="00E22D35"/>
    <w:rsid w:val="00E23422"/>
    <w:rsid w:val="00E23698"/>
    <w:rsid w:val="00E24875"/>
    <w:rsid w:val="00E24D5F"/>
    <w:rsid w:val="00E25784"/>
    <w:rsid w:val="00E264CF"/>
    <w:rsid w:val="00E26C60"/>
    <w:rsid w:val="00E270D4"/>
    <w:rsid w:val="00E2716E"/>
    <w:rsid w:val="00E27354"/>
    <w:rsid w:val="00E27917"/>
    <w:rsid w:val="00E31761"/>
    <w:rsid w:val="00E31B8C"/>
    <w:rsid w:val="00E322E1"/>
    <w:rsid w:val="00E324F9"/>
    <w:rsid w:val="00E329AF"/>
    <w:rsid w:val="00E32B47"/>
    <w:rsid w:val="00E33AED"/>
    <w:rsid w:val="00E351A4"/>
    <w:rsid w:val="00E373EB"/>
    <w:rsid w:val="00E377DB"/>
    <w:rsid w:val="00E37C7E"/>
    <w:rsid w:val="00E37E88"/>
    <w:rsid w:val="00E37FC5"/>
    <w:rsid w:val="00E405F3"/>
    <w:rsid w:val="00E40B3E"/>
    <w:rsid w:val="00E41025"/>
    <w:rsid w:val="00E41340"/>
    <w:rsid w:val="00E416BE"/>
    <w:rsid w:val="00E41D9C"/>
    <w:rsid w:val="00E42398"/>
    <w:rsid w:val="00E42416"/>
    <w:rsid w:val="00E4277F"/>
    <w:rsid w:val="00E43C55"/>
    <w:rsid w:val="00E44CEF"/>
    <w:rsid w:val="00E44CF0"/>
    <w:rsid w:val="00E4605A"/>
    <w:rsid w:val="00E46067"/>
    <w:rsid w:val="00E468DC"/>
    <w:rsid w:val="00E46FB5"/>
    <w:rsid w:val="00E4734A"/>
    <w:rsid w:val="00E4753D"/>
    <w:rsid w:val="00E475FC"/>
    <w:rsid w:val="00E476F2"/>
    <w:rsid w:val="00E476F7"/>
    <w:rsid w:val="00E47A2F"/>
    <w:rsid w:val="00E47FB7"/>
    <w:rsid w:val="00E51312"/>
    <w:rsid w:val="00E51921"/>
    <w:rsid w:val="00E51BFE"/>
    <w:rsid w:val="00E52073"/>
    <w:rsid w:val="00E5240E"/>
    <w:rsid w:val="00E52C51"/>
    <w:rsid w:val="00E52CDB"/>
    <w:rsid w:val="00E53586"/>
    <w:rsid w:val="00E53644"/>
    <w:rsid w:val="00E53733"/>
    <w:rsid w:val="00E53F3C"/>
    <w:rsid w:val="00E541F0"/>
    <w:rsid w:val="00E542A9"/>
    <w:rsid w:val="00E542B2"/>
    <w:rsid w:val="00E54A17"/>
    <w:rsid w:val="00E564F5"/>
    <w:rsid w:val="00E56CEB"/>
    <w:rsid w:val="00E5776A"/>
    <w:rsid w:val="00E57E7B"/>
    <w:rsid w:val="00E60693"/>
    <w:rsid w:val="00E606DC"/>
    <w:rsid w:val="00E60E06"/>
    <w:rsid w:val="00E60EE4"/>
    <w:rsid w:val="00E61EEB"/>
    <w:rsid w:val="00E61FBC"/>
    <w:rsid w:val="00E62560"/>
    <w:rsid w:val="00E62D0C"/>
    <w:rsid w:val="00E62FD5"/>
    <w:rsid w:val="00E634D2"/>
    <w:rsid w:val="00E63A8F"/>
    <w:rsid w:val="00E64D7D"/>
    <w:rsid w:val="00E65300"/>
    <w:rsid w:val="00E66664"/>
    <w:rsid w:val="00E66B15"/>
    <w:rsid w:val="00E66DFA"/>
    <w:rsid w:val="00E6703A"/>
    <w:rsid w:val="00E6773F"/>
    <w:rsid w:val="00E70FA2"/>
    <w:rsid w:val="00E71EC1"/>
    <w:rsid w:val="00E72221"/>
    <w:rsid w:val="00E725D0"/>
    <w:rsid w:val="00E728F9"/>
    <w:rsid w:val="00E73238"/>
    <w:rsid w:val="00E7378E"/>
    <w:rsid w:val="00E73AEE"/>
    <w:rsid w:val="00E73DB5"/>
    <w:rsid w:val="00E740ED"/>
    <w:rsid w:val="00E766BF"/>
    <w:rsid w:val="00E77123"/>
    <w:rsid w:val="00E77CE2"/>
    <w:rsid w:val="00E819C0"/>
    <w:rsid w:val="00E81B73"/>
    <w:rsid w:val="00E81E9B"/>
    <w:rsid w:val="00E82472"/>
    <w:rsid w:val="00E82F05"/>
    <w:rsid w:val="00E8303D"/>
    <w:rsid w:val="00E83138"/>
    <w:rsid w:val="00E838F7"/>
    <w:rsid w:val="00E8464F"/>
    <w:rsid w:val="00E84B10"/>
    <w:rsid w:val="00E851EB"/>
    <w:rsid w:val="00E85324"/>
    <w:rsid w:val="00E85CA3"/>
    <w:rsid w:val="00E902C9"/>
    <w:rsid w:val="00E907D3"/>
    <w:rsid w:val="00E91E6B"/>
    <w:rsid w:val="00E923D6"/>
    <w:rsid w:val="00E9373A"/>
    <w:rsid w:val="00E93DBD"/>
    <w:rsid w:val="00E93DE1"/>
    <w:rsid w:val="00E945D5"/>
    <w:rsid w:val="00E94A1E"/>
    <w:rsid w:val="00E94ADD"/>
    <w:rsid w:val="00E95205"/>
    <w:rsid w:val="00E954FF"/>
    <w:rsid w:val="00E95513"/>
    <w:rsid w:val="00E955FB"/>
    <w:rsid w:val="00E95766"/>
    <w:rsid w:val="00E95B9D"/>
    <w:rsid w:val="00E95FC5"/>
    <w:rsid w:val="00E966AD"/>
    <w:rsid w:val="00E96B36"/>
    <w:rsid w:val="00E971E9"/>
    <w:rsid w:val="00E97433"/>
    <w:rsid w:val="00E976E3"/>
    <w:rsid w:val="00E979C7"/>
    <w:rsid w:val="00E97C42"/>
    <w:rsid w:val="00E97E3F"/>
    <w:rsid w:val="00E97FF3"/>
    <w:rsid w:val="00EA00F4"/>
    <w:rsid w:val="00EA0A35"/>
    <w:rsid w:val="00EA0AF3"/>
    <w:rsid w:val="00EA1664"/>
    <w:rsid w:val="00EA18AA"/>
    <w:rsid w:val="00EA1CA2"/>
    <w:rsid w:val="00EA1EBC"/>
    <w:rsid w:val="00EA2849"/>
    <w:rsid w:val="00EA3A39"/>
    <w:rsid w:val="00EA3D78"/>
    <w:rsid w:val="00EA42D7"/>
    <w:rsid w:val="00EA48B3"/>
    <w:rsid w:val="00EA59D2"/>
    <w:rsid w:val="00EA5C56"/>
    <w:rsid w:val="00EA694C"/>
    <w:rsid w:val="00EA71A0"/>
    <w:rsid w:val="00EB09EB"/>
    <w:rsid w:val="00EB11BA"/>
    <w:rsid w:val="00EB2AA7"/>
    <w:rsid w:val="00EB30DA"/>
    <w:rsid w:val="00EB326D"/>
    <w:rsid w:val="00EB34DE"/>
    <w:rsid w:val="00EB39F0"/>
    <w:rsid w:val="00EB4139"/>
    <w:rsid w:val="00EB4CE0"/>
    <w:rsid w:val="00EB5370"/>
    <w:rsid w:val="00EB53D7"/>
    <w:rsid w:val="00EB56E0"/>
    <w:rsid w:val="00EB6727"/>
    <w:rsid w:val="00EB700F"/>
    <w:rsid w:val="00EB707B"/>
    <w:rsid w:val="00EB773F"/>
    <w:rsid w:val="00EB7803"/>
    <w:rsid w:val="00EC02E8"/>
    <w:rsid w:val="00EC11B5"/>
    <w:rsid w:val="00EC11F5"/>
    <w:rsid w:val="00EC12D7"/>
    <w:rsid w:val="00EC1608"/>
    <w:rsid w:val="00EC1D15"/>
    <w:rsid w:val="00EC25A6"/>
    <w:rsid w:val="00EC2B8B"/>
    <w:rsid w:val="00EC33FF"/>
    <w:rsid w:val="00EC3556"/>
    <w:rsid w:val="00EC38E3"/>
    <w:rsid w:val="00EC40D8"/>
    <w:rsid w:val="00EC41E7"/>
    <w:rsid w:val="00EC4588"/>
    <w:rsid w:val="00EC4625"/>
    <w:rsid w:val="00EC62DF"/>
    <w:rsid w:val="00EC6F41"/>
    <w:rsid w:val="00EC7881"/>
    <w:rsid w:val="00EC7A96"/>
    <w:rsid w:val="00ED182F"/>
    <w:rsid w:val="00ED283C"/>
    <w:rsid w:val="00ED313A"/>
    <w:rsid w:val="00ED4D86"/>
    <w:rsid w:val="00ED4D9C"/>
    <w:rsid w:val="00ED4E5E"/>
    <w:rsid w:val="00ED7542"/>
    <w:rsid w:val="00EE06BE"/>
    <w:rsid w:val="00EE09D1"/>
    <w:rsid w:val="00EE0BFA"/>
    <w:rsid w:val="00EE120F"/>
    <w:rsid w:val="00EE1411"/>
    <w:rsid w:val="00EE152F"/>
    <w:rsid w:val="00EE1C21"/>
    <w:rsid w:val="00EE1EFE"/>
    <w:rsid w:val="00EE2BE6"/>
    <w:rsid w:val="00EE2F03"/>
    <w:rsid w:val="00EE2F23"/>
    <w:rsid w:val="00EE365C"/>
    <w:rsid w:val="00EE3B16"/>
    <w:rsid w:val="00EE4CB9"/>
    <w:rsid w:val="00EE4E14"/>
    <w:rsid w:val="00EE5853"/>
    <w:rsid w:val="00EE58EA"/>
    <w:rsid w:val="00EE64BC"/>
    <w:rsid w:val="00EE6FCF"/>
    <w:rsid w:val="00EE79CF"/>
    <w:rsid w:val="00EE7EE5"/>
    <w:rsid w:val="00EF1F4D"/>
    <w:rsid w:val="00EF223D"/>
    <w:rsid w:val="00EF2340"/>
    <w:rsid w:val="00EF25F7"/>
    <w:rsid w:val="00EF2719"/>
    <w:rsid w:val="00EF2DBA"/>
    <w:rsid w:val="00EF3602"/>
    <w:rsid w:val="00EF372B"/>
    <w:rsid w:val="00EF3752"/>
    <w:rsid w:val="00EF3880"/>
    <w:rsid w:val="00EF3B35"/>
    <w:rsid w:val="00EF4A20"/>
    <w:rsid w:val="00EF4A28"/>
    <w:rsid w:val="00EF58FA"/>
    <w:rsid w:val="00EF660C"/>
    <w:rsid w:val="00EF7434"/>
    <w:rsid w:val="00EF74F7"/>
    <w:rsid w:val="00EF7893"/>
    <w:rsid w:val="00EF7BE2"/>
    <w:rsid w:val="00F00245"/>
    <w:rsid w:val="00F00D34"/>
    <w:rsid w:val="00F01595"/>
    <w:rsid w:val="00F015C7"/>
    <w:rsid w:val="00F01A99"/>
    <w:rsid w:val="00F01B48"/>
    <w:rsid w:val="00F02490"/>
    <w:rsid w:val="00F026A5"/>
    <w:rsid w:val="00F027B1"/>
    <w:rsid w:val="00F0283A"/>
    <w:rsid w:val="00F028E1"/>
    <w:rsid w:val="00F034D9"/>
    <w:rsid w:val="00F036DE"/>
    <w:rsid w:val="00F03A11"/>
    <w:rsid w:val="00F0444E"/>
    <w:rsid w:val="00F04BD8"/>
    <w:rsid w:val="00F06B90"/>
    <w:rsid w:val="00F07755"/>
    <w:rsid w:val="00F07978"/>
    <w:rsid w:val="00F079C5"/>
    <w:rsid w:val="00F102F7"/>
    <w:rsid w:val="00F113BF"/>
    <w:rsid w:val="00F127EA"/>
    <w:rsid w:val="00F12879"/>
    <w:rsid w:val="00F12C48"/>
    <w:rsid w:val="00F12E88"/>
    <w:rsid w:val="00F148B1"/>
    <w:rsid w:val="00F14EAB"/>
    <w:rsid w:val="00F14FCB"/>
    <w:rsid w:val="00F1595C"/>
    <w:rsid w:val="00F164EA"/>
    <w:rsid w:val="00F16B86"/>
    <w:rsid w:val="00F179B6"/>
    <w:rsid w:val="00F2011C"/>
    <w:rsid w:val="00F204BC"/>
    <w:rsid w:val="00F20F8B"/>
    <w:rsid w:val="00F2161F"/>
    <w:rsid w:val="00F216B8"/>
    <w:rsid w:val="00F21A60"/>
    <w:rsid w:val="00F220FB"/>
    <w:rsid w:val="00F22628"/>
    <w:rsid w:val="00F22B0A"/>
    <w:rsid w:val="00F230BD"/>
    <w:rsid w:val="00F240D7"/>
    <w:rsid w:val="00F241C2"/>
    <w:rsid w:val="00F241CB"/>
    <w:rsid w:val="00F24583"/>
    <w:rsid w:val="00F24D3C"/>
    <w:rsid w:val="00F26219"/>
    <w:rsid w:val="00F264E3"/>
    <w:rsid w:val="00F26813"/>
    <w:rsid w:val="00F26DBB"/>
    <w:rsid w:val="00F2745D"/>
    <w:rsid w:val="00F27F70"/>
    <w:rsid w:val="00F3018C"/>
    <w:rsid w:val="00F30254"/>
    <w:rsid w:val="00F3056C"/>
    <w:rsid w:val="00F310D9"/>
    <w:rsid w:val="00F313F6"/>
    <w:rsid w:val="00F31499"/>
    <w:rsid w:val="00F3188B"/>
    <w:rsid w:val="00F31E61"/>
    <w:rsid w:val="00F326C7"/>
    <w:rsid w:val="00F329D9"/>
    <w:rsid w:val="00F32B1D"/>
    <w:rsid w:val="00F33FA0"/>
    <w:rsid w:val="00F34B29"/>
    <w:rsid w:val="00F34DCB"/>
    <w:rsid w:val="00F35203"/>
    <w:rsid w:val="00F352FF"/>
    <w:rsid w:val="00F35482"/>
    <w:rsid w:val="00F358A4"/>
    <w:rsid w:val="00F37961"/>
    <w:rsid w:val="00F37EBE"/>
    <w:rsid w:val="00F40E5A"/>
    <w:rsid w:val="00F40F50"/>
    <w:rsid w:val="00F4127B"/>
    <w:rsid w:val="00F412BF"/>
    <w:rsid w:val="00F42F11"/>
    <w:rsid w:val="00F443DA"/>
    <w:rsid w:val="00F457A0"/>
    <w:rsid w:val="00F45E03"/>
    <w:rsid w:val="00F45E11"/>
    <w:rsid w:val="00F45E42"/>
    <w:rsid w:val="00F4645A"/>
    <w:rsid w:val="00F4651E"/>
    <w:rsid w:val="00F468B3"/>
    <w:rsid w:val="00F470F8"/>
    <w:rsid w:val="00F47727"/>
    <w:rsid w:val="00F47753"/>
    <w:rsid w:val="00F47980"/>
    <w:rsid w:val="00F50133"/>
    <w:rsid w:val="00F50F3B"/>
    <w:rsid w:val="00F51062"/>
    <w:rsid w:val="00F51474"/>
    <w:rsid w:val="00F51CDD"/>
    <w:rsid w:val="00F51F46"/>
    <w:rsid w:val="00F5202E"/>
    <w:rsid w:val="00F52384"/>
    <w:rsid w:val="00F52894"/>
    <w:rsid w:val="00F53130"/>
    <w:rsid w:val="00F532D5"/>
    <w:rsid w:val="00F5366A"/>
    <w:rsid w:val="00F537C8"/>
    <w:rsid w:val="00F54069"/>
    <w:rsid w:val="00F54489"/>
    <w:rsid w:val="00F54E44"/>
    <w:rsid w:val="00F5588E"/>
    <w:rsid w:val="00F558A4"/>
    <w:rsid w:val="00F55B6A"/>
    <w:rsid w:val="00F56779"/>
    <w:rsid w:val="00F578C5"/>
    <w:rsid w:val="00F57BDF"/>
    <w:rsid w:val="00F607D9"/>
    <w:rsid w:val="00F60D23"/>
    <w:rsid w:val="00F61433"/>
    <w:rsid w:val="00F61B3E"/>
    <w:rsid w:val="00F62843"/>
    <w:rsid w:val="00F63F97"/>
    <w:rsid w:val="00F64F83"/>
    <w:rsid w:val="00F65EFC"/>
    <w:rsid w:val="00F669AB"/>
    <w:rsid w:val="00F670A0"/>
    <w:rsid w:val="00F6740A"/>
    <w:rsid w:val="00F67DCB"/>
    <w:rsid w:val="00F7063E"/>
    <w:rsid w:val="00F70F52"/>
    <w:rsid w:val="00F7156F"/>
    <w:rsid w:val="00F71802"/>
    <w:rsid w:val="00F71A1D"/>
    <w:rsid w:val="00F7217B"/>
    <w:rsid w:val="00F73011"/>
    <w:rsid w:val="00F734F9"/>
    <w:rsid w:val="00F7391B"/>
    <w:rsid w:val="00F7394D"/>
    <w:rsid w:val="00F73C5E"/>
    <w:rsid w:val="00F74B9D"/>
    <w:rsid w:val="00F74DDF"/>
    <w:rsid w:val="00F7577A"/>
    <w:rsid w:val="00F759B5"/>
    <w:rsid w:val="00F75A56"/>
    <w:rsid w:val="00F763D7"/>
    <w:rsid w:val="00F76446"/>
    <w:rsid w:val="00F77067"/>
    <w:rsid w:val="00F775B5"/>
    <w:rsid w:val="00F7760F"/>
    <w:rsid w:val="00F80076"/>
    <w:rsid w:val="00F80510"/>
    <w:rsid w:val="00F813B0"/>
    <w:rsid w:val="00F81AED"/>
    <w:rsid w:val="00F83114"/>
    <w:rsid w:val="00F8315F"/>
    <w:rsid w:val="00F84ADC"/>
    <w:rsid w:val="00F85845"/>
    <w:rsid w:val="00F87047"/>
    <w:rsid w:val="00F87134"/>
    <w:rsid w:val="00F87630"/>
    <w:rsid w:val="00F877D6"/>
    <w:rsid w:val="00F90316"/>
    <w:rsid w:val="00F90744"/>
    <w:rsid w:val="00F90B53"/>
    <w:rsid w:val="00F90D4F"/>
    <w:rsid w:val="00F916BC"/>
    <w:rsid w:val="00F9189D"/>
    <w:rsid w:val="00F91B53"/>
    <w:rsid w:val="00F925C8"/>
    <w:rsid w:val="00F92A14"/>
    <w:rsid w:val="00F92AB0"/>
    <w:rsid w:val="00F92B2B"/>
    <w:rsid w:val="00F93A90"/>
    <w:rsid w:val="00F9415F"/>
    <w:rsid w:val="00F94718"/>
    <w:rsid w:val="00F95E83"/>
    <w:rsid w:val="00F9602B"/>
    <w:rsid w:val="00F975E4"/>
    <w:rsid w:val="00F97B53"/>
    <w:rsid w:val="00F97B5E"/>
    <w:rsid w:val="00FA0042"/>
    <w:rsid w:val="00FA24D2"/>
    <w:rsid w:val="00FA2C99"/>
    <w:rsid w:val="00FA2EB5"/>
    <w:rsid w:val="00FA32F6"/>
    <w:rsid w:val="00FA331F"/>
    <w:rsid w:val="00FA38E1"/>
    <w:rsid w:val="00FA39D8"/>
    <w:rsid w:val="00FA4C2F"/>
    <w:rsid w:val="00FA5406"/>
    <w:rsid w:val="00FA5EE1"/>
    <w:rsid w:val="00FA69A4"/>
    <w:rsid w:val="00FA6E0B"/>
    <w:rsid w:val="00FA71F8"/>
    <w:rsid w:val="00FA7CE0"/>
    <w:rsid w:val="00FB0462"/>
    <w:rsid w:val="00FB0540"/>
    <w:rsid w:val="00FB0659"/>
    <w:rsid w:val="00FB0D7C"/>
    <w:rsid w:val="00FB0F08"/>
    <w:rsid w:val="00FB1739"/>
    <w:rsid w:val="00FB17E0"/>
    <w:rsid w:val="00FB1EE0"/>
    <w:rsid w:val="00FB240B"/>
    <w:rsid w:val="00FB2C4C"/>
    <w:rsid w:val="00FB3210"/>
    <w:rsid w:val="00FB350C"/>
    <w:rsid w:val="00FB3D6B"/>
    <w:rsid w:val="00FB591B"/>
    <w:rsid w:val="00FB6027"/>
    <w:rsid w:val="00FB6F8C"/>
    <w:rsid w:val="00FC1E14"/>
    <w:rsid w:val="00FC2948"/>
    <w:rsid w:val="00FC2D4B"/>
    <w:rsid w:val="00FC2FCE"/>
    <w:rsid w:val="00FC36CF"/>
    <w:rsid w:val="00FC4674"/>
    <w:rsid w:val="00FC4BAE"/>
    <w:rsid w:val="00FC592B"/>
    <w:rsid w:val="00FC5983"/>
    <w:rsid w:val="00FC61B9"/>
    <w:rsid w:val="00FC62CB"/>
    <w:rsid w:val="00FC6AFB"/>
    <w:rsid w:val="00FC6E55"/>
    <w:rsid w:val="00FD01B8"/>
    <w:rsid w:val="00FD02D7"/>
    <w:rsid w:val="00FD0688"/>
    <w:rsid w:val="00FD0C73"/>
    <w:rsid w:val="00FD14ED"/>
    <w:rsid w:val="00FD17F3"/>
    <w:rsid w:val="00FD1A45"/>
    <w:rsid w:val="00FD1ED2"/>
    <w:rsid w:val="00FD23A6"/>
    <w:rsid w:val="00FD332D"/>
    <w:rsid w:val="00FD34E2"/>
    <w:rsid w:val="00FD582E"/>
    <w:rsid w:val="00FD5952"/>
    <w:rsid w:val="00FD637E"/>
    <w:rsid w:val="00FD6553"/>
    <w:rsid w:val="00FD66CC"/>
    <w:rsid w:val="00FD6EB8"/>
    <w:rsid w:val="00FD71AE"/>
    <w:rsid w:val="00FD723E"/>
    <w:rsid w:val="00FD74F0"/>
    <w:rsid w:val="00FD7A25"/>
    <w:rsid w:val="00FD7E17"/>
    <w:rsid w:val="00FE14D2"/>
    <w:rsid w:val="00FE220D"/>
    <w:rsid w:val="00FE24A4"/>
    <w:rsid w:val="00FE2AFB"/>
    <w:rsid w:val="00FE2F84"/>
    <w:rsid w:val="00FE4A37"/>
    <w:rsid w:val="00FE4C8D"/>
    <w:rsid w:val="00FE51D6"/>
    <w:rsid w:val="00FE5A52"/>
    <w:rsid w:val="00FE6CFB"/>
    <w:rsid w:val="00FE6E38"/>
    <w:rsid w:val="00FE720C"/>
    <w:rsid w:val="00FF124E"/>
    <w:rsid w:val="00FF1667"/>
    <w:rsid w:val="00FF286D"/>
    <w:rsid w:val="00FF3B55"/>
    <w:rsid w:val="00FF419C"/>
    <w:rsid w:val="00FF4265"/>
    <w:rsid w:val="00FF4E40"/>
    <w:rsid w:val="00FF54F1"/>
    <w:rsid w:val="00FF5A42"/>
    <w:rsid w:val="00FF65C8"/>
    <w:rsid w:val="00FF6AEB"/>
    <w:rsid w:val="00FF6DB5"/>
    <w:rsid w:val="00FF790E"/>
    <w:rsid w:val="00FF7F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1DB05"/>
  <w15:docId w15:val="{BC85BA2E-B00E-478A-904F-D7488B95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28F"/>
    <w:rPr>
      <w:sz w:val="24"/>
      <w:szCs w:val="24"/>
      <w:lang w:val="es-ES" w:eastAsia="es-ES"/>
    </w:rPr>
  </w:style>
  <w:style w:type="paragraph" w:styleId="Ttulo1">
    <w:name w:val="heading 1"/>
    <w:basedOn w:val="Normal"/>
    <w:next w:val="Normal"/>
    <w:link w:val="Ttulo1Car"/>
    <w:qFormat/>
    <w:rsid w:val="003F128F"/>
    <w:pPr>
      <w:keepNext/>
      <w:tabs>
        <w:tab w:val="left" w:pos="5580"/>
      </w:tabs>
      <w:jc w:val="center"/>
      <w:outlineLvl w:val="0"/>
    </w:pPr>
    <w:rPr>
      <w:b/>
      <w:lang w:val="en-US"/>
    </w:rPr>
  </w:style>
  <w:style w:type="paragraph" w:styleId="Ttulo2">
    <w:name w:val="heading 2"/>
    <w:basedOn w:val="Normal"/>
    <w:next w:val="Normal"/>
    <w:link w:val="Ttulo2Car"/>
    <w:qFormat/>
    <w:rsid w:val="003F128F"/>
    <w:pPr>
      <w:keepNext/>
      <w:numPr>
        <w:numId w:val="1"/>
      </w:numPr>
      <w:tabs>
        <w:tab w:val="clear" w:pos="1080"/>
      </w:tabs>
      <w:ind w:left="0" w:firstLine="0"/>
      <w:outlineLvl w:val="1"/>
    </w:pPr>
    <w:rPr>
      <w:b/>
      <w:bCs/>
      <w:lang w:val="es-MX"/>
    </w:rPr>
  </w:style>
  <w:style w:type="paragraph" w:styleId="Ttulo3">
    <w:name w:val="heading 3"/>
    <w:basedOn w:val="Normal"/>
    <w:next w:val="Normal"/>
    <w:link w:val="Ttulo3Car"/>
    <w:qFormat/>
    <w:rsid w:val="003F128F"/>
    <w:pPr>
      <w:keepNext/>
      <w:ind w:left="1080"/>
      <w:jc w:val="center"/>
      <w:outlineLvl w:val="2"/>
    </w:pPr>
    <w:rPr>
      <w:rFonts w:ascii="Arial Narrow" w:hAnsi="Arial Narrow" w:cs="Arial"/>
      <w:b/>
      <w:sz w:val="22"/>
    </w:rPr>
  </w:style>
  <w:style w:type="paragraph" w:styleId="Ttulo4">
    <w:name w:val="heading 4"/>
    <w:basedOn w:val="Normal"/>
    <w:next w:val="Normal"/>
    <w:link w:val="Ttulo4Car"/>
    <w:qFormat/>
    <w:rsid w:val="003F128F"/>
    <w:pPr>
      <w:keepNext/>
      <w:tabs>
        <w:tab w:val="left" w:pos="1800"/>
      </w:tabs>
      <w:jc w:val="both"/>
      <w:outlineLvl w:val="3"/>
    </w:pPr>
    <w:rPr>
      <w:rFonts w:ascii="Arial" w:hAnsi="Arial" w:cs="Arial"/>
      <w:sz w:val="28"/>
    </w:rPr>
  </w:style>
  <w:style w:type="paragraph" w:styleId="Ttulo5">
    <w:name w:val="heading 5"/>
    <w:basedOn w:val="Normal"/>
    <w:next w:val="Normal"/>
    <w:link w:val="Ttulo5Car"/>
    <w:qFormat/>
    <w:rsid w:val="003F128F"/>
    <w:pPr>
      <w:keepNext/>
      <w:ind w:left="110"/>
      <w:jc w:val="center"/>
      <w:outlineLvl w:val="4"/>
    </w:pPr>
    <w:rPr>
      <w:rFonts w:ascii="Arial Narrow" w:hAnsi="Arial Narrow" w:cs="Arial"/>
      <w:b/>
      <w:color w:val="FF0000"/>
      <w:sz w:val="22"/>
    </w:rPr>
  </w:style>
  <w:style w:type="paragraph" w:styleId="Ttulo6">
    <w:name w:val="heading 6"/>
    <w:basedOn w:val="Normal"/>
    <w:next w:val="Normal"/>
    <w:link w:val="Ttulo6Car"/>
    <w:qFormat/>
    <w:rsid w:val="003F128F"/>
    <w:pPr>
      <w:keepNext/>
      <w:ind w:left="110"/>
      <w:jc w:val="center"/>
      <w:outlineLvl w:val="5"/>
    </w:pPr>
    <w:rPr>
      <w:rFonts w:ascii="Arial Narrow" w:hAnsi="Arial Narrow" w:cs="Arial"/>
      <w:b/>
      <w:sz w:val="22"/>
    </w:rPr>
  </w:style>
  <w:style w:type="paragraph" w:styleId="Ttulo7">
    <w:name w:val="heading 7"/>
    <w:basedOn w:val="Normal"/>
    <w:next w:val="Normal"/>
    <w:link w:val="Ttulo7Car"/>
    <w:qFormat/>
    <w:rsid w:val="003F128F"/>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link w:val="Ttulo8Car"/>
    <w:qFormat/>
    <w:rsid w:val="003F128F"/>
    <w:pPr>
      <w:keepNext/>
      <w:jc w:val="both"/>
      <w:outlineLvl w:val="7"/>
    </w:pPr>
    <w:rPr>
      <w:rFonts w:ascii="Arial" w:hAnsi="Arial" w:cs="Arial"/>
      <w:b/>
      <w:bCs/>
      <w:color w:val="FF0000"/>
    </w:rPr>
  </w:style>
  <w:style w:type="paragraph" w:styleId="Ttulo9">
    <w:name w:val="heading 9"/>
    <w:basedOn w:val="Normal"/>
    <w:next w:val="Normal"/>
    <w:link w:val="Ttulo9Car"/>
    <w:qFormat/>
    <w:rsid w:val="003F128F"/>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B1EE0"/>
    <w:rPr>
      <w:b/>
      <w:sz w:val="24"/>
      <w:szCs w:val="24"/>
      <w:lang w:val="en-US" w:eastAsia="es-ES"/>
    </w:rPr>
  </w:style>
  <w:style w:type="character" w:customStyle="1" w:styleId="Ttulo2Car">
    <w:name w:val="Título 2 Car"/>
    <w:basedOn w:val="Fuentedeprrafopredeter"/>
    <w:link w:val="Ttulo2"/>
    <w:rsid w:val="00FB1EE0"/>
    <w:rPr>
      <w:b/>
      <w:bCs/>
      <w:sz w:val="24"/>
      <w:szCs w:val="24"/>
      <w:lang w:eastAsia="es-ES"/>
    </w:rPr>
  </w:style>
  <w:style w:type="character" w:customStyle="1" w:styleId="Ttulo3Car">
    <w:name w:val="Título 3 Car"/>
    <w:basedOn w:val="Fuentedeprrafopredeter"/>
    <w:link w:val="Ttulo3"/>
    <w:rsid w:val="00FB1EE0"/>
    <w:rPr>
      <w:rFonts w:ascii="Arial Narrow" w:hAnsi="Arial Narrow" w:cs="Arial"/>
      <w:b/>
      <w:sz w:val="22"/>
      <w:szCs w:val="24"/>
      <w:lang w:val="es-ES" w:eastAsia="es-ES"/>
    </w:rPr>
  </w:style>
  <w:style w:type="character" w:customStyle="1" w:styleId="Ttulo4Car">
    <w:name w:val="Título 4 Car"/>
    <w:basedOn w:val="Fuentedeprrafopredeter"/>
    <w:link w:val="Ttulo4"/>
    <w:rsid w:val="00FB1EE0"/>
    <w:rPr>
      <w:rFonts w:ascii="Arial" w:hAnsi="Arial" w:cs="Arial"/>
      <w:sz w:val="28"/>
      <w:szCs w:val="24"/>
      <w:lang w:val="es-ES" w:eastAsia="es-ES"/>
    </w:rPr>
  </w:style>
  <w:style w:type="character" w:customStyle="1" w:styleId="Ttulo5Car">
    <w:name w:val="Título 5 Car"/>
    <w:basedOn w:val="Fuentedeprrafopredeter"/>
    <w:link w:val="Ttulo5"/>
    <w:rsid w:val="00FB1EE0"/>
    <w:rPr>
      <w:rFonts w:ascii="Arial Narrow" w:hAnsi="Arial Narrow" w:cs="Arial"/>
      <w:b/>
      <w:color w:val="FF0000"/>
      <w:sz w:val="22"/>
      <w:szCs w:val="24"/>
      <w:lang w:val="es-ES" w:eastAsia="es-ES"/>
    </w:rPr>
  </w:style>
  <w:style w:type="character" w:customStyle="1" w:styleId="Ttulo6Car">
    <w:name w:val="Título 6 Car"/>
    <w:basedOn w:val="Fuentedeprrafopredeter"/>
    <w:link w:val="Ttulo6"/>
    <w:rsid w:val="00FB1EE0"/>
    <w:rPr>
      <w:rFonts w:ascii="Arial Narrow" w:hAnsi="Arial Narrow" w:cs="Arial"/>
      <w:b/>
      <w:sz w:val="22"/>
      <w:szCs w:val="24"/>
      <w:lang w:val="es-ES" w:eastAsia="es-ES"/>
    </w:rPr>
  </w:style>
  <w:style w:type="character" w:customStyle="1" w:styleId="Ttulo7Car">
    <w:name w:val="Título 7 Car"/>
    <w:basedOn w:val="Fuentedeprrafopredeter"/>
    <w:link w:val="Ttulo7"/>
    <w:rsid w:val="00FB1EE0"/>
    <w:rPr>
      <w:rFonts w:ascii="Arial" w:hAnsi="Arial" w:cs="Arial"/>
      <w:b/>
      <w:bCs/>
      <w:szCs w:val="24"/>
      <w:lang w:val="es-ES" w:eastAsia="es-ES"/>
    </w:rPr>
  </w:style>
  <w:style w:type="character" w:customStyle="1" w:styleId="Ttulo8Car">
    <w:name w:val="Título 8 Car"/>
    <w:basedOn w:val="Fuentedeprrafopredeter"/>
    <w:link w:val="Ttulo8"/>
    <w:rsid w:val="00FB1EE0"/>
    <w:rPr>
      <w:rFonts w:ascii="Arial" w:hAnsi="Arial" w:cs="Arial"/>
      <w:b/>
      <w:bCs/>
      <w:color w:val="FF0000"/>
      <w:sz w:val="24"/>
      <w:szCs w:val="24"/>
      <w:lang w:val="es-ES" w:eastAsia="es-ES"/>
    </w:rPr>
  </w:style>
  <w:style w:type="character" w:customStyle="1" w:styleId="Ttulo9Car">
    <w:name w:val="Título 9 Car"/>
    <w:basedOn w:val="Fuentedeprrafopredeter"/>
    <w:link w:val="Ttulo9"/>
    <w:rsid w:val="00FB1EE0"/>
    <w:rPr>
      <w:rFonts w:ascii="Arial" w:hAnsi="Arial"/>
      <w:sz w:val="24"/>
      <w:lang w:val="es-ES" w:eastAsia="es-ES"/>
    </w:rPr>
  </w:style>
  <w:style w:type="paragraph" w:styleId="Textoindependiente">
    <w:name w:val="Body Text"/>
    <w:basedOn w:val="Normal"/>
    <w:link w:val="TextoindependienteCar"/>
    <w:qFormat/>
    <w:rsid w:val="003F128F"/>
    <w:pPr>
      <w:spacing w:line="360" w:lineRule="auto"/>
      <w:jc w:val="both"/>
    </w:pPr>
    <w:rPr>
      <w:rFonts w:ascii="Arial" w:hAnsi="Arial" w:cs="Arial"/>
      <w:b/>
      <w:bCs/>
      <w:sz w:val="20"/>
    </w:rPr>
  </w:style>
  <w:style w:type="character" w:customStyle="1" w:styleId="TextoindependienteCar">
    <w:name w:val="Texto independiente Car"/>
    <w:basedOn w:val="Fuentedeprrafopredeter"/>
    <w:link w:val="Textoindependiente"/>
    <w:rsid w:val="00FB1EE0"/>
    <w:rPr>
      <w:rFonts w:ascii="Arial" w:hAnsi="Arial" w:cs="Arial"/>
      <w:b/>
      <w:bCs/>
      <w:szCs w:val="24"/>
      <w:lang w:val="es-ES" w:eastAsia="es-ES"/>
    </w:rPr>
  </w:style>
  <w:style w:type="paragraph" w:styleId="Textoindependiente3">
    <w:name w:val="Body Text 3"/>
    <w:basedOn w:val="Normal"/>
    <w:link w:val="Textoindependiente3Car"/>
    <w:rsid w:val="003F128F"/>
    <w:pPr>
      <w:spacing w:line="360" w:lineRule="auto"/>
      <w:jc w:val="both"/>
    </w:pPr>
    <w:rPr>
      <w:rFonts w:ascii="Arial" w:hAnsi="Arial"/>
      <w:sz w:val="20"/>
    </w:rPr>
  </w:style>
  <w:style w:type="character" w:customStyle="1" w:styleId="Textoindependiente3Car">
    <w:name w:val="Texto independiente 3 Car"/>
    <w:link w:val="Textoindependiente3"/>
    <w:rsid w:val="00F8315F"/>
    <w:rPr>
      <w:rFonts w:ascii="Arial" w:hAnsi="Arial" w:cs="Arial"/>
      <w:szCs w:val="24"/>
      <w:lang w:val="es-ES" w:eastAsia="es-ES"/>
    </w:rPr>
  </w:style>
  <w:style w:type="paragraph" w:styleId="Textoindependiente2">
    <w:name w:val="Body Text 2"/>
    <w:basedOn w:val="Normal"/>
    <w:link w:val="Textoindependiente2Car"/>
    <w:rsid w:val="003F128F"/>
    <w:rPr>
      <w:rFonts w:ascii="Tahoma" w:hAnsi="Tahoma" w:cs="Tahoma"/>
      <w:sz w:val="28"/>
      <w:lang w:val="es-MX"/>
    </w:rPr>
  </w:style>
  <w:style w:type="character" w:customStyle="1" w:styleId="Textoindependiente2Car">
    <w:name w:val="Texto independiente 2 Car"/>
    <w:basedOn w:val="Fuentedeprrafopredeter"/>
    <w:link w:val="Textoindependiente2"/>
    <w:rsid w:val="00FB1EE0"/>
    <w:rPr>
      <w:rFonts w:ascii="Tahoma" w:hAnsi="Tahoma" w:cs="Tahoma"/>
      <w:sz w:val="28"/>
      <w:szCs w:val="24"/>
      <w:lang w:eastAsia="es-ES"/>
    </w:rPr>
  </w:style>
  <w:style w:type="paragraph" w:customStyle="1" w:styleId="PRIMERAPLANA">
    <w:name w:val="PRIMERA PLANA"/>
    <w:basedOn w:val="Normal"/>
    <w:rsid w:val="003F128F"/>
    <w:pPr>
      <w:jc w:val="both"/>
    </w:pPr>
    <w:rPr>
      <w:rFonts w:ascii="Arial" w:hAnsi="Arial"/>
      <w:sz w:val="20"/>
      <w:szCs w:val="20"/>
      <w:lang w:val="es-ES_tradnl"/>
    </w:rPr>
  </w:style>
  <w:style w:type="paragraph" w:styleId="NormalWeb">
    <w:name w:val="Normal (Web)"/>
    <w:basedOn w:val="Normal"/>
    <w:uiPriority w:val="99"/>
    <w:rsid w:val="003F128F"/>
    <w:pPr>
      <w:spacing w:before="100" w:beforeAutospacing="1" w:after="100" w:afterAutospacing="1"/>
    </w:pPr>
  </w:style>
  <w:style w:type="paragraph" w:customStyle="1" w:styleId="Default">
    <w:name w:val="Default"/>
    <w:rsid w:val="003F128F"/>
    <w:pPr>
      <w:autoSpaceDE w:val="0"/>
      <w:autoSpaceDN w:val="0"/>
      <w:adjustRightInd w:val="0"/>
    </w:pPr>
    <w:rPr>
      <w:color w:val="000000"/>
      <w:sz w:val="24"/>
      <w:szCs w:val="24"/>
      <w:lang w:val="es-ES" w:eastAsia="es-ES"/>
    </w:rPr>
  </w:style>
  <w:style w:type="paragraph" w:styleId="Piedepgina">
    <w:name w:val="footer"/>
    <w:basedOn w:val="Normal"/>
    <w:link w:val="PiedepginaCar"/>
    <w:rsid w:val="003F128F"/>
    <w:pPr>
      <w:tabs>
        <w:tab w:val="center" w:pos="4419"/>
        <w:tab w:val="right" w:pos="8838"/>
      </w:tabs>
    </w:pPr>
  </w:style>
  <w:style w:type="character" w:customStyle="1" w:styleId="PiedepginaCar">
    <w:name w:val="Pie de página Car"/>
    <w:basedOn w:val="Fuentedeprrafopredeter"/>
    <w:link w:val="Piedepgina"/>
    <w:rsid w:val="00FB1EE0"/>
    <w:rPr>
      <w:sz w:val="24"/>
      <w:szCs w:val="24"/>
      <w:lang w:val="es-ES" w:eastAsia="es-ES"/>
    </w:rPr>
  </w:style>
  <w:style w:type="character" w:styleId="Nmerodepgina">
    <w:name w:val="page number"/>
    <w:basedOn w:val="Fuentedeprrafopredeter"/>
    <w:rsid w:val="003F128F"/>
  </w:style>
  <w:style w:type="paragraph" w:styleId="Encabezado">
    <w:name w:val="header"/>
    <w:basedOn w:val="Normal"/>
    <w:link w:val="EncabezadoCar"/>
    <w:rsid w:val="003F128F"/>
    <w:pPr>
      <w:tabs>
        <w:tab w:val="center" w:pos="4419"/>
        <w:tab w:val="right" w:pos="8838"/>
      </w:tabs>
    </w:pPr>
  </w:style>
  <w:style w:type="character" w:customStyle="1" w:styleId="EncabezadoCar">
    <w:name w:val="Encabezado Car"/>
    <w:basedOn w:val="Fuentedeprrafopredeter"/>
    <w:link w:val="Encabezado"/>
    <w:rsid w:val="00FB1EE0"/>
    <w:rPr>
      <w:sz w:val="24"/>
      <w:szCs w:val="24"/>
      <w:lang w:val="es-ES" w:eastAsia="es-ES"/>
    </w:rPr>
  </w:style>
  <w:style w:type="character" w:styleId="Hipervnculo">
    <w:name w:val="Hyperlink"/>
    <w:uiPriority w:val="99"/>
    <w:unhideWhenUsed/>
    <w:rsid w:val="003C7E4F"/>
    <w:rPr>
      <w:color w:val="0000FF"/>
      <w:u w:val="single"/>
    </w:rPr>
  </w:style>
  <w:style w:type="paragraph" w:styleId="Prrafodelista">
    <w:name w:val="List Paragraph"/>
    <w:basedOn w:val="Normal"/>
    <w:uiPriority w:val="34"/>
    <w:qFormat/>
    <w:rsid w:val="006627E8"/>
    <w:pPr>
      <w:ind w:left="708"/>
    </w:pPr>
  </w:style>
  <w:style w:type="paragraph" w:styleId="Sangra2detindependiente">
    <w:name w:val="Body Text Indent 2"/>
    <w:basedOn w:val="Normal"/>
    <w:link w:val="Sangra2detindependienteCar"/>
    <w:uiPriority w:val="99"/>
    <w:semiHidden/>
    <w:unhideWhenUsed/>
    <w:rsid w:val="008E0EB4"/>
    <w:pPr>
      <w:spacing w:after="120" w:line="480" w:lineRule="auto"/>
      <w:ind w:left="283"/>
    </w:pPr>
  </w:style>
  <w:style w:type="character" w:customStyle="1" w:styleId="Sangra2detindependienteCar">
    <w:name w:val="Sangría 2 de t. independiente Car"/>
    <w:link w:val="Sangra2detindependiente"/>
    <w:uiPriority w:val="99"/>
    <w:semiHidden/>
    <w:rsid w:val="008E0EB4"/>
    <w:rPr>
      <w:sz w:val="24"/>
      <w:szCs w:val="24"/>
      <w:lang w:val="es-ES" w:eastAsia="es-ES"/>
    </w:rPr>
  </w:style>
  <w:style w:type="table" w:styleId="Tablaconcuadrcula">
    <w:name w:val="Table Grid"/>
    <w:basedOn w:val="Tablanormal"/>
    <w:uiPriority w:val="39"/>
    <w:rsid w:val="00693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2">
    <w:name w:val="A12"/>
    <w:uiPriority w:val="99"/>
    <w:rsid w:val="004C11B7"/>
    <w:rPr>
      <w:rFonts w:cs="Univers LT"/>
      <w:b/>
      <w:bCs/>
      <w:color w:val="000000"/>
      <w:sz w:val="97"/>
      <w:szCs w:val="97"/>
    </w:rPr>
  </w:style>
  <w:style w:type="paragraph" w:styleId="Textodeglobo">
    <w:name w:val="Balloon Text"/>
    <w:basedOn w:val="Normal"/>
    <w:link w:val="TextodegloboCar"/>
    <w:uiPriority w:val="99"/>
    <w:unhideWhenUsed/>
    <w:rsid w:val="0070336A"/>
    <w:rPr>
      <w:rFonts w:ascii="Tahoma" w:hAnsi="Tahoma"/>
      <w:sz w:val="16"/>
      <w:szCs w:val="16"/>
    </w:rPr>
  </w:style>
  <w:style w:type="character" w:customStyle="1" w:styleId="TextodegloboCar">
    <w:name w:val="Texto de globo Car"/>
    <w:link w:val="Textodeglobo"/>
    <w:uiPriority w:val="99"/>
    <w:rsid w:val="0070336A"/>
    <w:rPr>
      <w:rFonts w:ascii="Tahoma" w:hAnsi="Tahoma" w:cs="Tahoma"/>
      <w:sz w:val="16"/>
      <w:szCs w:val="16"/>
    </w:rPr>
  </w:style>
  <w:style w:type="character" w:styleId="nfasis">
    <w:name w:val="Emphasis"/>
    <w:uiPriority w:val="20"/>
    <w:qFormat/>
    <w:rsid w:val="003C3149"/>
    <w:rPr>
      <w:i/>
      <w:iCs/>
    </w:rPr>
  </w:style>
  <w:style w:type="paragraph" w:styleId="Citadestacada">
    <w:name w:val="Intense Quote"/>
    <w:basedOn w:val="Normal"/>
    <w:next w:val="Normal"/>
    <w:link w:val="CitadestacadaCar"/>
    <w:uiPriority w:val="30"/>
    <w:qFormat/>
    <w:rsid w:val="00563CD2"/>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link w:val="Citadestacada"/>
    <w:uiPriority w:val="30"/>
    <w:rsid w:val="00563CD2"/>
    <w:rPr>
      <w:rFonts w:ascii="Calibri" w:eastAsia="Calibri" w:hAnsi="Calibri" w:cs="Times New Roman"/>
      <w:b/>
      <w:bCs/>
      <w:i/>
      <w:iCs/>
      <w:color w:val="4F81BD"/>
      <w:sz w:val="22"/>
      <w:szCs w:val="22"/>
      <w:lang w:eastAsia="en-US"/>
    </w:rPr>
  </w:style>
  <w:style w:type="paragraph" w:styleId="Textonotapie">
    <w:name w:val="footnote text"/>
    <w:basedOn w:val="Normal"/>
    <w:link w:val="TextonotapieCar"/>
    <w:uiPriority w:val="99"/>
    <w:semiHidden/>
    <w:unhideWhenUsed/>
    <w:rsid w:val="00563CD2"/>
    <w:rPr>
      <w:rFonts w:ascii="Calibri" w:eastAsia="Calibri" w:hAnsi="Calibri"/>
      <w:sz w:val="20"/>
      <w:szCs w:val="20"/>
      <w:lang w:eastAsia="en-US"/>
    </w:rPr>
  </w:style>
  <w:style w:type="character" w:customStyle="1" w:styleId="TextonotapieCar">
    <w:name w:val="Texto nota pie Car"/>
    <w:link w:val="Textonotapie"/>
    <w:uiPriority w:val="99"/>
    <w:semiHidden/>
    <w:rsid w:val="00563CD2"/>
    <w:rPr>
      <w:rFonts w:ascii="Calibri" w:eastAsia="Calibri" w:hAnsi="Calibri" w:cs="Times New Roman"/>
      <w:lang w:eastAsia="en-US"/>
    </w:rPr>
  </w:style>
  <w:style w:type="character" w:styleId="Refdenotaalpie">
    <w:name w:val="footnote reference"/>
    <w:uiPriority w:val="99"/>
    <w:semiHidden/>
    <w:unhideWhenUsed/>
    <w:rsid w:val="00563CD2"/>
    <w:rPr>
      <w:vertAlign w:val="superscript"/>
    </w:rPr>
  </w:style>
  <w:style w:type="character" w:customStyle="1" w:styleId="apple-converted-space">
    <w:name w:val="apple-converted-space"/>
    <w:basedOn w:val="Fuentedeprrafopredeter"/>
    <w:rsid w:val="00BA696E"/>
  </w:style>
  <w:style w:type="character" w:styleId="Textoennegrita">
    <w:name w:val="Strong"/>
    <w:uiPriority w:val="22"/>
    <w:qFormat/>
    <w:rsid w:val="00846076"/>
    <w:rPr>
      <w:b/>
      <w:bCs/>
    </w:rPr>
  </w:style>
  <w:style w:type="character" w:styleId="Hipervnculovisitado">
    <w:name w:val="FollowedHyperlink"/>
    <w:basedOn w:val="Fuentedeprrafopredeter"/>
    <w:uiPriority w:val="99"/>
    <w:semiHidden/>
    <w:unhideWhenUsed/>
    <w:rsid w:val="00C16FCE"/>
    <w:rPr>
      <w:color w:val="954F72"/>
      <w:u w:val="single"/>
    </w:rPr>
  </w:style>
  <w:style w:type="paragraph" w:customStyle="1" w:styleId="xl63">
    <w:name w:val="xl63"/>
    <w:basedOn w:val="Normal"/>
    <w:rsid w:val="00C16FC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val="es-MX" w:eastAsia="es-MX"/>
    </w:rPr>
  </w:style>
  <w:style w:type="paragraph" w:customStyle="1" w:styleId="xl64">
    <w:name w:val="xl64"/>
    <w:basedOn w:val="Normal"/>
    <w:rsid w:val="00C16FC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5">
    <w:name w:val="xl65"/>
    <w:basedOn w:val="Normal"/>
    <w:rsid w:val="00C16F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6">
    <w:name w:val="xl66"/>
    <w:basedOn w:val="Normal"/>
    <w:rsid w:val="00C16FC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7">
    <w:name w:val="xl67"/>
    <w:basedOn w:val="Normal"/>
    <w:rsid w:val="00C16FC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8">
    <w:name w:val="xl68"/>
    <w:basedOn w:val="Normal"/>
    <w:rsid w:val="00C16F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9">
    <w:name w:val="xl69"/>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70">
    <w:name w:val="xl70"/>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2">
    <w:name w:val="xl72"/>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73">
    <w:name w:val="xl73"/>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75">
    <w:name w:val="xl75"/>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6">
    <w:name w:val="xl76"/>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77">
    <w:name w:val="xl77"/>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val="es-MX" w:eastAsia="es-MX"/>
    </w:rPr>
  </w:style>
  <w:style w:type="paragraph" w:customStyle="1" w:styleId="xl78">
    <w:name w:val="xl78"/>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MX" w:eastAsia="es-MX"/>
    </w:rPr>
  </w:style>
  <w:style w:type="paragraph" w:customStyle="1" w:styleId="xl79">
    <w:name w:val="xl79"/>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80">
    <w:name w:val="xl80"/>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1">
    <w:name w:val="xl81"/>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82">
    <w:name w:val="xl82"/>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83">
    <w:name w:val="xl83"/>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84">
    <w:name w:val="xl84"/>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6">
    <w:name w:val="xl86"/>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87">
    <w:name w:val="xl87"/>
    <w:basedOn w:val="Normal"/>
    <w:rsid w:val="00C16FCE"/>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8">
    <w:name w:val="xl88"/>
    <w:basedOn w:val="Normal"/>
    <w:rsid w:val="00C16FCE"/>
    <w:pPr>
      <w:pBdr>
        <w:top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9">
    <w:name w:val="xl89"/>
    <w:basedOn w:val="Normal"/>
    <w:rsid w:val="00C16FCE"/>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0">
    <w:name w:val="xl90"/>
    <w:basedOn w:val="Normal"/>
    <w:rsid w:val="00C16FCE"/>
    <w:pPr>
      <w:spacing w:before="100" w:beforeAutospacing="1" w:after="100" w:afterAutospacing="1"/>
    </w:pPr>
    <w:rPr>
      <w:sz w:val="16"/>
      <w:szCs w:val="16"/>
      <w:lang w:val="es-MX" w:eastAsia="es-MX"/>
    </w:rPr>
  </w:style>
  <w:style w:type="paragraph" w:customStyle="1" w:styleId="xl91">
    <w:name w:val="xl91"/>
    <w:basedOn w:val="Normal"/>
    <w:rsid w:val="00C16FCE"/>
    <w:pPr>
      <w:spacing w:before="100" w:beforeAutospacing="1" w:after="100" w:afterAutospacing="1"/>
    </w:pPr>
    <w:rPr>
      <w:sz w:val="16"/>
      <w:szCs w:val="16"/>
      <w:lang w:val="es-MX" w:eastAsia="es-MX"/>
    </w:rPr>
  </w:style>
  <w:style w:type="paragraph" w:customStyle="1" w:styleId="xl92">
    <w:name w:val="xl92"/>
    <w:basedOn w:val="Normal"/>
    <w:rsid w:val="00C16FCE"/>
    <w:pPr>
      <w:spacing w:before="100" w:beforeAutospacing="1" w:after="100" w:afterAutospacing="1"/>
      <w:textAlignment w:val="center"/>
    </w:pPr>
    <w:rPr>
      <w:sz w:val="16"/>
      <w:szCs w:val="16"/>
      <w:lang w:val="es-MX" w:eastAsia="es-MX"/>
    </w:rPr>
  </w:style>
  <w:style w:type="paragraph" w:customStyle="1" w:styleId="xl93">
    <w:name w:val="xl93"/>
    <w:basedOn w:val="Normal"/>
    <w:rsid w:val="00C16FCE"/>
    <w:pPr>
      <w:shd w:val="clear" w:color="000000" w:fill="FFFFFF"/>
      <w:spacing w:before="100" w:beforeAutospacing="1" w:after="100" w:afterAutospacing="1"/>
      <w:textAlignment w:val="center"/>
    </w:pPr>
    <w:rPr>
      <w:sz w:val="16"/>
      <w:szCs w:val="16"/>
      <w:lang w:val="es-MX" w:eastAsia="es-MX"/>
    </w:rPr>
  </w:style>
  <w:style w:type="paragraph" w:customStyle="1" w:styleId="xl94">
    <w:name w:val="xl94"/>
    <w:basedOn w:val="Normal"/>
    <w:rsid w:val="00C16FCE"/>
    <w:pPr>
      <w:shd w:val="clear" w:color="000000" w:fill="FFFFFF"/>
      <w:spacing w:before="100" w:beforeAutospacing="1" w:after="100" w:afterAutospacing="1"/>
      <w:textAlignment w:val="center"/>
    </w:pPr>
    <w:rPr>
      <w:b/>
      <w:bCs/>
      <w:sz w:val="16"/>
      <w:szCs w:val="16"/>
      <w:lang w:val="es-MX" w:eastAsia="es-MX"/>
    </w:rPr>
  </w:style>
  <w:style w:type="paragraph" w:customStyle="1" w:styleId="xl95">
    <w:name w:val="xl95"/>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96">
    <w:name w:val="xl96"/>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97">
    <w:name w:val="xl97"/>
    <w:basedOn w:val="Normal"/>
    <w:rsid w:val="00C16FCE"/>
    <w:pPr>
      <w:spacing w:before="100" w:beforeAutospacing="1" w:after="100" w:afterAutospacing="1"/>
    </w:pPr>
    <w:rPr>
      <w:sz w:val="16"/>
      <w:szCs w:val="16"/>
      <w:lang w:val="es-MX" w:eastAsia="es-MX"/>
    </w:rPr>
  </w:style>
  <w:style w:type="character" w:styleId="Refdecomentario">
    <w:name w:val="annotation reference"/>
    <w:basedOn w:val="Fuentedeprrafopredeter"/>
    <w:semiHidden/>
    <w:unhideWhenUsed/>
    <w:rsid w:val="00FC592B"/>
    <w:rPr>
      <w:sz w:val="16"/>
      <w:szCs w:val="16"/>
    </w:rPr>
  </w:style>
  <w:style w:type="paragraph" w:styleId="Textocomentario">
    <w:name w:val="annotation text"/>
    <w:basedOn w:val="Normal"/>
    <w:link w:val="TextocomentarioCar"/>
    <w:uiPriority w:val="99"/>
    <w:unhideWhenUsed/>
    <w:rsid w:val="00FC592B"/>
    <w:rPr>
      <w:sz w:val="20"/>
      <w:szCs w:val="20"/>
    </w:rPr>
  </w:style>
  <w:style w:type="character" w:customStyle="1" w:styleId="TextocomentarioCar">
    <w:name w:val="Texto comentario Car"/>
    <w:basedOn w:val="Fuentedeprrafopredeter"/>
    <w:link w:val="Textocomentario"/>
    <w:uiPriority w:val="99"/>
    <w:rsid w:val="00FC592B"/>
    <w:rPr>
      <w:lang w:val="es-ES" w:eastAsia="es-ES"/>
    </w:rPr>
  </w:style>
  <w:style w:type="paragraph" w:styleId="Asuntodelcomentario">
    <w:name w:val="annotation subject"/>
    <w:basedOn w:val="Textocomentario"/>
    <w:next w:val="Textocomentario"/>
    <w:link w:val="AsuntodelcomentarioCar"/>
    <w:uiPriority w:val="99"/>
    <w:semiHidden/>
    <w:unhideWhenUsed/>
    <w:rsid w:val="00FC592B"/>
    <w:rPr>
      <w:b/>
      <w:bCs/>
    </w:rPr>
  </w:style>
  <w:style w:type="character" w:customStyle="1" w:styleId="AsuntodelcomentarioCar">
    <w:name w:val="Asunto del comentario Car"/>
    <w:basedOn w:val="TextocomentarioCar"/>
    <w:link w:val="Asuntodelcomentario"/>
    <w:uiPriority w:val="99"/>
    <w:semiHidden/>
    <w:rsid w:val="00FC592B"/>
    <w:rPr>
      <w:b/>
      <w:bCs/>
      <w:lang w:val="es-ES" w:eastAsia="es-ES"/>
    </w:rPr>
  </w:style>
  <w:style w:type="paragraph" w:customStyle="1" w:styleId="Texto">
    <w:name w:val="Texto"/>
    <w:basedOn w:val="Normal"/>
    <w:link w:val="TextoCar"/>
    <w:qFormat/>
    <w:rsid w:val="00426F1E"/>
    <w:pPr>
      <w:spacing w:after="101" w:line="216" w:lineRule="exact"/>
      <w:ind w:firstLine="288"/>
      <w:jc w:val="both"/>
    </w:pPr>
    <w:rPr>
      <w:rFonts w:ascii="Arial" w:hAnsi="Arial" w:cs="Arial"/>
      <w:sz w:val="18"/>
      <w:szCs w:val="20"/>
    </w:rPr>
  </w:style>
  <w:style w:type="character" w:customStyle="1" w:styleId="TextoCar">
    <w:name w:val="Texto Car"/>
    <w:link w:val="Texto"/>
    <w:locked/>
    <w:rsid w:val="00426F1E"/>
    <w:rPr>
      <w:rFonts w:ascii="Arial" w:hAnsi="Arial" w:cs="Arial"/>
      <w:sz w:val="18"/>
      <w:lang w:val="es-ES" w:eastAsia="es-ES"/>
    </w:rPr>
  </w:style>
  <w:style w:type="paragraph" w:styleId="Textosinformato">
    <w:name w:val="Plain Text"/>
    <w:basedOn w:val="Normal"/>
    <w:link w:val="TextosinformatoCar"/>
    <w:rsid w:val="00426F1E"/>
    <w:rPr>
      <w:rFonts w:ascii="Courier New" w:hAnsi="Courier New" w:cs="Courier New"/>
      <w:sz w:val="20"/>
      <w:szCs w:val="20"/>
    </w:rPr>
  </w:style>
  <w:style w:type="character" w:customStyle="1" w:styleId="TextosinformatoCar">
    <w:name w:val="Texto sin formato Car"/>
    <w:basedOn w:val="Fuentedeprrafopredeter"/>
    <w:link w:val="Textosinformato"/>
    <w:rsid w:val="00426F1E"/>
    <w:rPr>
      <w:rFonts w:ascii="Courier New" w:hAnsi="Courier New" w:cs="Courier New"/>
      <w:lang w:val="es-ES" w:eastAsia="es-ES"/>
    </w:rPr>
  </w:style>
  <w:style w:type="numbering" w:customStyle="1" w:styleId="Sinlista1">
    <w:name w:val="Sin lista1"/>
    <w:next w:val="Sinlista"/>
    <w:uiPriority w:val="99"/>
    <w:semiHidden/>
    <w:unhideWhenUsed/>
    <w:rsid w:val="0008023A"/>
  </w:style>
  <w:style w:type="paragraph" w:styleId="Revisin">
    <w:name w:val="Revision"/>
    <w:hidden/>
    <w:uiPriority w:val="99"/>
    <w:semiHidden/>
    <w:rsid w:val="0008023A"/>
    <w:rPr>
      <w:rFonts w:ascii="Arial" w:eastAsia="Calibri" w:hAnsi="Arial" w:cs="Arial"/>
      <w:sz w:val="24"/>
      <w:szCs w:val="24"/>
      <w:lang w:eastAsia="en-US"/>
    </w:rPr>
  </w:style>
  <w:style w:type="numbering" w:customStyle="1" w:styleId="Sinlista11">
    <w:name w:val="Sin lista11"/>
    <w:next w:val="Sinlista"/>
    <w:uiPriority w:val="99"/>
    <w:semiHidden/>
    <w:unhideWhenUsed/>
    <w:rsid w:val="0008023A"/>
  </w:style>
  <w:style w:type="paragraph" w:customStyle="1" w:styleId="Estilo">
    <w:name w:val="Estilo"/>
    <w:basedOn w:val="Sinespaciado"/>
    <w:link w:val="EstiloCar"/>
    <w:qFormat/>
    <w:rsid w:val="0008023A"/>
    <w:rPr>
      <w:rFonts w:ascii="Arial" w:eastAsia="Times New Roman" w:hAnsi="Arial"/>
      <w:sz w:val="20"/>
    </w:rPr>
  </w:style>
  <w:style w:type="paragraph" w:styleId="Sinespaciado">
    <w:name w:val="No Spacing"/>
    <w:link w:val="SinespaciadoCar"/>
    <w:uiPriority w:val="1"/>
    <w:qFormat/>
    <w:rsid w:val="0008023A"/>
    <w:pPr>
      <w:jc w:val="both"/>
    </w:pPr>
    <w:rPr>
      <w:rFonts w:ascii="Calibri" w:eastAsia="Calibri" w:hAnsi="Calibri"/>
      <w:sz w:val="22"/>
      <w:szCs w:val="22"/>
      <w:lang w:val="es-ES" w:eastAsia="es-ES"/>
    </w:rPr>
  </w:style>
  <w:style w:type="character" w:customStyle="1" w:styleId="EstiloCar">
    <w:name w:val="Estilo Car"/>
    <w:link w:val="Estilo"/>
    <w:rsid w:val="0008023A"/>
    <w:rPr>
      <w:rFonts w:ascii="Arial" w:hAnsi="Arial"/>
      <w:szCs w:val="22"/>
      <w:lang w:val="es-ES" w:eastAsia="es-ES"/>
    </w:rPr>
  </w:style>
  <w:style w:type="character" w:customStyle="1" w:styleId="TextodegloboCar1">
    <w:name w:val="Texto de globo Car1"/>
    <w:uiPriority w:val="99"/>
    <w:semiHidden/>
    <w:rsid w:val="0008023A"/>
    <w:rPr>
      <w:rFonts w:ascii="Tahoma" w:hAnsi="Tahoma" w:cs="Tahoma"/>
      <w:sz w:val="16"/>
      <w:szCs w:val="16"/>
    </w:rPr>
  </w:style>
  <w:style w:type="character" w:customStyle="1" w:styleId="TtuloCar2">
    <w:name w:val="Título Car2"/>
    <w:link w:val="Ttulo"/>
    <w:uiPriority w:val="99"/>
    <w:rsid w:val="0008023A"/>
    <w:rPr>
      <w:rFonts w:ascii="Cambria" w:hAnsi="Cambria"/>
      <w:color w:val="17365D"/>
      <w:spacing w:val="5"/>
      <w:kern w:val="28"/>
      <w:sz w:val="52"/>
      <w:szCs w:val="52"/>
      <w:lang w:val="es-ES" w:eastAsia="es-ES"/>
    </w:rPr>
  </w:style>
  <w:style w:type="character" w:styleId="Ttulodellibro">
    <w:name w:val="Book Title"/>
    <w:uiPriority w:val="33"/>
    <w:qFormat/>
    <w:rsid w:val="0008023A"/>
    <w:rPr>
      <w:b/>
      <w:bCs/>
      <w:smallCaps/>
      <w:spacing w:val="5"/>
    </w:rPr>
  </w:style>
  <w:style w:type="character" w:styleId="Referenciasutil">
    <w:name w:val="Subtle Reference"/>
    <w:uiPriority w:val="31"/>
    <w:qFormat/>
    <w:rsid w:val="0008023A"/>
    <w:rPr>
      <w:smallCaps/>
      <w:color w:val="C0504D"/>
      <w:u w:val="single"/>
    </w:rPr>
  </w:style>
  <w:style w:type="paragraph" w:customStyle="1" w:styleId="Estilo2">
    <w:name w:val="Estilo2"/>
    <w:basedOn w:val="Estilo"/>
    <w:link w:val="Estilo2Car"/>
    <w:rsid w:val="0008023A"/>
    <w:pPr>
      <w:spacing w:line="360" w:lineRule="auto"/>
    </w:pPr>
  </w:style>
  <w:style w:type="character" w:customStyle="1" w:styleId="Estilo2Car">
    <w:name w:val="Estilo2 Car"/>
    <w:link w:val="Estilo2"/>
    <w:rsid w:val="0008023A"/>
    <w:rPr>
      <w:rFonts w:ascii="Arial" w:hAnsi="Arial"/>
      <w:szCs w:val="22"/>
      <w:lang w:val="es-ES" w:eastAsia="es-ES"/>
    </w:rPr>
  </w:style>
  <w:style w:type="paragraph" w:customStyle="1" w:styleId="WW-BodyText2">
    <w:name w:val="WW-Body Text 2"/>
    <w:basedOn w:val="Normal"/>
    <w:uiPriority w:val="99"/>
    <w:rsid w:val="0008023A"/>
    <w:pPr>
      <w:suppressAutoHyphens/>
      <w:ind w:right="424"/>
      <w:jc w:val="both"/>
    </w:pPr>
    <w:rPr>
      <w:rFonts w:ascii="Arial" w:hAnsi="Arial" w:cs="Arial"/>
      <w:szCs w:val="20"/>
      <w:lang w:val="es-ES_tradnl" w:eastAsia="ar-SA"/>
    </w:rPr>
  </w:style>
  <w:style w:type="character" w:customStyle="1" w:styleId="AsuntodelcomentarioCar1">
    <w:name w:val="Asunto del comentario Car1"/>
    <w:basedOn w:val="TextocomentarioCar"/>
    <w:uiPriority w:val="99"/>
    <w:rsid w:val="0008023A"/>
    <w:rPr>
      <w:rFonts w:ascii="Calibri" w:eastAsia="Times New Roman" w:hAnsi="Calibri" w:cs="Times New Roman"/>
      <w:b/>
      <w:bCs/>
      <w:sz w:val="20"/>
      <w:szCs w:val="20"/>
      <w:lang w:val="es-ES" w:eastAsia="es-ES"/>
    </w:rPr>
  </w:style>
  <w:style w:type="paragraph" w:customStyle="1" w:styleId="Textoindependiente22">
    <w:name w:val="Texto independiente 22"/>
    <w:basedOn w:val="Normal"/>
    <w:uiPriority w:val="99"/>
    <w:rsid w:val="0008023A"/>
    <w:pPr>
      <w:overflowPunct w:val="0"/>
      <w:autoSpaceDE w:val="0"/>
      <w:autoSpaceDN w:val="0"/>
      <w:adjustRightInd w:val="0"/>
      <w:ind w:right="424"/>
      <w:jc w:val="both"/>
      <w:textAlignment w:val="baseline"/>
    </w:pPr>
    <w:rPr>
      <w:rFonts w:ascii="Arial" w:hAnsi="Arial"/>
      <w:szCs w:val="20"/>
      <w:lang w:val="es-ES_tradnl"/>
    </w:rPr>
  </w:style>
  <w:style w:type="paragraph" w:styleId="Sangra3detindependiente">
    <w:name w:val="Body Text Indent 3"/>
    <w:basedOn w:val="Normal"/>
    <w:link w:val="Sangra3detindependienteCar"/>
    <w:uiPriority w:val="99"/>
    <w:rsid w:val="0008023A"/>
    <w:pPr>
      <w:spacing w:after="120"/>
      <w:ind w:left="283"/>
    </w:pPr>
    <w:rPr>
      <w:sz w:val="16"/>
      <w:szCs w:val="16"/>
      <w:lang w:val="es-MX" w:eastAsia="es-MX"/>
    </w:rPr>
  </w:style>
  <w:style w:type="character" w:customStyle="1" w:styleId="Sangra3detindependienteCar">
    <w:name w:val="Sangría 3 de t. independiente Car"/>
    <w:basedOn w:val="Fuentedeprrafopredeter"/>
    <w:link w:val="Sangra3detindependiente"/>
    <w:uiPriority w:val="99"/>
    <w:rsid w:val="0008023A"/>
    <w:rPr>
      <w:sz w:val="16"/>
      <w:szCs w:val="16"/>
    </w:rPr>
  </w:style>
  <w:style w:type="paragraph" w:customStyle="1" w:styleId="xl30">
    <w:name w:val="xl30"/>
    <w:basedOn w:val="Normal"/>
    <w:uiPriority w:val="99"/>
    <w:rsid w:val="0008023A"/>
    <w:pPr>
      <w:spacing w:before="100" w:beforeAutospacing="1" w:after="100" w:afterAutospacing="1"/>
    </w:pPr>
    <w:rPr>
      <w:rFonts w:ascii="Arial" w:eastAsia="Arial Unicode MS" w:hAnsi="Arial" w:cs="Arial"/>
    </w:rPr>
  </w:style>
  <w:style w:type="character" w:customStyle="1" w:styleId="SinespaciadoCar">
    <w:name w:val="Sin espaciado Car"/>
    <w:link w:val="Sinespaciado"/>
    <w:uiPriority w:val="1"/>
    <w:rsid w:val="0008023A"/>
    <w:rPr>
      <w:rFonts w:ascii="Calibri" w:eastAsia="Calibri" w:hAnsi="Calibri"/>
      <w:sz w:val="22"/>
      <w:szCs w:val="22"/>
      <w:lang w:val="es-ES" w:eastAsia="es-ES"/>
    </w:rPr>
  </w:style>
  <w:style w:type="character" w:customStyle="1" w:styleId="ANOTACIONCar">
    <w:name w:val="ANOTACION Car"/>
    <w:link w:val="ANOTACION"/>
    <w:locked/>
    <w:rsid w:val="0008023A"/>
    <w:rPr>
      <w:b/>
      <w:bCs/>
      <w:lang w:eastAsia="es-ES"/>
    </w:rPr>
  </w:style>
  <w:style w:type="paragraph" w:customStyle="1" w:styleId="ANOTACION">
    <w:name w:val="ANOTACION"/>
    <w:basedOn w:val="Normal"/>
    <w:link w:val="ANOTACIONCar"/>
    <w:rsid w:val="0008023A"/>
    <w:pPr>
      <w:spacing w:before="101" w:after="101" w:line="216" w:lineRule="atLeast"/>
      <w:jc w:val="center"/>
    </w:pPr>
    <w:rPr>
      <w:b/>
      <w:bCs/>
      <w:sz w:val="20"/>
      <w:szCs w:val="20"/>
      <w:lang w:val="es-MX"/>
    </w:rPr>
  </w:style>
  <w:style w:type="character" w:customStyle="1" w:styleId="estilocorreo34">
    <w:name w:val="estilocorreo34"/>
    <w:semiHidden/>
    <w:rsid w:val="0008023A"/>
    <w:rPr>
      <w:rFonts w:ascii="Calibri" w:hAnsi="Calibri" w:cs="Calibri" w:hint="default"/>
      <w:color w:val="auto"/>
    </w:rPr>
  </w:style>
  <w:style w:type="numbering" w:customStyle="1" w:styleId="Sinlista111">
    <w:name w:val="Sin lista111"/>
    <w:next w:val="Sinlista"/>
    <w:uiPriority w:val="99"/>
    <w:semiHidden/>
    <w:unhideWhenUsed/>
    <w:rsid w:val="0008023A"/>
  </w:style>
  <w:style w:type="table" w:customStyle="1" w:styleId="Tablaconcuadrcula1">
    <w:name w:val="Tabla con cuadrícula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8">
    <w:name w:val="xl98"/>
    <w:basedOn w:val="Normal"/>
    <w:uiPriority w:val="99"/>
    <w:rsid w:val="0008023A"/>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99">
    <w:name w:val="xl99"/>
    <w:basedOn w:val="Normal"/>
    <w:uiPriority w:val="99"/>
    <w:rsid w:val="0008023A"/>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00">
    <w:name w:val="xl100"/>
    <w:basedOn w:val="Normal"/>
    <w:uiPriority w:val="99"/>
    <w:rsid w:val="0008023A"/>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01">
    <w:name w:val="xl101"/>
    <w:basedOn w:val="Normal"/>
    <w:uiPriority w:val="99"/>
    <w:rsid w:val="0008023A"/>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02">
    <w:name w:val="xl102"/>
    <w:basedOn w:val="Normal"/>
    <w:uiPriority w:val="99"/>
    <w:rsid w:val="0008023A"/>
    <w:pPr>
      <w:pBdr>
        <w:top w:val="single" w:sz="8" w:space="0" w:color="auto"/>
      </w:pBdr>
      <w:spacing w:before="100" w:beforeAutospacing="1" w:after="100" w:afterAutospacing="1"/>
      <w:textAlignment w:val="top"/>
    </w:pPr>
    <w:rPr>
      <w:lang w:val="es-MX" w:eastAsia="es-MX"/>
    </w:rPr>
  </w:style>
  <w:style w:type="paragraph" w:customStyle="1" w:styleId="xl103">
    <w:name w:val="xl103"/>
    <w:basedOn w:val="Normal"/>
    <w:uiPriority w:val="99"/>
    <w:rsid w:val="0008023A"/>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04">
    <w:name w:val="xl104"/>
    <w:basedOn w:val="Normal"/>
    <w:uiPriority w:val="99"/>
    <w:rsid w:val="0008023A"/>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05">
    <w:name w:val="xl105"/>
    <w:basedOn w:val="Normal"/>
    <w:uiPriority w:val="99"/>
    <w:rsid w:val="0008023A"/>
    <w:pPr>
      <w:pBdr>
        <w:bottom w:val="single" w:sz="8" w:space="0" w:color="auto"/>
      </w:pBdr>
      <w:spacing w:before="100" w:beforeAutospacing="1" w:after="100" w:afterAutospacing="1"/>
      <w:textAlignment w:val="top"/>
    </w:pPr>
    <w:rPr>
      <w:lang w:val="es-MX" w:eastAsia="es-MX"/>
    </w:rPr>
  </w:style>
  <w:style w:type="paragraph" w:customStyle="1" w:styleId="xl106">
    <w:name w:val="xl106"/>
    <w:basedOn w:val="Normal"/>
    <w:uiPriority w:val="99"/>
    <w:rsid w:val="0008023A"/>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7">
    <w:name w:val="xl107"/>
    <w:basedOn w:val="Normal"/>
    <w:uiPriority w:val="99"/>
    <w:rsid w:val="0008023A"/>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8">
    <w:name w:val="xl108"/>
    <w:basedOn w:val="Normal"/>
    <w:uiPriority w:val="99"/>
    <w:rsid w:val="0008023A"/>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09">
    <w:name w:val="xl109"/>
    <w:basedOn w:val="Normal"/>
    <w:uiPriority w:val="99"/>
    <w:rsid w:val="0008023A"/>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10">
    <w:name w:val="xl110"/>
    <w:basedOn w:val="Normal"/>
    <w:uiPriority w:val="99"/>
    <w:rsid w:val="0008023A"/>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1">
    <w:name w:val="xl111"/>
    <w:basedOn w:val="Normal"/>
    <w:uiPriority w:val="99"/>
    <w:rsid w:val="0008023A"/>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2">
    <w:name w:val="xl112"/>
    <w:basedOn w:val="Normal"/>
    <w:uiPriority w:val="99"/>
    <w:rsid w:val="0008023A"/>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13">
    <w:name w:val="xl113"/>
    <w:basedOn w:val="Normal"/>
    <w:uiPriority w:val="99"/>
    <w:rsid w:val="0008023A"/>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14">
    <w:name w:val="xl114"/>
    <w:basedOn w:val="Normal"/>
    <w:uiPriority w:val="99"/>
    <w:rsid w:val="0008023A"/>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5">
    <w:name w:val="xl115"/>
    <w:basedOn w:val="Normal"/>
    <w:uiPriority w:val="99"/>
    <w:rsid w:val="0008023A"/>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6">
    <w:name w:val="xl116"/>
    <w:basedOn w:val="Normal"/>
    <w:uiPriority w:val="99"/>
    <w:rsid w:val="0008023A"/>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7">
    <w:name w:val="xl117"/>
    <w:basedOn w:val="Normal"/>
    <w:uiPriority w:val="99"/>
    <w:rsid w:val="0008023A"/>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8">
    <w:name w:val="xl118"/>
    <w:basedOn w:val="Normal"/>
    <w:uiPriority w:val="99"/>
    <w:rsid w:val="0008023A"/>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9">
    <w:name w:val="xl119"/>
    <w:basedOn w:val="Normal"/>
    <w:uiPriority w:val="99"/>
    <w:rsid w:val="0008023A"/>
    <w:pPr>
      <w:pBdr>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0">
    <w:name w:val="xl120"/>
    <w:basedOn w:val="Normal"/>
    <w:uiPriority w:val="99"/>
    <w:rsid w:val="0008023A"/>
    <w:pPr>
      <w:pBdr>
        <w:bottom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1">
    <w:name w:val="xl121"/>
    <w:basedOn w:val="Normal"/>
    <w:uiPriority w:val="99"/>
    <w:rsid w:val="0008023A"/>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2">
    <w:name w:val="xl122"/>
    <w:basedOn w:val="Normal"/>
    <w:uiPriority w:val="99"/>
    <w:rsid w:val="0008023A"/>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3">
    <w:name w:val="xl123"/>
    <w:basedOn w:val="Normal"/>
    <w:uiPriority w:val="99"/>
    <w:rsid w:val="0008023A"/>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4">
    <w:name w:val="xl124"/>
    <w:basedOn w:val="Normal"/>
    <w:uiPriority w:val="99"/>
    <w:rsid w:val="0008023A"/>
    <w:pPr>
      <w:pBdr>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25">
    <w:name w:val="xl125"/>
    <w:basedOn w:val="Normal"/>
    <w:uiPriority w:val="99"/>
    <w:rsid w:val="0008023A"/>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6">
    <w:name w:val="xl126"/>
    <w:basedOn w:val="Normal"/>
    <w:uiPriority w:val="99"/>
    <w:rsid w:val="0008023A"/>
    <w:pPr>
      <w:pBdr>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7">
    <w:name w:val="xl127"/>
    <w:basedOn w:val="Normal"/>
    <w:uiPriority w:val="99"/>
    <w:rsid w:val="0008023A"/>
    <w:pPr>
      <w:pBdr>
        <w:bottom w:val="single" w:sz="8" w:space="0" w:color="auto"/>
        <w:right w:val="single" w:sz="8" w:space="0" w:color="auto"/>
      </w:pBdr>
      <w:spacing w:before="100" w:beforeAutospacing="1" w:after="100" w:afterAutospacing="1"/>
      <w:textAlignment w:val="center"/>
    </w:pPr>
    <w:rPr>
      <w:color w:val="000000"/>
      <w:sz w:val="18"/>
      <w:szCs w:val="18"/>
      <w:lang w:val="es-MX" w:eastAsia="es-MX"/>
    </w:rPr>
  </w:style>
  <w:style w:type="paragraph" w:customStyle="1" w:styleId="xl128">
    <w:name w:val="xl128"/>
    <w:basedOn w:val="Normal"/>
    <w:uiPriority w:val="99"/>
    <w:rsid w:val="0008023A"/>
    <w:pPr>
      <w:pBdr>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9">
    <w:name w:val="xl129"/>
    <w:basedOn w:val="Normal"/>
    <w:uiPriority w:val="99"/>
    <w:rsid w:val="0008023A"/>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0">
    <w:name w:val="xl130"/>
    <w:basedOn w:val="Normal"/>
    <w:uiPriority w:val="99"/>
    <w:rsid w:val="0008023A"/>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1">
    <w:name w:val="xl131"/>
    <w:basedOn w:val="Normal"/>
    <w:uiPriority w:val="99"/>
    <w:rsid w:val="0008023A"/>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2">
    <w:name w:val="xl132"/>
    <w:basedOn w:val="Normal"/>
    <w:uiPriority w:val="99"/>
    <w:rsid w:val="0008023A"/>
    <w:pPr>
      <w:pBdr>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3">
    <w:name w:val="xl133"/>
    <w:basedOn w:val="Normal"/>
    <w:uiPriority w:val="99"/>
    <w:rsid w:val="0008023A"/>
    <w:pPr>
      <w:pBdr>
        <w:bottom w:val="single" w:sz="8" w:space="0" w:color="auto"/>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4">
    <w:name w:val="xl134"/>
    <w:basedOn w:val="Normal"/>
    <w:uiPriority w:val="99"/>
    <w:rsid w:val="0008023A"/>
    <w:pPr>
      <w:pBdr>
        <w:left w:val="single" w:sz="8" w:space="0" w:color="auto"/>
        <w:bottom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35">
    <w:name w:val="xl135"/>
    <w:basedOn w:val="Normal"/>
    <w:uiPriority w:val="99"/>
    <w:rsid w:val="0008023A"/>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36">
    <w:name w:val="xl136"/>
    <w:basedOn w:val="Normal"/>
    <w:uiPriority w:val="99"/>
    <w:rsid w:val="0008023A"/>
    <w:pPr>
      <w:pBdr>
        <w:top w:val="single" w:sz="8" w:space="0" w:color="auto"/>
        <w:lef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7">
    <w:name w:val="xl137"/>
    <w:basedOn w:val="Normal"/>
    <w:uiPriority w:val="99"/>
    <w:rsid w:val="0008023A"/>
    <w:pPr>
      <w:pBdr>
        <w:top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8">
    <w:name w:val="xl138"/>
    <w:basedOn w:val="Normal"/>
    <w:uiPriority w:val="99"/>
    <w:rsid w:val="0008023A"/>
    <w:pPr>
      <w:pBdr>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9">
    <w:name w:val="xl139"/>
    <w:basedOn w:val="Normal"/>
    <w:uiPriority w:val="99"/>
    <w:rsid w:val="0008023A"/>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0">
    <w:name w:val="xl140"/>
    <w:basedOn w:val="Normal"/>
    <w:uiPriority w:val="99"/>
    <w:rsid w:val="0008023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41">
    <w:name w:val="xl141"/>
    <w:basedOn w:val="Normal"/>
    <w:uiPriority w:val="99"/>
    <w:rsid w:val="0008023A"/>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42">
    <w:name w:val="xl142"/>
    <w:basedOn w:val="Normal"/>
    <w:uiPriority w:val="99"/>
    <w:rsid w:val="0008023A"/>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3">
    <w:name w:val="xl143"/>
    <w:basedOn w:val="Normal"/>
    <w:uiPriority w:val="99"/>
    <w:rsid w:val="0008023A"/>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4">
    <w:name w:val="xl144"/>
    <w:basedOn w:val="Normal"/>
    <w:uiPriority w:val="99"/>
    <w:rsid w:val="0008023A"/>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5">
    <w:name w:val="xl145"/>
    <w:basedOn w:val="Normal"/>
    <w:uiPriority w:val="99"/>
    <w:rsid w:val="0008023A"/>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6">
    <w:name w:val="xl146"/>
    <w:basedOn w:val="Normal"/>
    <w:uiPriority w:val="99"/>
    <w:rsid w:val="0008023A"/>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47">
    <w:name w:val="xl147"/>
    <w:basedOn w:val="Normal"/>
    <w:uiPriority w:val="99"/>
    <w:rsid w:val="0008023A"/>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48">
    <w:name w:val="xl148"/>
    <w:basedOn w:val="Normal"/>
    <w:uiPriority w:val="99"/>
    <w:rsid w:val="0008023A"/>
    <w:pPr>
      <w:pBdr>
        <w:top w:val="single" w:sz="8" w:space="0" w:color="auto"/>
      </w:pBdr>
      <w:spacing w:before="100" w:beforeAutospacing="1" w:after="100" w:afterAutospacing="1"/>
      <w:textAlignment w:val="top"/>
    </w:pPr>
    <w:rPr>
      <w:lang w:val="es-MX" w:eastAsia="es-MX"/>
    </w:rPr>
  </w:style>
  <w:style w:type="paragraph" w:customStyle="1" w:styleId="xl149">
    <w:name w:val="xl149"/>
    <w:basedOn w:val="Normal"/>
    <w:uiPriority w:val="99"/>
    <w:rsid w:val="0008023A"/>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50">
    <w:name w:val="xl150"/>
    <w:basedOn w:val="Normal"/>
    <w:uiPriority w:val="99"/>
    <w:rsid w:val="0008023A"/>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51">
    <w:name w:val="xl151"/>
    <w:basedOn w:val="Normal"/>
    <w:uiPriority w:val="99"/>
    <w:rsid w:val="0008023A"/>
    <w:pPr>
      <w:pBdr>
        <w:bottom w:val="single" w:sz="8" w:space="0" w:color="auto"/>
      </w:pBdr>
      <w:spacing w:before="100" w:beforeAutospacing="1" w:after="100" w:afterAutospacing="1"/>
      <w:textAlignment w:val="top"/>
    </w:pPr>
    <w:rPr>
      <w:lang w:val="es-MX" w:eastAsia="es-MX"/>
    </w:rPr>
  </w:style>
  <w:style w:type="paragraph" w:customStyle="1" w:styleId="xl152">
    <w:name w:val="xl152"/>
    <w:basedOn w:val="Normal"/>
    <w:uiPriority w:val="99"/>
    <w:rsid w:val="0008023A"/>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3">
    <w:name w:val="xl153"/>
    <w:basedOn w:val="Normal"/>
    <w:uiPriority w:val="99"/>
    <w:rsid w:val="0008023A"/>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4">
    <w:name w:val="xl154"/>
    <w:basedOn w:val="Normal"/>
    <w:uiPriority w:val="99"/>
    <w:rsid w:val="0008023A"/>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55">
    <w:name w:val="xl155"/>
    <w:basedOn w:val="Normal"/>
    <w:uiPriority w:val="99"/>
    <w:rsid w:val="0008023A"/>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56">
    <w:name w:val="xl156"/>
    <w:basedOn w:val="Normal"/>
    <w:uiPriority w:val="99"/>
    <w:rsid w:val="0008023A"/>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7">
    <w:name w:val="xl157"/>
    <w:basedOn w:val="Normal"/>
    <w:uiPriority w:val="99"/>
    <w:rsid w:val="0008023A"/>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8">
    <w:name w:val="xl158"/>
    <w:basedOn w:val="Normal"/>
    <w:uiPriority w:val="99"/>
    <w:rsid w:val="0008023A"/>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59">
    <w:name w:val="xl159"/>
    <w:basedOn w:val="Normal"/>
    <w:uiPriority w:val="99"/>
    <w:rsid w:val="0008023A"/>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60">
    <w:name w:val="xl160"/>
    <w:basedOn w:val="Normal"/>
    <w:uiPriority w:val="99"/>
    <w:rsid w:val="0008023A"/>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1">
    <w:name w:val="xl161"/>
    <w:basedOn w:val="Normal"/>
    <w:uiPriority w:val="99"/>
    <w:rsid w:val="0008023A"/>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2">
    <w:name w:val="xl162"/>
    <w:basedOn w:val="Normal"/>
    <w:uiPriority w:val="99"/>
    <w:rsid w:val="0008023A"/>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ecxmsonormal">
    <w:name w:val="ecxmsonormal"/>
    <w:basedOn w:val="Normal"/>
    <w:uiPriority w:val="99"/>
    <w:rsid w:val="0008023A"/>
    <w:pPr>
      <w:spacing w:after="324"/>
    </w:pPr>
    <w:rPr>
      <w:lang w:val="es-MX" w:eastAsia="es-MX"/>
    </w:rPr>
  </w:style>
  <w:style w:type="paragraph" w:customStyle="1" w:styleId="font5">
    <w:name w:val="font5"/>
    <w:basedOn w:val="Normal"/>
    <w:uiPriority w:val="99"/>
    <w:rsid w:val="0008023A"/>
    <w:pP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uiPriority w:val="99"/>
    <w:rsid w:val="0008023A"/>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4">
    <w:name w:val="xl164"/>
    <w:basedOn w:val="Normal"/>
    <w:uiPriority w:val="99"/>
    <w:rsid w:val="0008023A"/>
    <w:pPr>
      <w:pBdr>
        <w:top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5">
    <w:name w:val="xl165"/>
    <w:basedOn w:val="Normal"/>
    <w:uiPriority w:val="99"/>
    <w:rsid w:val="0008023A"/>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6">
    <w:name w:val="xl166"/>
    <w:basedOn w:val="Normal"/>
    <w:uiPriority w:val="99"/>
    <w:rsid w:val="0008023A"/>
    <w:pPr>
      <w:pBdr>
        <w:top w:val="single" w:sz="8" w:space="0" w:color="333333"/>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7">
    <w:name w:val="xl167"/>
    <w:basedOn w:val="Normal"/>
    <w:uiPriority w:val="99"/>
    <w:rsid w:val="0008023A"/>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8">
    <w:name w:val="xl168"/>
    <w:basedOn w:val="Normal"/>
    <w:uiPriority w:val="99"/>
    <w:rsid w:val="0008023A"/>
    <w:pPr>
      <w:pBdr>
        <w:top w:val="single" w:sz="8" w:space="0" w:color="333333"/>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9">
    <w:name w:val="xl169"/>
    <w:basedOn w:val="Normal"/>
    <w:uiPriority w:val="99"/>
    <w:rsid w:val="0008023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0">
    <w:name w:val="xl170"/>
    <w:basedOn w:val="Normal"/>
    <w:uiPriority w:val="99"/>
    <w:rsid w:val="0008023A"/>
    <w:pPr>
      <w:pBdr>
        <w:top w:val="single" w:sz="8" w:space="0" w:color="auto"/>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1">
    <w:name w:val="xl171"/>
    <w:basedOn w:val="Normal"/>
    <w:uiPriority w:val="99"/>
    <w:rsid w:val="0008023A"/>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2">
    <w:name w:val="xl172"/>
    <w:basedOn w:val="Normal"/>
    <w:uiPriority w:val="99"/>
    <w:rsid w:val="0008023A"/>
    <w:pPr>
      <w:pBdr>
        <w:top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3">
    <w:name w:val="xl173"/>
    <w:basedOn w:val="Normal"/>
    <w:uiPriority w:val="99"/>
    <w:rsid w:val="0008023A"/>
    <w:pPr>
      <w:pBdr>
        <w:top w:val="single" w:sz="8" w:space="0" w:color="auto"/>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4">
    <w:name w:val="xl174"/>
    <w:basedOn w:val="Normal"/>
    <w:uiPriority w:val="99"/>
    <w:rsid w:val="0008023A"/>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5">
    <w:name w:val="xl175"/>
    <w:basedOn w:val="Normal"/>
    <w:uiPriority w:val="99"/>
    <w:rsid w:val="0008023A"/>
    <w:pPr>
      <w:pBdr>
        <w:top w:val="single" w:sz="8" w:space="0" w:color="333333"/>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6">
    <w:name w:val="xl176"/>
    <w:basedOn w:val="Normal"/>
    <w:uiPriority w:val="99"/>
    <w:rsid w:val="0008023A"/>
    <w:pPr>
      <w:pBdr>
        <w:top w:val="single" w:sz="8" w:space="0" w:color="333333"/>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7">
    <w:name w:val="xl177"/>
    <w:basedOn w:val="Normal"/>
    <w:uiPriority w:val="99"/>
    <w:rsid w:val="0008023A"/>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8">
    <w:name w:val="xl178"/>
    <w:basedOn w:val="Normal"/>
    <w:uiPriority w:val="99"/>
    <w:rsid w:val="0008023A"/>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9">
    <w:name w:val="xl179"/>
    <w:basedOn w:val="Normal"/>
    <w:uiPriority w:val="99"/>
    <w:rsid w:val="0008023A"/>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0">
    <w:name w:val="xl180"/>
    <w:basedOn w:val="Normal"/>
    <w:uiPriority w:val="99"/>
    <w:rsid w:val="0008023A"/>
    <w:pPr>
      <w:pBdr>
        <w:top w:val="single" w:sz="8" w:space="0" w:color="333333"/>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1">
    <w:name w:val="xl181"/>
    <w:basedOn w:val="Normal"/>
    <w:uiPriority w:val="99"/>
    <w:rsid w:val="0008023A"/>
    <w:pPr>
      <w:pBdr>
        <w:top w:val="single" w:sz="8" w:space="0" w:color="333333"/>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2">
    <w:name w:val="xl182"/>
    <w:basedOn w:val="Normal"/>
    <w:uiPriority w:val="99"/>
    <w:rsid w:val="0008023A"/>
    <w:pPr>
      <w:pBdr>
        <w:top w:val="single" w:sz="8" w:space="0" w:color="auto"/>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3">
    <w:name w:val="xl183"/>
    <w:basedOn w:val="Normal"/>
    <w:uiPriority w:val="99"/>
    <w:rsid w:val="0008023A"/>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4">
    <w:name w:val="xl184"/>
    <w:basedOn w:val="Normal"/>
    <w:uiPriority w:val="99"/>
    <w:rsid w:val="0008023A"/>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5">
    <w:name w:val="xl185"/>
    <w:basedOn w:val="Normal"/>
    <w:uiPriority w:val="99"/>
    <w:rsid w:val="0008023A"/>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6">
    <w:name w:val="xl186"/>
    <w:basedOn w:val="Normal"/>
    <w:uiPriority w:val="99"/>
    <w:rsid w:val="0008023A"/>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7">
    <w:name w:val="xl187"/>
    <w:basedOn w:val="Normal"/>
    <w:uiPriority w:val="99"/>
    <w:rsid w:val="0008023A"/>
    <w:pPr>
      <w:pBdr>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8">
    <w:name w:val="xl188"/>
    <w:basedOn w:val="Normal"/>
    <w:uiPriority w:val="99"/>
    <w:rsid w:val="0008023A"/>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9">
    <w:name w:val="xl189"/>
    <w:basedOn w:val="Normal"/>
    <w:uiPriority w:val="99"/>
    <w:rsid w:val="0008023A"/>
    <w:pPr>
      <w:pBdr>
        <w:right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0">
    <w:name w:val="xl190"/>
    <w:basedOn w:val="Normal"/>
    <w:uiPriority w:val="99"/>
    <w:rsid w:val="0008023A"/>
    <w:pPr>
      <w:pBdr>
        <w:top w:val="single" w:sz="8" w:space="0" w:color="auto"/>
        <w:lef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1">
    <w:name w:val="xl191"/>
    <w:basedOn w:val="Normal"/>
    <w:uiPriority w:val="99"/>
    <w:rsid w:val="0008023A"/>
    <w:pPr>
      <w:pBdr>
        <w:top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2">
    <w:name w:val="xl192"/>
    <w:basedOn w:val="Normal"/>
    <w:uiPriority w:val="99"/>
    <w:rsid w:val="0008023A"/>
    <w:pPr>
      <w:pBdr>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3">
    <w:name w:val="xl193"/>
    <w:basedOn w:val="Normal"/>
    <w:uiPriority w:val="99"/>
    <w:rsid w:val="0008023A"/>
    <w:pPr>
      <w:pBdr>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4">
    <w:name w:val="xl194"/>
    <w:basedOn w:val="Normal"/>
    <w:uiPriority w:val="99"/>
    <w:rsid w:val="0008023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5">
    <w:name w:val="xl195"/>
    <w:basedOn w:val="Normal"/>
    <w:uiPriority w:val="99"/>
    <w:rsid w:val="0008023A"/>
    <w:pPr>
      <w:pBdr>
        <w:top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6">
    <w:name w:val="xl196"/>
    <w:basedOn w:val="Normal"/>
    <w:uiPriority w:val="99"/>
    <w:rsid w:val="0008023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7">
    <w:name w:val="xl197"/>
    <w:basedOn w:val="Normal"/>
    <w:uiPriority w:val="99"/>
    <w:rsid w:val="0008023A"/>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8">
    <w:name w:val="xl198"/>
    <w:basedOn w:val="Normal"/>
    <w:uiPriority w:val="99"/>
    <w:rsid w:val="0008023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9">
    <w:name w:val="xl199"/>
    <w:basedOn w:val="Normal"/>
    <w:uiPriority w:val="99"/>
    <w:rsid w:val="0008023A"/>
    <w:pPr>
      <w:pBdr>
        <w:bottom w:val="single" w:sz="8" w:space="0" w:color="333333"/>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0">
    <w:name w:val="xl200"/>
    <w:basedOn w:val="Normal"/>
    <w:uiPriority w:val="99"/>
    <w:rsid w:val="0008023A"/>
    <w:pPr>
      <w:pBdr>
        <w:bottom w:val="single" w:sz="8" w:space="0" w:color="333333"/>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1">
    <w:name w:val="xl201"/>
    <w:basedOn w:val="Normal"/>
    <w:uiPriority w:val="99"/>
    <w:rsid w:val="0008023A"/>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2">
    <w:name w:val="xl202"/>
    <w:basedOn w:val="Normal"/>
    <w:uiPriority w:val="99"/>
    <w:rsid w:val="0008023A"/>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3">
    <w:name w:val="xl203"/>
    <w:basedOn w:val="Normal"/>
    <w:uiPriority w:val="99"/>
    <w:rsid w:val="0008023A"/>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4">
    <w:name w:val="xl204"/>
    <w:basedOn w:val="Normal"/>
    <w:uiPriority w:val="99"/>
    <w:rsid w:val="0008023A"/>
    <w:pPr>
      <w:pBdr>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5">
    <w:name w:val="xl205"/>
    <w:basedOn w:val="Normal"/>
    <w:uiPriority w:val="99"/>
    <w:rsid w:val="0008023A"/>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b/>
      <w:bCs/>
      <w:color w:val="000000"/>
      <w:sz w:val="20"/>
      <w:szCs w:val="20"/>
      <w:lang w:val="es-MX" w:eastAsia="es-MX"/>
    </w:rPr>
  </w:style>
  <w:style w:type="paragraph" w:customStyle="1" w:styleId="xl206">
    <w:name w:val="xl206"/>
    <w:basedOn w:val="Normal"/>
    <w:uiPriority w:val="99"/>
    <w:rsid w:val="0008023A"/>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color w:val="000000"/>
      <w:sz w:val="20"/>
      <w:szCs w:val="20"/>
      <w:lang w:val="es-MX" w:eastAsia="es-MX"/>
    </w:rPr>
  </w:style>
  <w:style w:type="paragraph" w:customStyle="1" w:styleId="xl207">
    <w:name w:val="xl207"/>
    <w:basedOn w:val="Normal"/>
    <w:uiPriority w:val="99"/>
    <w:rsid w:val="0008023A"/>
    <w:pPr>
      <w:pBdr>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8">
    <w:name w:val="xl208"/>
    <w:basedOn w:val="Normal"/>
    <w:uiPriority w:val="99"/>
    <w:rsid w:val="0008023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9">
    <w:name w:val="xl209"/>
    <w:basedOn w:val="Normal"/>
    <w:uiPriority w:val="99"/>
    <w:rsid w:val="0008023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0">
    <w:name w:val="xl210"/>
    <w:basedOn w:val="Normal"/>
    <w:uiPriority w:val="99"/>
    <w:rsid w:val="0008023A"/>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1">
    <w:name w:val="xl211"/>
    <w:basedOn w:val="Normal"/>
    <w:uiPriority w:val="99"/>
    <w:rsid w:val="0008023A"/>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2">
    <w:name w:val="xl212"/>
    <w:basedOn w:val="Normal"/>
    <w:uiPriority w:val="99"/>
    <w:rsid w:val="0008023A"/>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3">
    <w:name w:val="xl213"/>
    <w:basedOn w:val="Normal"/>
    <w:uiPriority w:val="99"/>
    <w:rsid w:val="0008023A"/>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4">
    <w:name w:val="xl214"/>
    <w:basedOn w:val="Normal"/>
    <w:uiPriority w:val="99"/>
    <w:rsid w:val="0008023A"/>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5">
    <w:name w:val="xl215"/>
    <w:basedOn w:val="Normal"/>
    <w:uiPriority w:val="99"/>
    <w:rsid w:val="0008023A"/>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6">
    <w:name w:val="xl216"/>
    <w:basedOn w:val="Normal"/>
    <w:uiPriority w:val="99"/>
    <w:rsid w:val="0008023A"/>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7">
    <w:name w:val="xl217"/>
    <w:basedOn w:val="Normal"/>
    <w:uiPriority w:val="99"/>
    <w:rsid w:val="0008023A"/>
    <w:pPr>
      <w:pBdr>
        <w:left w:val="single" w:sz="8" w:space="0" w:color="auto"/>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8">
    <w:name w:val="xl218"/>
    <w:basedOn w:val="Normal"/>
    <w:uiPriority w:val="99"/>
    <w:rsid w:val="0008023A"/>
    <w:pPr>
      <w:pBdr>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9">
    <w:name w:val="xl219"/>
    <w:basedOn w:val="Normal"/>
    <w:uiPriority w:val="99"/>
    <w:rsid w:val="0008023A"/>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0">
    <w:name w:val="xl220"/>
    <w:basedOn w:val="Normal"/>
    <w:uiPriority w:val="99"/>
    <w:rsid w:val="0008023A"/>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221">
    <w:name w:val="xl221"/>
    <w:basedOn w:val="Normal"/>
    <w:uiPriority w:val="99"/>
    <w:rsid w:val="0008023A"/>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character" w:customStyle="1" w:styleId="Absatz-Standardschriftart">
    <w:name w:val="Absatz-Standardschriftart"/>
    <w:rsid w:val="0008023A"/>
  </w:style>
  <w:style w:type="character" w:customStyle="1" w:styleId="WW-Absatz-Standardschriftart">
    <w:name w:val="WW-Absatz-Standardschriftart"/>
    <w:rsid w:val="0008023A"/>
  </w:style>
  <w:style w:type="character" w:customStyle="1" w:styleId="WW-Absatz-Standardschriftart1">
    <w:name w:val="WW-Absatz-Standardschriftart1"/>
    <w:rsid w:val="0008023A"/>
  </w:style>
  <w:style w:type="character" w:customStyle="1" w:styleId="WW-Absatz-Standardschriftart11">
    <w:name w:val="WW-Absatz-Standardschriftart11"/>
    <w:rsid w:val="0008023A"/>
  </w:style>
  <w:style w:type="character" w:customStyle="1" w:styleId="WW-Absatz-Standardschriftart111">
    <w:name w:val="WW-Absatz-Standardschriftart111"/>
    <w:rsid w:val="0008023A"/>
  </w:style>
  <w:style w:type="character" w:customStyle="1" w:styleId="WW8Num2z0">
    <w:name w:val="WW8Num2z0"/>
    <w:rsid w:val="0008023A"/>
    <w:rPr>
      <w:rFonts w:ascii="Wingdings" w:hAnsi="Wingdings" w:cs="Wingdings"/>
    </w:rPr>
  </w:style>
  <w:style w:type="character" w:customStyle="1" w:styleId="WW8Num3z0">
    <w:name w:val="WW8Num3z0"/>
    <w:rsid w:val="0008023A"/>
    <w:rPr>
      <w:rFonts w:ascii="Symbol" w:hAnsi="Symbol" w:cs="Symbol"/>
    </w:rPr>
  </w:style>
  <w:style w:type="character" w:customStyle="1" w:styleId="WW8Num3z1">
    <w:name w:val="WW8Num3z1"/>
    <w:rsid w:val="0008023A"/>
    <w:rPr>
      <w:rFonts w:ascii="Courier New" w:hAnsi="Courier New" w:cs="Courier New"/>
    </w:rPr>
  </w:style>
  <w:style w:type="character" w:customStyle="1" w:styleId="WW8Num3z2">
    <w:name w:val="WW8Num3z2"/>
    <w:rsid w:val="0008023A"/>
    <w:rPr>
      <w:rFonts w:ascii="Wingdings" w:hAnsi="Wingdings" w:cs="Wingdings"/>
    </w:rPr>
  </w:style>
  <w:style w:type="character" w:customStyle="1" w:styleId="WW8Num4z0">
    <w:name w:val="WW8Num4z0"/>
    <w:rsid w:val="0008023A"/>
    <w:rPr>
      <w:rFonts w:ascii="Symbol" w:hAnsi="Symbol" w:cs="Symbol"/>
    </w:rPr>
  </w:style>
  <w:style w:type="character" w:customStyle="1" w:styleId="WW8Num4z1">
    <w:name w:val="WW8Num4z1"/>
    <w:rsid w:val="0008023A"/>
    <w:rPr>
      <w:rFonts w:ascii="Courier New" w:hAnsi="Courier New" w:cs="Courier New"/>
    </w:rPr>
  </w:style>
  <w:style w:type="character" w:customStyle="1" w:styleId="WW8Num4z2">
    <w:name w:val="WW8Num4z2"/>
    <w:rsid w:val="0008023A"/>
    <w:rPr>
      <w:rFonts w:ascii="Wingdings" w:hAnsi="Wingdings" w:cs="Wingdings"/>
    </w:rPr>
  </w:style>
  <w:style w:type="character" w:customStyle="1" w:styleId="WW8Num5z0">
    <w:name w:val="WW8Num5z0"/>
    <w:rsid w:val="0008023A"/>
    <w:rPr>
      <w:rFonts w:ascii="Symbol" w:hAnsi="Symbol" w:cs="Symbol"/>
    </w:rPr>
  </w:style>
  <w:style w:type="character" w:customStyle="1" w:styleId="WW8Num5z1">
    <w:name w:val="WW8Num5z1"/>
    <w:rsid w:val="0008023A"/>
    <w:rPr>
      <w:rFonts w:ascii="Courier New" w:hAnsi="Courier New" w:cs="Courier New"/>
    </w:rPr>
  </w:style>
  <w:style w:type="character" w:customStyle="1" w:styleId="WW8Num5z2">
    <w:name w:val="WW8Num5z2"/>
    <w:rsid w:val="0008023A"/>
    <w:rPr>
      <w:rFonts w:ascii="Wingdings" w:hAnsi="Wingdings" w:cs="Wingdings"/>
    </w:rPr>
  </w:style>
  <w:style w:type="character" w:customStyle="1" w:styleId="WW8Num6z0">
    <w:name w:val="WW8Num6z0"/>
    <w:rsid w:val="0008023A"/>
    <w:rPr>
      <w:rFonts w:ascii="Symbol" w:hAnsi="Symbol" w:cs="Symbol"/>
    </w:rPr>
  </w:style>
  <w:style w:type="character" w:customStyle="1" w:styleId="WW8Num6z1">
    <w:name w:val="WW8Num6z1"/>
    <w:rsid w:val="0008023A"/>
    <w:rPr>
      <w:rFonts w:ascii="Courier New" w:hAnsi="Courier New" w:cs="Courier New"/>
    </w:rPr>
  </w:style>
  <w:style w:type="character" w:customStyle="1" w:styleId="WW8Num6z2">
    <w:name w:val="WW8Num6z2"/>
    <w:rsid w:val="0008023A"/>
    <w:rPr>
      <w:rFonts w:ascii="Wingdings" w:hAnsi="Wingdings" w:cs="Wingdings"/>
    </w:rPr>
  </w:style>
  <w:style w:type="character" w:customStyle="1" w:styleId="WW8Num7z0">
    <w:name w:val="WW8Num7z0"/>
    <w:rsid w:val="0008023A"/>
    <w:rPr>
      <w:rFonts w:ascii="Symbol" w:hAnsi="Symbol" w:cs="Symbol"/>
    </w:rPr>
  </w:style>
  <w:style w:type="character" w:customStyle="1" w:styleId="WW8Num8z0">
    <w:name w:val="WW8Num8z0"/>
    <w:rsid w:val="0008023A"/>
    <w:rPr>
      <w:rFonts w:ascii="Wingdings" w:hAnsi="Wingdings" w:cs="Wingdings"/>
    </w:rPr>
  </w:style>
  <w:style w:type="character" w:customStyle="1" w:styleId="WW8Num9z0">
    <w:name w:val="WW8Num9z0"/>
    <w:rsid w:val="0008023A"/>
    <w:rPr>
      <w:rFonts w:ascii="Wingdings" w:hAnsi="Wingdings" w:cs="Wingdings"/>
    </w:rPr>
  </w:style>
  <w:style w:type="character" w:customStyle="1" w:styleId="WW8NumSt3z0">
    <w:name w:val="WW8NumSt3z0"/>
    <w:rsid w:val="0008023A"/>
    <w:rPr>
      <w:rFonts w:ascii="Arial" w:hAnsi="Arial" w:cs="Arial"/>
      <w:sz w:val="32"/>
    </w:rPr>
  </w:style>
  <w:style w:type="character" w:customStyle="1" w:styleId="Fuentedeprrafopredeter1">
    <w:name w:val="Fuente de párrafo predeter.1"/>
    <w:rsid w:val="0008023A"/>
  </w:style>
  <w:style w:type="paragraph" w:customStyle="1" w:styleId="Encabezado1">
    <w:name w:val="Encabezado1"/>
    <w:basedOn w:val="Normal"/>
    <w:next w:val="Textoindependiente"/>
    <w:uiPriority w:val="99"/>
    <w:rsid w:val="0008023A"/>
    <w:pPr>
      <w:keepNext/>
      <w:suppressAutoHyphens/>
      <w:spacing w:before="240" w:after="120"/>
    </w:pPr>
    <w:rPr>
      <w:rFonts w:ascii="Arial" w:eastAsia="WenQuanYi Micro Hei" w:hAnsi="Arial" w:cs="Lohit Hindi"/>
      <w:sz w:val="28"/>
      <w:szCs w:val="28"/>
      <w:lang w:eastAsia="ar-SA"/>
    </w:rPr>
  </w:style>
  <w:style w:type="paragraph" w:styleId="Lista">
    <w:name w:val="List"/>
    <w:basedOn w:val="Textoindependiente"/>
    <w:uiPriority w:val="99"/>
    <w:rsid w:val="0008023A"/>
    <w:pPr>
      <w:suppressAutoHyphens/>
      <w:spacing w:line="240" w:lineRule="auto"/>
      <w:jc w:val="left"/>
    </w:pPr>
    <w:rPr>
      <w:rFonts w:cs="Lohit Hindi"/>
      <w:b w:val="0"/>
      <w:bCs w:val="0"/>
      <w:sz w:val="16"/>
      <w:szCs w:val="20"/>
      <w:lang w:eastAsia="ar-SA"/>
    </w:rPr>
  </w:style>
  <w:style w:type="paragraph" w:customStyle="1" w:styleId="Etiqueta">
    <w:name w:val="Etiqueta"/>
    <w:basedOn w:val="Normal"/>
    <w:uiPriority w:val="99"/>
    <w:rsid w:val="0008023A"/>
    <w:pPr>
      <w:suppressLineNumbers/>
      <w:suppressAutoHyphens/>
      <w:spacing w:before="120" w:after="120"/>
    </w:pPr>
    <w:rPr>
      <w:rFonts w:cs="Lohit Hindi"/>
      <w:i/>
      <w:iCs/>
      <w:lang w:eastAsia="ar-SA"/>
    </w:rPr>
  </w:style>
  <w:style w:type="paragraph" w:customStyle="1" w:styleId="ndice">
    <w:name w:val="Índice"/>
    <w:basedOn w:val="Normal"/>
    <w:uiPriority w:val="99"/>
    <w:rsid w:val="0008023A"/>
    <w:pPr>
      <w:suppressLineNumbers/>
      <w:suppressAutoHyphens/>
    </w:pPr>
    <w:rPr>
      <w:rFonts w:cs="Lohit Hindi"/>
      <w:sz w:val="20"/>
      <w:szCs w:val="20"/>
      <w:lang w:eastAsia="ar-SA"/>
    </w:rPr>
  </w:style>
  <w:style w:type="paragraph" w:customStyle="1" w:styleId="Contenidodelatabla">
    <w:name w:val="Contenido de la tabla"/>
    <w:basedOn w:val="Normal"/>
    <w:uiPriority w:val="99"/>
    <w:rsid w:val="0008023A"/>
    <w:pPr>
      <w:suppressLineNumbers/>
      <w:suppressAutoHyphens/>
    </w:pPr>
    <w:rPr>
      <w:sz w:val="20"/>
      <w:szCs w:val="20"/>
      <w:lang w:eastAsia="ar-SA"/>
    </w:rPr>
  </w:style>
  <w:style w:type="paragraph" w:customStyle="1" w:styleId="Encabezadodelatabla">
    <w:name w:val="Encabezado de la tabla"/>
    <w:basedOn w:val="Contenidodelatabla"/>
    <w:uiPriority w:val="99"/>
    <w:rsid w:val="0008023A"/>
    <w:pPr>
      <w:jc w:val="center"/>
    </w:pPr>
    <w:rPr>
      <w:b/>
      <w:bCs/>
    </w:rPr>
  </w:style>
  <w:style w:type="paragraph" w:customStyle="1" w:styleId="Contenidodelmarco">
    <w:name w:val="Contenido del marco"/>
    <w:basedOn w:val="Textoindependiente"/>
    <w:uiPriority w:val="99"/>
    <w:rsid w:val="0008023A"/>
    <w:pPr>
      <w:suppressAutoHyphens/>
      <w:spacing w:line="240" w:lineRule="auto"/>
      <w:jc w:val="left"/>
    </w:pPr>
    <w:rPr>
      <w:b w:val="0"/>
      <w:bCs w:val="0"/>
      <w:sz w:val="16"/>
      <w:szCs w:val="20"/>
      <w:lang w:eastAsia="ar-SA"/>
    </w:rPr>
  </w:style>
  <w:style w:type="paragraph" w:customStyle="1" w:styleId="xl222">
    <w:name w:val="xl222"/>
    <w:basedOn w:val="Normal"/>
    <w:uiPriority w:val="99"/>
    <w:rsid w:val="0008023A"/>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3">
    <w:name w:val="xl223"/>
    <w:basedOn w:val="Normal"/>
    <w:uiPriority w:val="99"/>
    <w:rsid w:val="0008023A"/>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4">
    <w:name w:val="xl224"/>
    <w:basedOn w:val="Normal"/>
    <w:uiPriority w:val="99"/>
    <w:rsid w:val="0008023A"/>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5">
    <w:name w:val="xl225"/>
    <w:basedOn w:val="Normal"/>
    <w:uiPriority w:val="99"/>
    <w:rsid w:val="0008023A"/>
    <w:pPr>
      <w:pBdr>
        <w:top w:val="single" w:sz="8" w:space="0" w:color="333333"/>
        <w:left w:val="single" w:sz="8" w:space="0" w:color="333333"/>
        <w:bottom w:val="single" w:sz="8" w:space="0" w:color="333333"/>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226">
    <w:name w:val="xl226"/>
    <w:basedOn w:val="Normal"/>
    <w:uiPriority w:val="99"/>
    <w:rsid w:val="0008023A"/>
    <w:pPr>
      <w:pBdr>
        <w:top w:val="single" w:sz="8" w:space="0" w:color="333333"/>
        <w:left w:val="single" w:sz="8" w:space="0" w:color="333333"/>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7">
    <w:name w:val="xl227"/>
    <w:basedOn w:val="Normal"/>
    <w:uiPriority w:val="99"/>
    <w:rsid w:val="0008023A"/>
    <w:pPr>
      <w:pBdr>
        <w:bottom w:val="single" w:sz="8" w:space="0" w:color="333333"/>
        <w:right w:val="single" w:sz="8" w:space="0" w:color="333333"/>
      </w:pBdr>
      <w:shd w:val="clear" w:color="000000" w:fill="FFFF00"/>
      <w:spacing w:before="100" w:beforeAutospacing="1" w:after="100" w:afterAutospacing="1"/>
      <w:jc w:val="right"/>
      <w:textAlignment w:val="center"/>
    </w:pPr>
    <w:rPr>
      <w:b/>
      <w:bCs/>
      <w:color w:val="000000"/>
      <w:sz w:val="16"/>
      <w:szCs w:val="16"/>
      <w:lang w:val="es-MX" w:eastAsia="es-MX"/>
    </w:rPr>
  </w:style>
  <w:style w:type="paragraph" w:customStyle="1" w:styleId="xl228">
    <w:name w:val="xl228"/>
    <w:basedOn w:val="Normal"/>
    <w:uiPriority w:val="99"/>
    <w:rsid w:val="0008023A"/>
    <w:pPr>
      <w:pBdr>
        <w:bottom w:val="single" w:sz="8" w:space="0" w:color="333333"/>
        <w:right w:val="single" w:sz="8" w:space="0" w:color="333333"/>
      </w:pBdr>
      <w:shd w:val="clear" w:color="000000" w:fill="FFC000"/>
      <w:spacing w:before="100" w:beforeAutospacing="1" w:after="100" w:afterAutospacing="1"/>
      <w:jc w:val="right"/>
      <w:textAlignment w:val="center"/>
    </w:pPr>
    <w:rPr>
      <w:b/>
      <w:bCs/>
      <w:color w:val="000000"/>
      <w:sz w:val="16"/>
      <w:szCs w:val="16"/>
      <w:lang w:val="es-MX" w:eastAsia="es-MX"/>
    </w:rPr>
  </w:style>
  <w:style w:type="paragraph" w:customStyle="1" w:styleId="xl229">
    <w:name w:val="xl229"/>
    <w:basedOn w:val="Normal"/>
    <w:uiPriority w:val="99"/>
    <w:rsid w:val="0008023A"/>
    <w:pPr>
      <w:pBdr>
        <w:top w:val="single" w:sz="8" w:space="0" w:color="auto"/>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0">
    <w:name w:val="xl230"/>
    <w:basedOn w:val="Normal"/>
    <w:uiPriority w:val="99"/>
    <w:rsid w:val="0008023A"/>
    <w:pPr>
      <w:pBdr>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1">
    <w:name w:val="xl231"/>
    <w:basedOn w:val="Normal"/>
    <w:uiPriority w:val="99"/>
    <w:rsid w:val="0008023A"/>
    <w:pPr>
      <w:pBdr>
        <w:bottom w:val="single" w:sz="8" w:space="0" w:color="auto"/>
        <w:right w:val="single" w:sz="8" w:space="0" w:color="auto"/>
      </w:pBdr>
      <w:shd w:val="clear" w:color="000000" w:fill="FF0000"/>
      <w:spacing w:before="100" w:beforeAutospacing="1" w:after="100" w:afterAutospacing="1"/>
      <w:jc w:val="right"/>
      <w:textAlignment w:val="center"/>
    </w:pPr>
    <w:rPr>
      <w:b/>
      <w:bCs/>
      <w:color w:val="000000"/>
      <w:sz w:val="16"/>
      <w:szCs w:val="16"/>
      <w:lang w:val="es-MX" w:eastAsia="es-MX"/>
    </w:rPr>
  </w:style>
  <w:style w:type="table" w:customStyle="1" w:styleId="Sombreadoclaro1">
    <w:name w:val="Sombreado claro1"/>
    <w:basedOn w:val="Tablanormal"/>
    <w:uiPriority w:val="60"/>
    <w:rsid w:val="0008023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8023A"/>
  </w:style>
  <w:style w:type="table" w:customStyle="1" w:styleId="Tablaconcuadrcula51">
    <w:name w:val="Tabla con cuadrícula5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8023A"/>
  </w:style>
  <w:style w:type="paragraph" w:customStyle="1" w:styleId="ecxmsolistparagraph">
    <w:name w:val="ecxmsolistparagraph"/>
    <w:basedOn w:val="Normal"/>
    <w:uiPriority w:val="99"/>
    <w:rsid w:val="0008023A"/>
    <w:pPr>
      <w:spacing w:after="324"/>
    </w:pPr>
    <w:rPr>
      <w:lang w:val="es-MX" w:eastAsia="es-MX"/>
    </w:rPr>
  </w:style>
  <w:style w:type="numbering" w:customStyle="1" w:styleId="Sinlista4">
    <w:name w:val="Sin lista4"/>
    <w:next w:val="Sinlista"/>
    <w:uiPriority w:val="99"/>
    <w:semiHidden/>
    <w:unhideWhenUsed/>
    <w:rsid w:val="0008023A"/>
  </w:style>
  <w:style w:type="table" w:customStyle="1" w:styleId="Tablaconcuadrcula53">
    <w:name w:val="Tabla con cuadrícula53"/>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8023A"/>
    <w:pPr>
      <w:jc w:val="both"/>
    </w:pPr>
    <w:rPr>
      <w:rFonts w:ascii="Calibri" w:hAnsi="Calibri"/>
      <w:sz w:val="22"/>
      <w:szCs w:val="22"/>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08023A"/>
  </w:style>
  <w:style w:type="numbering" w:customStyle="1" w:styleId="Sinlista12">
    <w:name w:val="Sin lista12"/>
    <w:next w:val="Sinlista"/>
    <w:uiPriority w:val="99"/>
    <w:semiHidden/>
    <w:unhideWhenUsed/>
    <w:rsid w:val="0008023A"/>
  </w:style>
  <w:style w:type="table" w:customStyle="1" w:styleId="Tablaconcuadrcula9">
    <w:name w:val="Tabla con cuadrícula9"/>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08023A"/>
  </w:style>
  <w:style w:type="table" w:customStyle="1" w:styleId="Tablaconcuadrcula11">
    <w:name w:val="Tabla con cuadrícula1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
    <w:name w:val="Sombreado claro11"/>
    <w:basedOn w:val="Tablanormal"/>
    <w:uiPriority w:val="60"/>
    <w:rsid w:val="0008023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1">
    <w:name w:val="Tabla con cuadrícula2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08023A"/>
  </w:style>
  <w:style w:type="table" w:customStyle="1" w:styleId="Tablaconcuadrcula511">
    <w:name w:val="Tabla con cuadrícula51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08023A"/>
  </w:style>
  <w:style w:type="numbering" w:customStyle="1" w:styleId="Sinlista41">
    <w:name w:val="Sin lista41"/>
    <w:next w:val="Sinlista"/>
    <w:uiPriority w:val="99"/>
    <w:semiHidden/>
    <w:unhideWhenUsed/>
    <w:rsid w:val="0008023A"/>
  </w:style>
  <w:style w:type="table" w:customStyle="1" w:styleId="Tablaconcuadrcula531">
    <w:name w:val="Tabla con cuadrícula53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8023A"/>
    <w:pPr>
      <w:jc w:val="both"/>
    </w:pPr>
    <w:rPr>
      <w:rFonts w:ascii="Calibri" w:hAnsi="Calibri"/>
      <w:sz w:val="22"/>
      <w:szCs w:val="22"/>
    </w:rPr>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08023A"/>
    <w:rPr>
      <w:rFonts w:ascii="Calibri" w:eastAsia="Calibri" w:hAnsi="Calibri"/>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08023A"/>
    <w:pPr>
      <w:spacing w:before="100" w:beforeAutospacing="1" w:after="100" w:afterAutospacing="1"/>
    </w:pPr>
    <w:rPr>
      <w:lang w:val="es-MX" w:eastAsia="es-MX"/>
    </w:rPr>
  </w:style>
  <w:style w:type="table" w:customStyle="1" w:styleId="Tablaconcuadrcula42">
    <w:name w:val="Tabla con cuadrícula42"/>
    <w:basedOn w:val="Tablanormal"/>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uiPriority w:val="10"/>
    <w:rsid w:val="0008023A"/>
    <w:rPr>
      <w:rFonts w:ascii="Cambria" w:eastAsia="Times New Roman" w:hAnsi="Cambria" w:cs="Times New Roman"/>
      <w:color w:val="17365D"/>
      <w:spacing w:val="5"/>
      <w:kern w:val="28"/>
      <w:sz w:val="52"/>
      <w:szCs w:val="52"/>
    </w:rPr>
  </w:style>
  <w:style w:type="character" w:customStyle="1" w:styleId="PuestoCar1">
    <w:name w:val="Puesto Car1"/>
    <w:uiPriority w:val="10"/>
    <w:rsid w:val="0008023A"/>
    <w:rPr>
      <w:rFonts w:ascii="Cambria" w:eastAsia="Times New Roman" w:hAnsi="Cambria" w:cs="Times New Roman"/>
      <w:spacing w:val="-10"/>
      <w:kern w:val="28"/>
      <w:sz w:val="56"/>
      <w:szCs w:val="56"/>
    </w:rPr>
  </w:style>
  <w:style w:type="table" w:customStyle="1" w:styleId="Tablaconcuadrcula13">
    <w:name w:val="Tabla con cuadrícula13"/>
    <w:basedOn w:val="Tablanormal"/>
    <w:next w:val="Tablaconcuadrcula"/>
    <w:uiPriority w:val="39"/>
    <w:rsid w:val="000802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0802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2detindependienteCar1">
    <w:name w:val="Sangría 2 de t. independiente Car1"/>
    <w:basedOn w:val="Fuentedeprrafopredeter"/>
    <w:uiPriority w:val="99"/>
    <w:semiHidden/>
    <w:rsid w:val="0008023A"/>
  </w:style>
  <w:style w:type="paragraph" w:styleId="Ttulo">
    <w:name w:val="Title"/>
    <w:basedOn w:val="Normal"/>
    <w:next w:val="Normal"/>
    <w:link w:val="TtuloCar2"/>
    <w:uiPriority w:val="99"/>
    <w:qFormat/>
    <w:rsid w:val="0008023A"/>
    <w:pPr>
      <w:contextualSpacing/>
    </w:pPr>
    <w:rPr>
      <w:rFonts w:ascii="Cambria" w:hAnsi="Cambria"/>
      <w:color w:val="17365D"/>
      <w:spacing w:val="5"/>
      <w:kern w:val="28"/>
      <w:sz w:val="52"/>
      <w:szCs w:val="52"/>
    </w:rPr>
  </w:style>
  <w:style w:type="character" w:customStyle="1" w:styleId="TtuloCar1">
    <w:name w:val="Título Car1"/>
    <w:basedOn w:val="Fuentedeprrafopredeter"/>
    <w:uiPriority w:val="10"/>
    <w:rsid w:val="0008023A"/>
    <w:rPr>
      <w:rFonts w:asciiTheme="majorHAnsi" w:eastAsiaTheme="majorEastAsia" w:hAnsiTheme="majorHAnsi" w:cstheme="majorBidi"/>
      <w:spacing w:val="-10"/>
      <w:kern w:val="28"/>
      <w:sz w:val="56"/>
      <w:szCs w:val="56"/>
      <w:lang w:val="es-ES" w:eastAsia="es-ES"/>
    </w:rPr>
  </w:style>
  <w:style w:type="table" w:customStyle="1" w:styleId="TableNormal">
    <w:name w:val="Table Normal"/>
    <w:uiPriority w:val="2"/>
    <w:semiHidden/>
    <w:unhideWhenUsed/>
    <w:qFormat/>
    <w:rsid w:val="0008023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8023A"/>
    <w:pPr>
      <w:widowControl w:val="0"/>
      <w:autoSpaceDE w:val="0"/>
      <w:autoSpaceDN w:val="0"/>
    </w:pPr>
    <w:rPr>
      <w:sz w:val="22"/>
      <w:szCs w:val="22"/>
      <w:lang w:val="es-MX" w:eastAsia="en-US"/>
    </w:rPr>
  </w:style>
  <w:style w:type="character" w:customStyle="1" w:styleId="PuestoCar2">
    <w:name w:val="Puesto Car2"/>
    <w:basedOn w:val="Fuentedeprrafopredeter"/>
    <w:uiPriority w:val="10"/>
    <w:rsid w:val="009C37B3"/>
    <w:rPr>
      <w:rFonts w:asciiTheme="majorHAnsi" w:eastAsiaTheme="majorEastAsia" w:hAnsiTheme="majorHAnsi" w:cstheme="majorBidi" w:hint="default"/>
      <w:spacing w:val="-10"/>
      <w:kern w:val="28"/>
      <w:sz w:val="56"/>
      <w:szCs w:val="56"/>
      <w:lang w:val="es-ES" w:eastAsia="es-ES"/>
    </w:rPr>
  </w:style>
  <w:style w:type="paragraph" w:customStyle="1" w:styleId="msonormal0">
    <w:name w:val="msonormal"/>
    <w:basedOn w:val="Normal"/>
    <w:rsid w:val="00CE2445"/>
    <w:pPr>
      <w:spacing w:before="100" w:beforeAutospacing="1" w:after="100" w:afterAutospacing="1"/>
    </w:pPr>
    <w:rPr>
      <w:lang w:val="es-MX"/>
    </w:rPr>
  </w:style>
  <w:style w:type="character" w:customStyle="1" w:styleId="Mencinsinresolver1">
    <w:name w:val="Mención sin resolver1"/>
    <w:basedOn w:val="Fuentedeprrafopredeter"/>
    <w:uiPriority w:val="99"/>
    <w:semiHidden/>
    <w:unhideWhenUsed/>
    <w:rsid w:val="00CE2445"/>
    <w:rPr>
      <w:color w:val="605E5C"/>
      <w:shd w:val="clear" w:color="auto" w:fill="E1DFDD"/>
    </w:rPr>
  </w:style>
  <w:style w:type="paragraph" w:customStyle="1" w:styleId="p0">
    <w:name w:val="p0"/>
    <w:basedOn w:val="Normal"/>
    <w:rsid w:val="005364CA"/>
    <w:pPr>
      <w:keepLines/>
      <w:widowControl w:val="0"/>
      <w:spacing w:before="240"/>
      <w:jc w:val="both"/>
    </w:pPr>
    <w:rPr>
      <w:rFonts w:ascii="Helvetica" w:hAnsi="Helvetica" w:cs="Arial"/>
      <w:snapToGrid w:val="0"/>
      <w:color w:val="0000FF"/>
      <w:lang w:val="es-ES_tradnl"/>
    </w:rPr>
  </w:style>
  <w:style w:type="paragraph" w:customStyle="1" w:styleId="p02">
    <w:name w:val="p02"/>
    <w:basedOn w:val="Normal"/>
    <w:next w:val="p0"/>
    <w:rsid w:val="005364CA"/>
    <w:pPr>
      <w:keepLines/>
      <w:spacing w:before="240"/>
      <w:ind w:right="11"/>
      <w:jc w:val="both"/>
    </w:pPr>
    <w:rPr>
      <w:rFonts w:ascii="Univers" w:hAnsi="Univers"/>
      <w:color w:val="0000FF"/>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4658">
      <w:bodyDiv w:val="1"/>
      <w:marLeft w:val="0"/>
      <w:marRight w:val="0"/>
      <w:marTop w:val="0"/>
      <w:marBottom w:val="0"/>
      <w:divBdr>
        <w:top w:val="none" w:sz="0" w:space="0" w:color="auto"/>
        <w:left w:val="none" w:sz="0" w:space="0" w:color="auto"/>
        <w:bottom w:val="none" w:sz="0" w:space="0" w:color="auto"/>
        <w:right w:val="none" w:sz="0" w:space="0" w:color="auto"/>
      </w:divBdr>
    </w:div>
    <w:div w:id="12192320">
      <w:bodyDiv w:val="1"/>
      <w:marLeft w:val="0"/>
      <w:marRight w:val="0"/>
      <w:marTop w:val="0"/>
      <w:marBottom w:val="0"/>
      <w:divBdr>
        <w:top w:val="none" w:sz="0" w:space="0" w:color="auto"/>
        <w:left w:val="none" w:sz="0" w:space="0" w:color="auto"/>
        <w:bottom w:val="none" w:sz="0" w:space="0" w:color="auto"/>
        <w:right w:val="none" w:sz="0" w:space="0" w:color="auto"/>
      </w:divBdr>
    </w:div>
    <w:div w:id="16198209">
      <w:bodyDiv w:val="1"/>
      <w:marLeft w:val="0"/>
      <w:marRight w:val="0"/>
      <w:marTop w:val="0"/>
      <w:marBottom w:val="0"/>
      <w:divBdr>
        <w:top w:val="none" w:sz="0" w:space="0" w:color="auto"/>
        <w:left w:val="none" w:sz="0" w:space="0" w:color="auto"/>
        <w:bottom w:val="none" w:sz="0" w:space="0" w:color="auto"/>
        <w:right w:val="none" w:sz="0" w:space="0" w:color="auto"/>
      </w:divBdr>
      <w:divsChild>
        <w:div w:id="489756299">
          <w:marLeft w:val="0"/>
          <w:marRight w:val="0"/>
          <w:marTop w:val="0"/>
          <w:marBottom w:val="0"/>
          <w:divBdr>
            <w:top w:val="none" w:sz="0" w:space="0" w:color="auto"/>
            <w:left w:val="none" w:sz="0" w:space="0" w:color="auto"/>
            <w:bottom w:val="none" w:sz="0" w:space="0" w:color="auto"/>
            <w:right w:val="none" w:sz="0" w:space="0" w:color="auto"/>
          </w:divBdr>
        </w:div>
        <w:div w:id="632172948">
          <w:marLeft w:val="0"/>
          <w:marRight w:val="0"/>
          <w:marTop w:val="0"/>
          <w:marBottom w:val="0"/>
          <w:divBdr>
            <w:top w:val="none" w:sz="0" w:space="0" w:color="auto"/>
            <w:left w:val="none" w:sz="0" w:space="0" w:color="auto"/>
            <w:bottom w:val="none" w:sz="0" w:space="0" w:color="auto"/>
            <w:right w:val="none" w:sz="0" w:space="0" w:color="auto"/>
          </w:divBdr>
        </w:div>
        <w:div w:id="698776159">
          <w:marLeft w:val="0"/>
          <w:marRight w:val="0"/>
          <w:marTop w:val="0"/>
          <w:marBottom w:val="0"/>
          <w:divBdr>
            <w:top w:val="none" w:sz="0" w:space="0" w:color="auto"/>
            <w:left w:val="none" w:sz="0" w:space="0" w:color="auto"/>
            <w:bottom w:val="none" w:sz="0" w:space="0" w:color="auto"/>
            <w:right w:val="none" w:sz="0" w:space="0" w:color="auto"/>
          </w:divBdr>
        </w:div>
        <w:div w:id="1011225830">
          <w:marLeft w:val="0"/>
          <w:marRight w:val="0"/>
          <w:marTop w:val="0"/>
          <w:marBottom w:val="0"/>
          <w:divBdr>
            <w:top w:val="none" w:sz="0" w:space="0" w:color="auto"/>
            <w:left w:val="none" w:sz="0" w:space="0" w:color="auto"/>
            <w:bottom w:val="none" w:sz="0" w:space="0" w:color="auto"/>
            <w:right w:val="none" w:sz="0" w:space="0" w:color="auto"/>
          </w:divBdr>
        </w:div>
        <w:div w:id="1028143673">
          <w:marLeft w:val="0"/>
          <w:marRight w:val="0"/>
          <w:marTop w:val="0"/>
          <w:marBottom w:val="0"/>
          <w:divBdr>
            <w:top w:val="none" w:sz="0" w:space="0" w:color="auto"/>
            <w:left w:val="none" w:sz="0" w:space="0" w:color="auto"/>
            <w:bottom w:val="none" w:sz="0" w:space="0" w:color="auto"/>
            <w:right w:val="none" w:sz="0" w:space="0" w:color="auto"/>
          </w:divBdr>
        </w:div>
        <w:div w:id="1077023111">
          <w:marLeft w:val="0"/>
          <w:marRight w:val="0"/>
          <w:marTop w:val="0"/>
          <w:marBottom w:val="0"/>
          <w:divBdr>
            <w:top w:val="none" w:sz="0" w:space="0" w:color="auto"/>
            <w:left w:val="none" w:sz="0" w:space="0" w:color="auto"/>
            <w:bottom w:val="none" w:sz="0" w:space="0" w:color="auto"/>
            <w:right w:val="none" w:sz="0" w:space="0" w:color="auto"/>
          </w:divBdr>
        </w:div>
        <w:div w:id="1309361602">
          <w:marLeft w:val="0"/>
          <w:marRight w:val="0"/>
          <w:marTop w:val="0"/>
          <w:marBottom w:val="0"/>
          <w:divBdr>
            <w:top w:val="none" w:sz="0" w:space="0" w:color="auto"/>
            <w:left w:val="none" w:sz="0" w:space="0" w:color="auto"/>
            <w:bottom w:val="none" w:sz="0" w:space="0" w:color="auto"/>
            <w:right w:val="none" w:sz="0" w:space="0" w:color="auto"/>
          </w:divBdr>
        </w:div>
        <w:div w:id="1379356091">
          <w:marLeft w:val="0"/>
          <w:marRight w:val="0"/>
          <w:marTop w:val="0"/>
          <w:marBottom w:val="0"/>
          <w:divBdr>
            <w:top w:val="none" w:sz="0" w:space="0" w:color="auto"/>
            <w:left w:val="none" w:sz="0" w:space="0" w:color="auto"/>
            <w:bottom w:val="none" w:sz="0" w:space="0" w:color="auto"/>
            <w:right w:val="none" w:sz="0" w:space="0" w:color="auto"/>
          </w:divBdr>
        </w:div>
        <w:div w:id="1402630343">
          <w:marLeft w:val="0"/>
          <w:marRight w:val="0"/>
          <w:marTop w:val="0"/>
          <w:marBottom w:val="0"/>
          <w:divBdr>
            <w:top w:val="none" w:sz="0" w:space="0" w:color="auto"/>
            <w:left w:val="none" w:sz="0" w:space="0" w:color="auto"/>
            <w:bottom w:val="none" w:sz="0" w:space="0" w:color="auto"/>
            <w:right w:val="none" w:sz="0" w:space="0" w:color="auto"/>
          </w:divBdr>
        </w:div>
        <w:div w:id="1426488813">
          <w:marLeft w:val="0"/>
          <w:marRight w:val="0"/>
          <w:marTop w:val="0"/>
          <w:marBottom w:val="0"/>
          <w:divBdr>
            <w:top w:val="none" w:sz="0" w:space="0" w:color="auto"/>
            <w:left w:val="none" w:sz="0" w:space="0" w:color="auto"/>
            <w:bottom w:val="none" w:sz="0" w:space="0" w:color="auto"/>
            <w:right w:val="none" w:sz="0" w:space="0" w:color="auto"/>
          </w:divBdr>
        </w:div>
        <w:div w:id="1444376446">
          <w:marLeft w:val="0"/>
          <w:marRight w:val="0"/>
          <w:marTop w:val="0"/>
          <w:marBottom w:val="0"/>
          <w:divBdr>
            <w:top w:val="none" w:sz="0" w:space="0" w:color="auto"/>
            <w:left w:val="none" w:sz="0" w:space="0" w:color="auto"/>
            <w:bottom w:val="none" w:sz="0" w:space="0" w:color="auto"/>
            <w:right w:val="none" w:sz="0" w:space="0" w:color="auto"/>
          </w:divBdr>
        </w:div>
        <w:div w:id="1742213218">
          <w:marLeft w:val="0"/>
          <w:marRight w:val="0"/>
          <w:marTop w:val="0"/>
          <w:marBottom w:val="0"/>
          <w:divBdr>
            <w:top w:val="none" w:sz="0" w:space="0" w:color="auto"/>
            <w:left w:val="none" w:sz="0" w:space="0" w:color="auto"/>
            <w:bottom w:val="none" w:sz="0" w:space="0" w:color="auto"/>
            <w:right w:val="none" w:sz="0" w:space="0" w:color="auto"/>
          </w:divBdr>
        </w:div>
        <w:div w:id="1751733133">
          <w:marLeft w:val="0"/>
          <w:marRight w:val="0"/>
          <w:marTop w:val="0"/>
          <w:marBottom w:val="0"/>
          <w:divBdr>
            <w:top w:val="none" w:sz="0" w:space="0" w:color="auto"/>
            <w:left w:val="none" w:sz="0" w:space="0" w:color="auto"/>
            <w:bottom w:val="none" w:sz="0" w:space="0" w:color="auto"/>
            <w:right w:val="none" w:sz="0" w:space="0" w:color="auto"/>
          </w:divBdr>
        </w:div>
        <w:div w:id="2091077186">
          <w:marLeft w:val="0"/>
          <w:marRight w:val="0"/>
          <w:marTop w:val="0"/>
          <w:marBottom w:val="0"/>
          <w:divBdr>
            <w:top w:val="none" w:sz="0" w:space="0" w:color="auto"/>
            <w:left w:val="none" w:sz="0" w:space="0" w:color="auto"/>
            <w:bottom w:val="none" w:sz="0" w:space="0" w:color="auto"/>
            <w:right w:val="none" w:sz="0" w:space="0" w:color="auto"/>
          </w:divBdr>
        </w:div>
        <w:div w:id="2120757088">
          <w:marLeft w:val="0"/>
          <w:marRight w:val="0"/>
          <w:marTop w:val="0"/>
          <w:marBottom w:val="0"/>
          <w:divBdr>
            <w:top w:val="none" w:sz="0" w:space="0" w:color="auto"/>
            <w:left w:val="none" w:sz="0" w:space="0" w:color="auto"/>
            <w:bottom w:val="none" w:sz="0" w:space="0" w:color="auto"/>
            <w:right w:val="none" w:sz="0" w:space="0" w:color="auto"/>
          </w:divBdr>
        </w:div>
      </w:divsChild>
    </w:div>
    <w:div w:id="17706385">
      <w:bodyDiv w:val="1"/>
      <w:marLeft w:val="0"/>
      <w:marRight w:val="0"/>
      <w:marTop w:val="0"/>
      <w:marBottom w:val="0"/>
      <w:divBdr>
        <w:top w:val="none" w:sz="0" w:space="0" w:color="auto"/>
        <w:left w:val="none" w:sz="0" w:space="0" w:color="auto"/>
        <w:bottom w:val="none" w:sz="0" w:space="0" w:color="auto"/>
        <w:right w:val="none" w:sz="0" w:space="0" w:color="auto"/>
      </w:divBdr>
      <w:divsChild>
        <w:div w:id="451241714">
          <w:marLeft w:val="0"/>
          <w:marRight w:val="0"/>
          <w:marTop w:val="0"/>
          <w:marBottom w:val="0"/>
          <w:divBdr>
            <w:top w:val="none" w:sz="0" w:space="0" w:color="auto"/>
            <w:left w:val="none" w:sz="0" w:space="0" w:color="auto"/>
            <w:bottom w:val="none" w:sz="0" w:space="0" w:color="auto"/>
            <w:right w:val="none" w:sz="0" w:space="0" w:color="auto"/>
          </w:divBdr>
        </w:div>
        <w:div w:id="1144614810">
          <w:marLeft w:val="0"/>
          <w:marRight w:val="0"/>
          <w:marTop w:val="0"/>
          <w:marBottom w:val="0"/>
          <w:divBdr>
            <w:top w:val="none" w:sz="0" w:space="0" w:color="auto"/>
            <w:left w:val="none" w:sz="0" w:space="0" w:color="auto"/>
            <w:bottom w:val="none" w:sz="0" w:space="0" w:color="auto"/>
            <w:right w:val="none" w:sz="0" w:space="0" w:color="auto"/>
          </w:divBdr>
        </w:div>
        <w:div w:id="1733310177">
          <w:marLeft w:val="0"/>
          <w:marRight w:val="0"/>
          <w:marTop w:val="0"/>
          <w:marBottom w:val="0"/>
          <w:divBdr>
            <w:top w:val="none" w:sz="0" w:space="0" w:color="auto"/>
            <w:left w:val="none" w:sz="0" w:space="0" w:color="auto"/>
            <w:bottom w:val="none" w:sz="0" w:space="0" w:color="auto"/>
            <w:right w:val="none" w:sz="0" w:space="0" w:color="auto"/>
          </w:divBdr>
        </w:div>
      </w:divsChild>
    </w:div>
    <w:div w:id="66852626">
      <w:bodyDiv w:val="1"/>
      <w:marLeft w:val="0"/>
      <w:marRight w:val="0"/>
      <w:marTop w:val="0"/>
      <w:marBottom w:val="0"/>
      <w:divBdr>
        <w:top w:val="none" w:sz="0" w:space="0" w:color="auto"/>
        <w:left w:val="none" w:sz="0" w:space="0" w:color="auto"/>
        <w:bottom w:val="none" w:sz="0" w:space="0" w:color="auto"/>
        <w:right w:val="none" w:sz="0" w:space="0" w:color="auto"/>
      </w:divBdr>
    </w:div>
    <w:div w:id="71894091">
      <w:bodyDiv w:val="1"/>
      <w:marLeft w:val="0"/>
      <w:marRight w:val="0"/>
      <w:marTop w:val="0"/>
      <w:marBottom w:val="0"/>
      <w:divBdr>
        <w:top w:val="none" w:sz="0" w:space="0" w:color="auto"/>
        <w:left w:val="none" w:sz="0" w:space="0" w:color="auto"/>
        <w:bottom w:val="none" w:sz="0" w:space="0" w:color="auto"/>
        <w:right w:val="none" w:sz="0" w:space="0" w:color="auto"/>
      </w:divBdr>
      <w:divsChild>
        <w:div w:id="32925512">
          <w:marLeft w:val="0"/>
          <w:marRight w:val="0"/>
          <w:marTop w:val="0"/>
          <w:marBottom w:val="0"/>
          <w:divBdr>
            <w:top w:val="none" w:sz="0" w:space="0" w:color="auto"/>
            <w:left w:val="none" w:sz="0" w:space="0" w:color="auto"/>
            <w:bottom w:val="none" w:sz="0" w:space="0" w:color="auto"/>
            <w:right w:val="none" w:sz="0" w:space="0" w:color="auto"/>
          </w:divBdr>
        </w:div>
        <w:div w:id="92478448">
          <w:marLeft w:val="0"/>
          <w:marRight w:val="0"/>
          <w:marTop w:val="0"/>
          <w:marBottom w:val="0"/>
          <w:divBdr>
            <w:top w:val="none" w:sz="0" w:space="0" w:color="auto"/>
            <w:left w:val="none" w:sz="0" w:space="0" w:color="auto"/>
            <w:bottom w:val="none" w:sz="0" w:space="0" w:color="auto"/>
            <w:right w:val="none" w:sz="0" w:space="0" w:color="auto"/>
          </w:divBdr>
        </w:div>
        <w:div w:id="178391196">
          <w:marLeft w:val="0"/>
          <w:marRight w:val="0"/>
          <w:marTop w:val="0"/>
          <w:marBottom w:val="0"/>
          <w:divBdr>
            <w:top w:val="none" w:sz="0" w:space="0" w:color="auto"/>
            <w:left w:val="none" w:sz="0" w:space="0" w:color="auto"/>
            <w:bottom w:val="none" w:sz="0" w:space="0" w:color="auto"/>
            <w:right w:val="none" w:sz="0" w:space="0" w:color="auto"/>
          </w:divBdr>
        </w:div>
        <w:div w:id="196889228">
          <w:marLeft w:val="0"/>
          <w:marRight w:val="0"/>
          <w:marTop w:val="0"/>
          <w:marBottom w:val="0"/>
          <w:divBdr>
            <w:top w:val="none" w:sz="0" w:space="0" w:color="auto"/>
            <w:left w:val="none" w:sz="0" w:space="0" w:color="auto"/>
            <w:bottom w:val="none" w:sz="0" w:space="0" w:color="auto"/>
            <w:right w:val="none" w:sz="0" w:space="0" w:color="auto"/>
          </w:divBdr>
        </w:div>
        <w:div w:id="264769050">
          <w:marLeft w:val="0"/>
          <w:marRight w:val="0"/>
          <w:marTop w:val="0"/>
          <w:marBottom w:val="0"/>
          <w:divBdr>
            <w:top w:val="none" w:sz="0" w:space="0" w:color="auto"/>
            <w:left w:val="none" w:sz="0" w:space="0" w:color="auto"/>
            <w:bottom w:val="none" w:sz="0" w:space="0" w:color="auto"/>
            <w:right w:val="none" w:sz="0" w:space="0" w:color="auto"/>
          </w:divBdr>
        </w:div>
        <w:div w:id="350958788">
          <w:marLeft w:val="0"/>
          <w:marRight w:val="0"/>
          <w:marTop w:val="0"/>
          <w:marBottom w:val="0"/>
          <w:divBdr>
            <w:top w:val="none" w:sz="0" w:space="0" w:color="auto"/>
            <w:left w:val="none" w:sz="0" w:space="0" w:color="auto"/>
            <w:bottom w:val="none" w:sz="0" w:space="0" w:color="auto"/>
            <w:right w:val="none" w:sz="0" w:space="0" w:color="auto"/>
          </w:divBdr>
        </w:div>
        <w:div w:id="410156415">
          <w:marLeft w:val="0"/>
          <w:marRight w:val="0"/>
          <w:marTop w:val="0"/>
          <w:marBottom w:val="0"/>
          <w:divBdr>
            <w:top w:val="none" w:sz="0" w:space="0" w:color="auto"/>
            <w:left w:val="none" w:sz="0" w:space="0" w:color="auto"/>
            <w:bottom w:val="none" w:sz="0" w:space="0" w:color="auto"/>
            <w:right w:val="none" w:sz="0" w:space="0" w:color="auto"/>
          </w:divBdr>
        </w:div>
        <w:div w:id="431319286">
          <w:marLeft w:val="0"/>
          <w:marRight w:val="0"/>
          <w:marTop w:val="0"/>
          <w:marBottom w:val="0"/>
          <w:divBdr>
            <w:top w:val="none" w:sz="0" w:space="0" w:color="auto"/>
            <w:left w:val="none" w:sz="0" w:space="0" w:color="auto"/>
            <w:bottom w:val="none" w:sz="0" w:space="0" w:color="auto"/>
            <w:right w:val="none" w:sz="0" w:space="0" w:color="auto"/>
          </w:divBdr>
        </w:div>
        <w:div w:id="487788995">
          <w:marLeft w:val="0"/>
          <w:marRight w:val="0"/>
          <w:marTop w:val="0"/>
          <w:marBottom w:val="0"/>
          <w:divBdr>
            <w:top w:val="none" w:sz="0" w:space="0" w:color="auto"/>
            <w:left w:val="none" w:sz="0" w:space="0" w:color="auto"/>
            <w:bottom w:val="none" w:sz="0" w:space="0" w:color="auto"/>
            <w:right w:val="none" w:sz="0" w:space="0" w:color="auto"/>
          </w:divBdr>
        </w:div>
        <w:div w:id="494414460">
          <w:marLeft w:val="0"/>
          <w:marRight w:val="0"/>
          <w:marTop w:val="0"/>
          <w:marBottom w:val="0"/>
          <w:divBdr>
            <w:top w:val="none" w:sz="0" w:space="0" w:color="auto"/>
            <w:left w:val="none" w:sz="0" w:space="0" w:color="auto"/>
            <w:bottom w:val="none" w:sz="0" w:space="0" w:color="auto"/>
            <w:right w:val="none" w:sz="0" w:space="0" w:color="auto"/>
          </w:divBdr>
        </w:div>
        <w:div w:id="510267519">
          <w:marLeft w:val="0"/>
          <w:marRight w:val="0"/>
          <w:marTop w:val="0"/>
          <w:marBottom w:val="0"/>
          <w:divBdr>
            <w:top w:val="none" w:sz="0" w:space="0" w:color="auto"/>
            <w:left w:val="none" w:sz="0" w:space="0" w:color="auto"/>
            <w:bottom w:val="none" w:sz="0" w:space="0" w:color="auto"/>
            <w:right w:val="none" w:sz="0" w:space="0" w:color="auto"/>
          </w:divBdr>
        </w:div>
        <w:div w:id="514004801">
          <w:marLeft w:val="0"/>
          <w:marRight w:val="0"/>
          <w:marTop w:val="0"/>
          <w:marBottom w:val="0"/>
          <w:divBdr>
            <w:top w:val="none" w:sz="0" w:space="0" w:color="auto"/>
            <w:left w:val="none" w:sz="0" w:space="0" w:color="auto"/>
            <w:bottom w:val="none" w:sz="0" w:space="0" w:color="auto"/>
            <w:right w:val="none" w:sz="0" w:space="0" w:color="auto"/>
          </w:divBdr>
        </w:div>
        <w:div w:id="526214768">
          <w:marLeft w:val="0"/>
          <w:marRight w:val="0"/>
          <w:marTop w:val="0"/>
          <w:marBottom w:val="0"/>
          <w:divBdr>
            <w:top w:val="none" w:sz="0" w:space="0" w:color="auto"/>
            <w:left w:val="none" w:sz="0" w:space="0" w:color="auto"/>
            <w:bottom w:val="none" w:sz="0" w:space="0" w:color="auto"/>
            <w:right w:val="none" w:sz="0" w:space="0" w:color="auto"/>
          </w:divBdr>
        </w:div>
        <w:div w:id="618755729">
          <w:marLeft w:val="0"/>
          <w:marRight w:val="0"/>
          <w:marTop w:val="0"/>
          <w:marBottom w:val="0"/>
          <w:divBdr>
            <w:top w:val="none" w:sz="0" w:space="0" w:color="auto"/>
            <w:left w:val="none" w:sz="0" w:space="0" w:color="auto"/>
            <w:bottom w:val="none" w:sz="0" w:space="0" w:color="auto"/>
            <w:right w:val="none" w:sz="0" w:space="0" w:color="auto"/>
          </w:divBdr>
        </w:div>
        <w:div w:id="650990215">
          <w:marLeft w:val="0"/>
          <w:marRight w:val="0"/>
          <w:marTop w:val="0"/>
          <w:marBottom w:val="0"/>
          <w:divBdr>
            <w:top w:val="none" w:sz="0" w:space="0" w:color="auto"/>
            <w:left w:val="none" w:sz="0" w:space="0" w:color="auto"/>
            <w:bottom w:val="none" w:sz="0" w:space="0" w:color="auto"/>
            <w:right w:val="none" w:sz="0" w:space="0" w:color="auto"/>
          </w:divBdr>
        </w:div>
        <w:div w:id="675763125">
          <w:marLeft w:val="0"/>
          <w:marRight w:val="0"/>
          <w:marTop w:val="0"/>
          <w:marBottom w:val="0"/>
          <w:divBdr>
            <w:top w:val="none" w:sz="0" w:space="0" w:color="auto"/>
            <w:left w:val="none" w:sz="0" w:space="0" w:color="auto"/>
            <w:bottom w:val="none" w:sz="0" w:space="0" w:color="auto"/>
            <w:right w:val="none" w:sz="0" w:space="0" w:color="auto"/>
          </w:divBdr>
        </w:div>
        <w:div w:id="696470248">
          <w:marLeft w:val="0"/>
          <w:marRight w:val="0"/>
          <w:marTop w:val="0"/>
          <w:marBottom w:val="0"/>
          <w:divBdr>
            <w:top w:val="none" w:sz="0" w:space="0" w:color="auto"/>
            <w:left w:val="none" w:sz="0" w:space="0" w:color="auto"/>
            <w:bottom w:val="none" w:sz="0" w:space="0" w:color="auto"/>
            <w:right w:val="none" w:sz="0" w:space="0" w:color="auto"/>
          </w:divBdr>
        </w:div>
        <w:div w:id="799227182">
          <w:marLeft w:val="0"/>
          <w:marRight w:val="0"/>
          <w:marTop w:val="0"/>
          <w:marBottom w:val="0"/>
          <w:divBdr>
            <w:top w:val="none" w:sz="0" w:space="0" w:color="auto"/>
            <w:left w:val="none" w:sz="0" w:space="0" w:color="auto"/>
            <w:bottom w:val="none" w:sz="0" w:space="0" w:color="auto"/>
            <w:right w:val="none" w:sz="0" w:space="0" w:color="auto"/>
          </w:divBdr>
        </w:div>
        <w:div w:id="850333985">
          <w:marLeft w:val="0"/>
          <w:marRight w:val="0"/>
          <w:marTop w:val="0"/>
          <w:marBottom w:val="0"/>
          <w:divBdr>
            <w:top w:val="none" w:sz="0" w:space="0" w:color="auto"/>
            <w:left w:val="none" w:sz="0" w:space="0" w:color="auto"/>
            <w:bottom w:val="none" w:sz="0" w:space="0" w:color="auto"/>
            <w:right w:val="none" w:sz="0" w:space="0" w:color="auto"/>
          </w:divBdr>
        </w:div>
        <w:div w:id="878593116">
          <w:marLeft w:val="0"/>
          <w:marRight w:val="0"/>
          <w:marTop w:val="0"/>
          <w:marBottom w:val="0"/>
          <w:divBdr>
            <w:top w:val="none" w:sz="0" w:space="0" w:color="auto"/>
            <w:left w:val="none" w:sz="0" w:space="0" w:color="auto"/>
            <w:bottom w:val="none" w:sz="0" w:space="0" w:color="auto"/>
            <w:right w:val="none" w:sz="0" w:space="0" w:color="auto"/>
          </w:divBdr>
        </w:div>
        <w:div w:id="929701003">
          <w:marLeft w:val="0"/>
          <w:marRight w:val="0"/>
          <w:marTop w:val="0"/>
          <w:marBottom w:val="0"/>
          <w:divBdr>
            <w:top w:val="none" w:sz="0" w:space="0" w:color="auto"/>
            <w:left w:val="none" w:sz="0" w:space="0" w:color="auto"/>
            <w:bottom w:val="none" w:sz="0" w:space="0" w:color="auto"/>
            <w:right w:val="none" w:sz="0" w:space="0" w:color="auto"/>
          </w:divBdr>
        </w:div>
        <w:div w:id="960456817">
          <w:marLeft w:val="0"/>
          <w:marRight w:val="0"/>
          <w:marTop w:val="0"/>
          <w:marBottom w:val="0"/>
          <w:divBdr>
            <w:top w:val="none" w:sz="0" w:space="0" w:color="auto"/>
            <w:left w:val="none" w:sz="0" w:space="0" w:color="auto"/>
            <w:bottom w:val="none" w:sz="0" w:space="0" w:color="auto"/>
            <w:right w:val="none" w:sz="0" w:space="0" w:color="auto"/>
          </w:divBdr>
        </w:div>
        <w:div w:id="981928862">
          <w:marLeft w:val="0"/>
          <w:marRight w:val="0"/>
          <w:marTop w:val="0"/>
          <w:marBottom w:val="0"/>
          <w:divBdr>
            <w:top w:val="none" w:sz="0" w:space="0" w:color="auto"/>
            <w:left w:val="none" w:sz="0" w:space="0" w:color="auto"/>
            <w:bottom w:val="none" w:sz="0" w:space="0" w:color="auto"/>
            <w:right w:val="none" w:sz="0" w:space="0" w:color="auto"/>
          </w:divBdr>
        </w:div>
        <w:div w:id="1010525561">
          <w:marLeft w:val="0"/>
          <w:marRight w:val="0"/>
          <w:marTop w:val="0"/>
          <w:marBottom w:val="0"/>
          <w:divBdr>
            <w:top w:val="none" w:sz="0" w:space="0" w:color="auto"/>
            <w:left w:val="none" w:sz="0" w:space="0" w:color="auto"/>
            <w:bottom w:val="none" w:sz="0" w:space="0" w:color="auto"/>
            <w:right w:val="none" w:sz="0" w:space="0" w:color="auto"/>
          </w:divBdr>
        </w:div>
        <w:div w:id="1047606329">
          <w:marLeft w:val="0"/>
          <w:marRight w:val="0"/>
          <w:marTop w:val="0"/>
          <w:marBottom w:val="0"/>
          <w:divBdr>
            <w:top w:val="none" w:sz="0" w:space="0" w:color="auto"/>
            <w:left w:val="none" w:sz="0" w:space="0" w:color="auto"/>
            <w:bottom w:val="none" w:sz="0" w:space="0" w:color="auto"/>
            <w:right w:val="none" w:sz="0" w:space="0" w:color="auto"/>
          </w:divBdr>
        </w:div>
        <w:div w:id="1066493241">
          <w:marLeft w:val="0"/>
          <w:marRight w:val="0"/>
          <w:marTop w:val="0"/>
          <w:marBottom w:val="0"/>
          <w:divBdr>
            <w:top w:val="none" w:sz="0" w:space="0" w:color="auto"/>
            <w:left w:val="none" w:sz="0" w:space="0" w:color="auto"/>
            <w:bottom w:val="none" w:sz="0" w:space="0" w:color="auto"/>
            <w:right w:val="none" w:sz="0" w:space="0" w:color="auto"/>
          </w:divBdr>
        </w:div>
        <w:div w:id="1112092152">
          <w:marLeft w:val="0"/>
          <w:marRight w:val="0"/>
          <w:marTop w:val="0"/>
          <w:marBottom w:val="0"/>
          <w:divBdr>
            <w:top w:val="none" w:sz="0" w:space="0" w:color="auto"/>
            <w:left w:val="none" w:sz="0" w:space="0" w:color="auto"/>
            <w:bottom w:val="none" w:sz="0" w:space="0" w:color="auto"/>
            <w:right w:val="none" w:sz="0" w:space="0" w:color="auto"/>
          </w:divBdr>
        </w:div>
        <w:div w:id="1136335712">
          <w:marLeft w:val="0"/>
          <w:marRight w:val="0"/>
          <w:marTop w:val="0"/>
          <w:marBottom w:val="0"/>
          <w:divBdr>
            <w:top w:val="none" w:sz="0" w:space="0" w:color="auto"/>
            <w:left w:val="none" w:sz="0" w:space="0" w:color="auto"/>
            <w:bottom w:val="none" w:sz="0" w:space="0" w:color="auto"/>
            <w:right w:val="none" w:sz="0" w:space="0" w:color="auto"/>
          </w:divBdr>
        </w:div>
        <w:div w:id="1195387496">
          <w:marLeft w:val="0"/>
          <w:marRight w:val="0"/>
          <w:marTop w:val="0"/>
          <w:marBottom w:val="0"/>
          <w:divBdr>
            <w:top w:val="none" w:sz="0" w:space="0" w:color="auto"/>
            <w:left w:val="none" w:sz="0" w:space="0" w:color="auto"/>
            <w:bottom w:val="none" w:sz="0" w:space="0" w:color="auto"/>
            <w:right w:val="none" w:sz="0" w:space="0" w:color="auto"/>
          </w:divBdr>
        </w:div>
        <w:div w:id="1305617464">
          <w:marLeft w:val="0"/>
          <w:marRight w:val="0"/>
          <w:marTop w:val="0"/>
          <w:marBottom w:val="0"/>
          <w:divBdr>
            <w:top w:val="none" w:sz="0" w:space="0" w:color="auto"/>
            <w:left w:val="none" w:sz="0" w:space="0" w:color="auto"/>
            <w:bottom w:val="none" w:sz="0" w:space="0" w:color="auto"/>
            <w:right w:val="none" w:sz="0" w:space="0" w:color="auto"/>
          </w:divBdr>
        </w:div>
        <w:div w:id="1383990368">
          <w:marLeft w:val="0"/>
          <w:marRight w:val="0"/>
          <w:marTop w:val="0"/>
          <w:marBottom w:val="0"/>
          <w:divBdr>
            <w:top w:val="none" w:sz="0" w:space="0" w:color="auto"/>
            <w:left w:val="none" w:sz="0" w:space="0" w:color="auto"/>
            <w:bottom w:val="none" w:sz="0" w:space="0" w:color="auto"/>
            <w:right w:val="none" w:sz="0" w:space="0" w:color="auto"/>
          </w:divBdr>
        </w:div>
        <w:div w:id="1473206711">
          <w:marLeft w:val="0"/>
          <w:marRight w:val="0"/>
          <w:marTop w:val="0"/>
          <w:marBottom w:val="0"/>
          <w:divBdr>
            <w:top w:val="none" w:sz="0" w:space="0" w:color="auto"/>
            <w:left w:val="none" w:sz="0" w:space="0" w:color="auto"/>
            <w:bottom w:val="none" w:sz="0" w:space="0" w:color="auto"/>
            <w:right w:val="none" w:sz="0" w:space="0" w:color="auto"/>
          </w:divBdr>
        </w:div>
        <w:div w:id="1536235569">
          <w:marLeft w:val="0"/>
          <w:marRight w:val="0"/>
          <w:marTop w:val="0"/>
          <w:marBottom w:val="0"/>
          <w:divBdr>
            <w:top w:val="none" w:sz="0" w:space="0" w:color="auto"/>
            <w:left w:val="none" w:sz="0" w:space="0" w:color="auto"/>
            <w:bottom w:val="none" w:sz="0" w:space="0" w:color="auto"/>
            <w:right w:val="none" w:sz="0" w:space="0" w:color="auto"/>
          </w:divBdr>
        </w:div>
        <w:div w:id="1617299093">
          <w:marLeft w:val="0"/>
          <w:marRight w:val="0"/>
          <w:marTop w:val="0"/>
          <w:marBottom w:val="0"/>
          <w:divBdr>
            <w:top w:val="none" w:sz="0" w:space="0" w:color="auto"/>
            <w:left w:val="none" w:sz="0" w:space="0" w:color="auto"/>
            <w:bottom w:val="none" w:sz="0" w:space="0" w:color="auto"/>
            <w:right w:val="none" w:sz="0" w:space="0" w:color="auto"/>
          </w:divBdr>
        </w:div>
        <w:div w:id="1690911807">
          <w:marLeft w:val="0"/>
          <w:marRight w:val="0"/>
          <w:marTop w:val="0"/>
          <w:marBottom w:val="0"/>
          <w:divBdr>
            <w:top w:val="none" w:sz="0" w:space="0" w:color="auto"/>
            <w:left w:val="none" w:sz="0" w:space="0" w:color="auto"/>
            <w:bottom w:val="none" w:sz="0" w:space="0" w:color="auto"/>
            <w:right w:val="none" w:sz="0" w:space="0" w:color="auto"/>
          </w:divBdr>
        </w:div>
        <w:div w:id="1710689209">
          <w:marLeft w:val="0"/>
          <w:marRight w:val="0"/>
          <w:marTop w:val="0"/>
          <w:marBottom w:val="0"/>
          <w:divBdr>
            <w:top w:val="none" w:sz="0" w:space="0" w:color="auto"/>
            <w:left w:val="none" w:sz="0" w:space="0" w:color="auto"/>
            <w:bottom w:val="none" w:sz="0" w:space="0" w:color="auto"/>
            <w:right w:val="none" w:sz="0" w:space="0" w:color="auto"/>
          </w:divBdr>
        </w:div>
        <w:div w:id="1711832637">
          <w:marLeft w:val="0"/>
          <w:marRight w:val="0"/>
          <w:marTop w:val="0"/>
          <w:marBottom w:val="0"/>
          <w:divBdr>
            <w:top w:val="none" w:sz="0" w:space="0" w:color="auto"/>
            <w:left w:val="none" w:sz="0" w:space="0" w:color="auto"/>
            <w:bottom w:val="none" w:sz="0" w:space="0" w:color="auto"/>
            <w:right w:val="none" w:sz="0" w:space="0" w:color="auto"/>
          </w:divBdr>
        </w:div>
        <w:div w:id="1741908066">
          <w:marLeft w:val="0"/>
          <w:marRight w:val="0"/>
          <w:marTop w:val="0"/>
          <w:marBottom w:val="0"/>
          <w:divBdr>
            <w:top w:val="none" w:sz="0" w:space="0" w:color="auto"/>
            <w:left w:val="none" w:sz="0" w:space="0" w:color="auto"/>
            <w:bottom w:val="none" w:sz="0" w:space="0" w:color="auto"/>
            <w:right w:val="none" w:sz="0" w:space="0" w:color="auto"/>
          </w:divBdr>
        </w:div>
        <w:div w:id="1765608506">
          <w:marLeft w:val="0"/>
          <w:marRight w:val="0"/>
          <w:marTop w:val="0"/>
          <w:marBottom w:val="0"/>
          <w:divBdr>
            <w:top w:val="none" w:sz="0" w:space="0" w:color="auto"/>
            <w:left w:val="none" w:sz="0" w:space="0" w:color="auto"/>
            <w:bottom w:val="none" w:sz="0" w:space="0" w:color="auto"/>
            <w:right w:val="none" w:sz="0" w:space="0" w:color="auto"/>
          </w:divBdr>
        </w:div>
        <w:div w:id="1827085932">
          <w:marLeft w:val="0"/>
          <w:marRight w:val="0"/>
          <w:marTop w:val="0"/>
          <w:marBottom w:val="0"/>
          <w:divBdr>
            <w:top w:val="none" w:sz="0" w:space="0" w:color="auto"/>
            <w:left w:val="none" w:sz="0" w:space="0" w:color="auto"/>
            <w:bottom w:val="none" w:sz="0" w:space="0" w:color="auto"/>
            <w:right w:val="none" w:sz="0" w:space="0" w:color="auto"/>
          </w:divBdr>
        </w:div>
        <w:div w:id="1854108942">
          <w:marLeft w:val="0"/>
          <w:marRight w:val="0"/>
          <w:marTop w:val="0"/>
          <w:marBottom w:val="0"/>
          <w:divBdr>
            <w:top w:val="none" w:sz="0" w:space="0" w:color="auto"/>
            <w:left w:val="none" w:sz="0" w:space="0" w:color="auto"/>
            <w:bottom w:val="none" w:sz="0" w:space="0" w:color="auto"/>
            <w:right w:val="none" w:sz="0" w:space="0" w:color="auto"/>
          </w:divBdr>
        </w:div>
        <w:div w:id="1983654012">
          <w:marLeft w:val="0"/>
          <w:marRight w:val="0"/>
          <w:marTop w:val="0"/>
          <w:marBottom w:val="0"/>
          <w:divBdr>
            <w:top w:val="none" w:sz="0" w:space="0" w:color="auto"/>
            <w:left w:val="none" w:sz="0" w:space="0" w:color="auto"/>
            <w:bottom w:val="none" w:sz="0" w:space="0" w:color="auto"/>
            <w:right w:val="none" w:sz="0" w:space="0" w:color="auto"/>
          </w:divBdr>
        </w:div>
        <w:div w:id="2065445071">
          <w:marLeft w:val="0"/>
          <w:marRight w:val="0"/>
          <w:marTop w:val="0"/>
          <w:marBottom w:val="0"/>
          <w:divBdr>
            <w:top w:val="none" w:sz="0" w:space="0" w:color="auto"/>
            <w:left w:val="none" w:sz="0" w:space="0" w:color="auto"/>
            <w:bottom w:val="none" w:sz="0" w:space="0" w:color="auto"/>
            <w:right w:val="none" w:sz="0" w:space="0" w:color="auto"/>
          </w:divBdr>
        </w:div>
      </w:divsChild>
    </w:div>
    <w:div w:id="98381503">
      <w:bodyDiv w:val="1"/>
      <w:marLeft w:val="0"/>
      <w:marRight w:val="0"/>
      <w:marTop w:val="0"/>
      <w:marBottom w:val="0"/>
      <w:divBdr>
        <w:top w:val="none" w:sz="0" w:space="0" w:color="auto"/>
        <w:left w:val="none" w:sz="0" w:space="0" w:color="auto"/>
        <w:bottom w:val="none" w:sz="0" w:space="0" w:color="auto"/>
        <w:right w:val="none" w:sz="0" w:space="0" w:color="auto"/>
      </w:divBdr>
    </w:div>
    <w:div w:id="102195339">
      <w:bodyDiv w:val="1"/>
      <w:marLeft w:val="0"/>
      <w:marRight w:val="0"/>
      <w:marTop w:val="0"/>
      <w:marBottom w:val="0"/>
      <w:divBdr>
        <w:top w:val="none" w:sz="0" w:space="0" w:color="auto"/>
        <w:left w:val="none" w:sz="0" w:space="0" w:color="auto"/>
        <w:bottom w:val="none" w:sz="0" w:space="0" w:color="auto"/>
        <w:right w:val="none" w:sz="0" w:space="0" w:color="auto"/>
      </w:divBdr>
    </w:div>
    <w:div w:id="117989317">
      <w:bodyDiv w:val="1"/>
      <w:marLeft w:val="0"/>
      <w:marRight w:val="0"/>
      <w:marTop w:val="0"/>
      <w:marBottom w:val="0"/>
      <w:divBdr>
        <w:top w:val="none" w:sz="0" w:space="0" w:color="auto"/>
        <w:left w:val="none" w:sz="0" w:space="0" w:color="auto"/>
        <w:bottom w:val="none" w:sz="0" w:space="0" w:color="auto"/>
        <w:right w:val="none" w:sz="0" w:space="0" w:color="auto"/>
      </w:divBdr>
    </w:div>
    <w:div w:id="127281282">
      <w:bodyDiv w:val="1"/>
      <w:marLeft w:val="0"/>
      <w:marRight w:val="0"/>
      <w:marTop w:val="0"/>
      <w:marBottom w:val="0"/>
      <w:divBdr>
        <w:top w:val="none" w:sz="0" w:space="0" w:color="auto"/>
        <w:left w:val="none" w:sz="0" w:space="0" w:color="auto"/>
        <w:bottom w:val="none" w:sz="0" w:space="0" w:color="auto"/>
        <w:right w:val="none" w:sz="0" w:space="0" w:color="auto"/>
      </w:divBdr>
    </w:div>
    <w:div w:id="128130615">
      <w:bodyDiv w:val="1"/>
      <w:marLeft w:val="0"/>
      <w:marRight w:val="0"/>
      <w:marTop w:val="0"/>
      <w:marBottom w:val="0"/>
      <w:divBdr>
        <w:top w:val="none" w:sz="0" w:space="0" w:color="auto"/>
        <w:left w:val="none" w:sz="0" w:space="0" w:color="auto"/>
        <w:bottom w:val="none" w:sz="0" w:space="0" w:color="auto"/>
        <w:right w:val="none" w:sz="0" w:space="0" w:color="auto"/>
      </w:divBdr>
    </w:div>
    <w:div w:id="135150296">
      <w:bodyDiv w:val="1"/>
      <w:marLeft w:val="0"/>
      <w:marRight w:val="0"/>
      <w:marTop w:val="0"/>
      <w:marBottom w:val="0"/>
      <w:divBdr>
        <w:top w:val="none" w:sz="0" w:space="0" w:color="auto"/>
        <w:left w:val="none" w:sz="0" w:space="0" w:color="auto"/>
        <w:bottom w:val="none" w:sz="0" w:space="0" w:color="auto"/>
        <w:right w:val="none" w:sz="0" w:space="0" w:color="auto"/>
      </w:divBdr>
    </w:div>
    <w:div w:id="155389584">
      <w:bodyDiv w:val="1"/>
      <w:marLeft w:val="0"/>
      <w:marRight w:val="0"/>
      <w:marTop w:val="0"/>
      <w:marBottom w:val="0"/>
      <w:divBdr>
        <w:top w:val="none" w:sz="0" w:space="0" w:color="auto"/>
        <w:left w:val="none" w:sz="0" w:space="0" w:color="auto"/>
        <w:bottom w:val="none" w:sz="0" w:space="0" w:color="auto"/>
        <w:right w:val="none" w:sz="0" w:space="0" w:color="auto"/>
      </w:divBdr>
      <w:divsChild>
        <w:div w:id="104928510">
          <w:marLeft w:val="0"/>
          <w:marRight w:val="0"/>
          <w:marTop w:val="0"/>
          <w:marBottom w:val="0"/>
          <w:divBdr>
            <w:top w:val="none" w:sz="0" w:space="0" w:color="auto"/>
            <w:left w:val="none" w:sz="0" w:space="0" w:color="auto"/>
            <w:bottom w:val="none" w:sz="0" w:space="0" w:color="auto"/>
            <w:right w:val="none" w:sz="0" w:space="0" w:color="auto"/>
          </w:divBdr>
        </w:div>
        <w:div w:id="351414653">
          <w:marLeft w:val="0"/>
          <w:marRight w:val="0"/>
          <w:marTop w:val="0"/>
          <w:marBottom w:val="0"/>
          <w:divBdr>
            <w:top w:val="none" w:sz="0" w:space="0" w:color="auto"/>
            <w:left w:val="none" w:sz="0" w:space="0" w:color="auto"/>
            <w:bottom w:val="none" w:sz="0" w:space="0" w:color="auto"/>
            <w:right w:val="none" w:sz="0" w:space="0" w:color="auto"/>
          </w:divBdr>
        </w:div>
        <w:div w:id="375933241">
          <w:marLeft w:val="0"/>
          <w:marRight w:val="0"/>
          <w:marTop w:val="0"/>
          <w:marBottom w:val="0"/>
          <w:divBdr>
            <w:top w:val="none" w:sz="0" w:space="0" w:color="auto"/>
            <w:left w:val="none" w:sz="0" w:space="0" w:color="auto"/>
            <w:bottom w:val="none" w:sz="0" w:space="0" w:color="auto"/>
            <w:right w:val="none" w:sz="0" w:space="0" w:color="auto"/>
          </w:divBdr>
        </w:div>
        <w:div w:id="409235169">
          <w:marLeft w:val="0"/>
          <w:marRight w:val="0"/>
          <w:marTop w:val="0"/>
          <w:marBottom w:val="0"/>
          <w:divBdr>
            <w:top w:val="none" w:sz="0" w:space="0" w:color="auto"/>
            <w:left w:val="none" w:sz="0" w:space="0" w:color="auto"/>
            <w:bottom w:val="none" w:sz="0" w:space="0" w:color="auto"/>
            <w:right w:val="none" w:sz="0" w:space="0" w:color="auto"/>
          </w:divBdr>
        </w:div>
        <w:div w:id="464736771">
          <w:marLeft w:val="0"/>
          <w:marRight w:val="0"/>
          <w:marTop w:val="0"/>
          <w:marBottom w:val="0"/>
          <w:divBdr>
            <w:top w:val="none" w:sz="0" w:space="0" w:color="auto"/>
            <w:left w:val="none" w:sz="0" w:space="0" w:color="auto"/>
            <w:bottom w:val="none" w:sz="0" w:space="0" w:color="auto"/>
            <w:right w:val="none" w:sz="0" w:space="0" w:color="auto"/>
          </w:divBdr>
        </w:div>
        <w:div w:id="513767513">
          <w:marLeft w:val="0"/>
          <w:marRight w:val="0"/>
          <w:marTop w:val="0"/>
          <w:marBottom w:val="0"/>
          <w:divBdr>
            <w:top w:val="none" w:sz="0" w:space="0" w:color="auto"/>
            <w:left w:val="none" w:sz="0" w:space="0" w:color="auto"/>
            <w:bottom w:val="none" w:sz="0" w:space="0" w:color="auto"/>
            <w:right w:val="none" w:sz="0" w:space="0" w:color="auto"/>
          </w:divBdr>
        </w:div>
        <w:div w:id="523446531">
          <w:marLeft w:val="0"/>
          <w:marRight w:val="0"/>
          <w:marTop w:val="0"/>
          <w:marBottom w:val="0"/>
          <w:divBdr>
            <w:top w:val="none" w:sz="0" w:space="0" w:color="auto"/>
            <w:left w:val="none" w:sz="0" w:space="0" w:color="auto"/>
            <w:bottom w:val="none" w:sz="0" w:space="0" w:color="auto"/>
            <w:right w:val="none" w:sz="0" w:space="0" w:color="auto"/>
          </w:divBdr>
        </w:div>
        <w:div w:id="688606599">
          <w:marLeft w:val="0"/>
          <w:marRight w:val="0"/>
          <w:marTop w:val="0"/>
          <w:marBottom w:val="0"/>
          <w:divBdr>
            <w:top w:val="none" w:sz="0" w:space="0" w:color="auto"/>
            <w:left w:val="none" w:sz="0" w:space="0" w:color="auto"/>
            <w:bottom w:val="none" w:sz="0" w:space="0" w:color="auto"/>
            <w:right w:val="none" w:sz="0" w:space="0" w:color="auto"/>
          </w:divBdr>
        </w:div>
        <w:div w:id="1024597347">
          <w:marLeft w:val="0"/>
          <w:marRight w:val="0"/>
          <w:marTop w:val="0"/>
          <w:marBottom w:val="0"/>
          <w:divBdr>
            <w:top w:val="none" w:sz="0" w:space="0" w:color="auto"/>
            <w:left w:val="none" w:sz="0" w:space="0" w:color="auto"/>
            <w:bottom w:val="none" w:sz="0" w:space="0" w:color="auto"/>
            <w:right w:val="none" w:sz="0" w:space="0" w:color="auto"/>
          </w:divBdr>
        </w:div>
        <w:div w:id="1055009437">
          <w:marLeft w:val="0"/>
          <w:marRight w:val="0"/>
          <w:marTop w:val="0"/>
          <w:marBottom w:val="0"/>
          <w:divBdr>
            <w:top w:val="none" w:sz="0" w:space="0" w:color="auto"/>
            <w:left w:val="none" w:sz="0" w:space="0" w:color="auto"/>
            <w:bottom w:val="none" w:sz="0" w:space="0" w:color="auto"/>
            <w:right w:val="none" w:sz="0" w:space="0" w:color="auto"/>
          </w:divBdr>
        </w:div>
        <w:div w:id="1215116765">
          <w:marLeft w:val="0"/>
          <w:marRight w:val="0"/>
          <w:marTop w:val="0"/>
          <w:marBottom w:val="0"/>
          <w:divBdr>
            <w:top w:val="none" w:sz="0" w:space="0" w:color="auto"/>
            <w:left w:val="none" w:sz="0" w:space="0" w:color="auto"/>
            <w:bottom w:val="none" w:sz="0" w:space="0" w:color="auto"/>
            <w:right w:val="none" w:sz="0" w:space="0" w:color="auto"/>
          </w:divBdr>
        </w:div>
        <w:div w:id="1482190499">
          <w:marLeft w:val="0"/>
          <w:marRight w:val="0"/>
          <w:marTop w:val="0"/>
          <w:marBottom w:val="0"/>
          <w:divBdr>
            <w:top w:val="none" w:sz="0" w:space="0" w:color="auto"/>
            <w:left w:val="none" w:sz="0" w:space="0" w:color="auto"/>
            <w:bottom w:val="none" w:sz="0" w:space="0" w:color="auto"/>
            <w:right w:val="none" w:sz="0" w:space="0" w:color="auto"/>
          </w:divBdr>
        </w:div>
        <w:div w:id="1600064658">
          <w:marLeft w:val="0"/>
          <w:marRight w:val="0"/>
          <w:marTop w:val="0"/>
          <w:marBottom w:val="0"/>
          <w:divBdr>
            <w:top w:val="none" w:sz="0" w:space="0" w:color="auto"/>
            <w:left w:val="none" w:sz="0" w:space="0" w:color="auto"/>
            <w:bottom w:val="none" w:sz="0" w:space="0" w:color="auto"/>
            <w:right w:val="none" w:sz="0" w:space="0" w:color="auto"/>
          </w:divBdr>
        </w:div>
        <w:div w:id="1627542780">
          <w:marLeft w:val="0"/>
          <w:marRight w:val="0"/>
          <w:marTop w:val="0"/>
          <w:marBottom w:val="0"/>
          <w:divBdr>
            <w:top w:val="none" w:sz="0" w:space="0" w:color="auto"/>
            <w:left w:val="none" w:sz="0" w:space="0" w:color="auto"/>
            <w:bottom w:val="none" w:sz="0" w:space="0" w:color="auto"/>
            <w:right w:val="none" w:sz="0" w:space="0" w:color="auto"/>
          </w:divBdr>
        </w:div>
        <w:div w:id="1658142284">
          <w:marLeft w:val="0"/>
          <w:marRight w:val="0"/>
          <w:marTop w:val="0"/>
          <w:marBottom w:val="0"/>
          <w:divBdr>
            <w:top w:val="none" w:sz="0" w:space="0" w:color="auto"/>
            <w:left w:val="none" w:sz="0" w:space="0" w:color="auto"/>
            <w:bottom w:val="none" w:sz="0" w:space="0" w:color="auto"/>
            <w:right w:val="none" w:sz="0" w:space="0" w:color="auto"/>
          </w:divBdr>
        </w:div>
        <w:div w:id="1660305653">
          <w:marLeft w:val="0"/>
          <w:marRight w:val="0"/>
          <w:marTop w:val="0"/>
          <w:marBottom w:val="0"/>
          <w:divBdr>
            <w:top w:val="none" w:sz="0" w:space="0" w:color="auto"/>
            <w:left w:val="none" w:sz="0" w:space="0" w:color="auto"/>
            <w:bottom w:val="none" w:sz="0" w:space="0" w:color="auto"/>
            <w:right w:val="none" w:sz="0" w:space="0" w:color="auto"/>
          </w:divBdr>
        </w:div>
        <w:div w:id="1667702966">
          <w:marLeft w:val="0"/>
          <w:marRight w:val="0"/>
          <w:marTop w:val="0"/>
          <w:marBottom w:val="0"/>
          <w:divBdr>
            <w:top w:val="none" w:sz="0" w:space="0" w:color="auto"/>
            <w:left w:val="none" w:sz="0" w:space="0" w:color="auto"/>
            <w:bottom w:val="none" w:sz="0" w:space="0" w:color="auto"/>
            <w:right w:val="none" w:sz="0" w:space="0" w:color="auto"/>
          </w:divBdr>
        </w:div>
        <w:div w:id="1721587017">
          <w:marLeft w:val="0"/>
          <w:marRight w:val="0"/>
          <w:marTop w:val="0"/>
          <w:marBottom w:val="0"/>
          <w:divBdr>
            <w:top w:val="none" w:sz="0" w:space="0" w:color="auto"/>
            <w:left w:val="none" w:sz="0" w:space="0" w:color="auto"/>
            <w:bottom w:val="none" w:sz="0" w:space="0" w:color="auto"/>
            <w:right w:val="none" w:sz="0" w:space="0" w:color="auto"/>
          </w:divBdr>
        </w:div>
        <w:div w:id="1769423456">
          <w:marLeft w:val="0"/>
          <w:marRight w:val="0"/>
          <w:marTop w:val="0"/>
          <w:marBottom w:val="0"/>
          <w:divBdr>
            <w:top w:val="none" w:sz="0" w:space="0" w:color="auto"/>
            <w:left w:val="none" w:sz="0" w:space="0" w:color="auto"/>
            <w:bottom w:val="none" w:sz="0" w:space="0" w:color="auto"/>
            <w:right w:val="none" w:sz="0" w:space="0" w:color="auto"/>
          </w:divBdr>
        </w:div>
        <w:div w:id="1810787056">
          <w:marLeft w:val="0"/>
          <w:marRight w:val="0"/>
          <w:marTop w:val="0"/>
          <w:marBottom w:val="0"/>
          <w:divBdr>
            <w:top w:val="none" w:sz="0" w:space="0" w:color="auto"/>
            <w:left w:val="none" w:sz="0" w:space="0" w:color="auto"/>
            <w:bottom w:val="none" w:sz="0" w:space="0" w:color="auto"/>
            <w:right w:val="none" w:sz="0" w:space="0" w:color="auto"/>
          </w:divBdr>
        </w:div>
        <w:div w:id="1837914768">
          <w:marLeft w:val="0"/>
          <w:marRight w:val="0"/>
          <w:marTop w:val="0"/>
          <w:marBottom w:val="0"/>
          <w:divBdr>
            <w:top w:val="none" w:sz="0" w:space="0" w:color="auto"/>
            <w:left w:val="none" w:sz="0" w:space="0" w:color="auto"/>
            <w:bottom w:val="none" w:sz="0" w:space="0" w:color="auto"/>
            <w:right w:val="none" w:sz="0" w:space="0" w:color="auto"/>
          </w:divBdr>
        </w:div>
        <w:div w:id="1959989512">
          <w:marLeft w:val="0"/>
          <w:marRight w:val="0"/>
          <w:marTop w:val="0"/>
          <w:marBottom w:val="0"/>
          <w:divBdr>
            <w:top w:val="none" w:sz="0" w:space="0" w:color="auto"/>
            <w:left w:val="none" w:sz="0" w:space="0" w:color="auto"/>
            <w:bottom w:val="none" w:sz="0" w:space="0" w:color="auto"/>
            <w:right w:val="none" w:sz="0" w:space="0" w:color="auto"/>
          </w:divBdr>
        </w:div>
        <w:div w:id="2020498989">
          <w:marLeft w:val="0"/>
          <w:marRight w:val="0"/>
          <w:marTop w:val="0"/>
          <w:marBottom w:val="0"/>
          <w:divBdr>
            <w:top w:val="none" w:sz="0" w:space="0" w:color="auto"/>
            <w:left w:val="none" w:sz="0" w:space="0" w:color="auto"/>
            <w:bottom w:val="none" w:sz="0" w:space="0" w:color="auto"/>
            <w:right w:val="none" w:sz="0" w:space="0" w:color="auto"/>
          </w:divBdr>
        </w:div>
        <w:div w:id="2096583141">
          <w:marLeft w:val="0"/>
          <w:marRight w:val="0"/>
          <w:marTop w:val="0"/>
          <w:marBottom w:val="0"/>
          <w:divBdr>
            <w:top w:val="none" w:sz="0" w:space="0" w:color="auto"/>
            <w:left w:val="none" w:sz="0" w:space="0" w:color="auto"/>
            <w:bottom w:val="none" w:sz="0" w:space="0" w:color="auto"/>
            <w:right w:val="none" w:sz="0" w:space="0" w:color="auto"/>
          </w:divBdr>
        </w:div>
      </w:divsChild>
    </w:div>
    <w:div w:id="158078174">
      <w:bodyDiv w:val="1"/>
      <w:marLeft w:val="0"/>
      <w:marRight w:val="0"/>
      <w:marTop w:val="0"/>
      <w:marBottom w:val="0"/>
      <w:divBdr>
        <w:top w:val="none" w:sz="0" w:space="0" w:color="auto"/>
        <w:left w:val="none" w:sz="0" w:space="0" w:color="auto"/>
        <w:bottom w:val="none" w:sz="0" w:space="0" w:color="auto"/>
        <w:right w:val="none" w:sz="0" w:space="0" w:color="auto"/>
      </w:divBdr>
    </w:div>
    <w:div w:id="166218166">
      <w:bodyDiv w:val="1"/>
      <w:marLeft w:val="0"/>
      <w:marRight w:val="0"/>
      <w:marTop w:val="0"/>
      <w:marBottom w:val="0"/>
      <w:divBdr>
        <w:top w:val="none" w:sz="0" w:space="0" w:color="auto"/>
        <w:left w:val="none" w:sz="0" w:space="0" w:color="auto"/>
        <w:bottom w:val="none" w:sz="0" w:space="0" w:color="auto"/>
        <w:right w:val="none" w:sz="0" w:space="0" w:color="auto"/>
      </w:divBdr>
    </w:div>
    <w:div w:id="199251181">
      <w:bodyDiv w:val="1"/>
      <w:marLeft w:val="0"/>
      <w:marRight w:val="0"/>
      <w:marTop w:val="0"/>
      <w:marBottom w:val="0"/>
      <w:divBdr>
        <w:top w:val="none" w:sz="0" w:space="0" w:color="auto"/>
        <w:left w:val="none" w:sz="0" w:space="0" w:color="auto"/>
        <w:bottom w:val="none" w:sz="0" w:space="0" w:color="auto"/>
        <w:right w:val="none" w:sz="0" w:space="0" w:color="auto"/>
      </w:divBdr>
    </w:div>
    <w:div w:id="229342811">
      <w:bodyDiv w:val="1"/>
      <w:marLeft w:val="0"/>
      <w:marRight w:val="0"/>
      <w:marTop w:val="0"/>
      <w:marBottom w:val="0"/>
      <w:divBdr>
        <w:top w:val="none" w:sz="0" w:space="0" w:color="auto"/>
        <w:left w:val="none" w:sz="0" w:space="0" w:color="auto"/>
        <w:bottom w:val="none" w:sz="0" w:space="0" w:color="auto"/>
        <w:right w:val="none" w:sz="0" w:space="0" w:color="auto"/>
      </w:divBdr>
    </w:div>
    <w:div w:id="233243704">
      <w:bodyDiv w:val="1"/>
      <w:marLeft w:val="0"/>
      <w:marRight w:val="0"/>
      <w:marTop w:val="0"/>
      <w:marBottom w:val="0"/>
      <w:divBdr>
        <w:top w:val="none" w:sz="0" w:space="0" w:color="auto"/>
        <w:left w:val="none" w:sz="0" w:space="0" w:color="auto"/>
        <w:bottom w:val="none" w:sz="0" w:space="0" w:color="auto"/>
        <w:right w:val="none" w:sz="0" w:space="0" w:color="auto"/>
      </w:divBdr>
    </w:div>
    <w:div w:id="244069606">
      <w:bodyDiv w:val="1"/>
      <w:marLeft w:val="0"/>
      <w:marRight w:val="0"/>
      <w:marTop w:val="0"/>
      <w:marBottom w:val="0"/>
      <w:divBdr>
        <w:top w:val="none" w:sz="0" w:space="0" w:color="auto"/>
        <w:left w:val="none" w:sz="0" w:space="0" w:color="auto"/>
        <w:bottom w:val="none" w:sz="0" w:space="0" w:color="auto"/>
        <w:right w:val="none" w:sz="0" w:space="0" w:color="auto"/>
      </w:divBdr>
    </w:div>
    <w:div w:id="257911456">
      <w:bodyDiv w:val="1"/>
      <w:marLeft w:val="0"/>
      <w:marRight w:val="0"/>
      <w:marTop w:val="0"/>
      <w:marBottom w:val="0"/>
      <w:divBdr>
        <w:top w:val="none" w:sz="0" w:space="0" w:color="auto"/>
        <w:left w:val="none" w:sz="0" w:space="0" w:color="auto"/>
        <w:bottom w:val="none" w:sz="0" w:space="0" w:color="auto"/>
        <w:right w:val="none" w:sz="0" w:space="0" w:color="auto"/>
      </w:divBdr>
      <w:divsChild>
        <w:div w:id="636451409">
          <w:marLeft w:val="0"/>
          <w:marRight w:val="0"/>
          <w:marTop w:val="0"/>
          <w:marBottom w:val="0"/>
          <w:divBdr>
            <w:top w:val="none" w:sz="0" w:space="0" w:color="auto"/>
            <w:left w:val="none" w:sz="0" w:space="0" w:color="auto"/>
            <w:bottom w:val="none" w:sz="0" w:space="0" w:color="auto"/>
            <w:right w:val="none" w:sz="0" w:space="0" w:color="auto"/>
          </w:divBdr>
        </w:div>
        <w:div w:id="747189388">
          <w:marLeft w:val="0"/>
          <w:marRight w:val="0"/>
          <w:marTop w:val="0"/>
          <w:marBottom w:val="0"/>
          <w:divBdr>
            <w:top w:val="none" w:sz="0" w:space="0" w:color="auto"/>
            <w:left w:val="none" w:sz="0" w:space="0" w:color="auto"/>
            <w:bottom w:val="none" w:sz="0" w:space="0" w:color="auto"/>
            <w:right w:val="none" w:sz="0" w:space="0" w:color="auto"/>
          </w:divBdr>
        </w:div>
        <w:div w:id="783773281">
          <w:marLeft w:val="0"/>
          <w:marRight w:val="0"/>
          <w:marTop w:val="0"/>
          <w:marBottom w:val="0"/>
          <w:divBdr>
            <w:top w:val="none" w:sz="0" w:space="0" w:color="auto"/>
            <w:left w:val="none" w:sz="0" w:space="0" w:color="auto"/>
            <w:bottom w:val="none" w:sz="0" w:space="0" w:color="auto"/>
            <w:right w:val="none" w:sz="0" w:space="0" w:color="auto"/>
          </w:divBdr>
        </w:div>
        <w:div w:id="1230733129">
          <w:marLeft w:val="0"/>
          <w:marRight w:val="0"/>
          <w:marTop w:val="0"/>
          <w:marBottom w:val="0"/>
          <w:divBdr>
            <w:top w:val="none" w:sz="0" w:space="0" w:color="auto"/>
            <w:left w:val="none" w:sz="0" w:space="0" w:color="auto"/>
            <w:bottom w:val="none" w:sz="0" w:space="0" w:color="auto"/>
            <w:right w:val="none" w:sz="0" w:space="0" w:color="auto"/>
          </w:divBdr>
        </w:div>
        <w:div w:id="1309286701">
          <w:marLeft w:val="0"/>
          <w:marRight w:val="0"/>
          <w:marTop w:val="0"/>
          <w:marBottom w:val="0"/>
          <w:divBdr>
            <w:top w:val="none" w:sz="0" w:space="0" w:color="auto"/>
            <w:left w:val="none" w:sz="0" w:space="0" w:color="auto"/>
            <w:bottom w:val="none" w:sz="0" w:space="0" w:color="auto"/>
            <w:right w:val="none" w:sz="0" w:space="0" w:color="auto"/>
          </w:divBdr>
        </w:div>
        <w:div w:id="1324776745">
          <w:marLeft w:val="0"/>
          <w:marRight w:val="0"/>
          <w:marTop w:val="0"/>
          <w:marBottom w:val="0"/>
          <w:divBdr>
            <w:top w:val="none" w:sz="0" w:space="0" w:color="auto"/>
            <w:left w:val="none" w:sz="0" w:space="0" w:color="auto"/>
            <w:bottom w:val="none" w:sz="0" w:space="0" w:color="auto"/>
            <w:right w:val="none" w:sz="0" w:space="0" w:color="auto"/>
          </w:divBdr>
        </w:div>
        <w:div w:id="2010448748">
          <w:marLeft w:val="0"/>
          <w:marRight w:val="0"/>
          <w:marTop w:val="0"/>
          <w:marBottom w:val="0"/>
          <w:divBdr>
            <w:top w:val="none" w:sz="0" w:space="0" w:color="auto"/>
            <w:left w:val="none" w:sz="0" w:space="0" w:color="auto"/>
            <w:bottom w:val="none" w:sz="0" w:space="0" w:color="auto"/>
            <w:right w:val="none" w:sz="0" w:space="0" w:color="auto"/>
          </w:divBdr>
        </w:div>
      </w:divsChild>
    </w:div>
    <w:div w:id="262960586">
      <w:bodyDiv w:val="1"/>
      <w:marLeft w:val="0"/>
      <w:marRight w:val="0"/>
      <w:marTop w:val="0"/>
      <w:marBottom w:val="0"/>
      <w:divBdr>
        <w:top w:val="none" w:sz="0" w:space="0" w:color="auto"/>
        <w:left w:val="none" w:sz="0" w:space="0" w:color="auto"/>
        <w:bottom w:val="none" w:sz="0" w:space="0" w:color="auto"/>
        <w:right w:val="none" w:sz="0" w:space="0" w:color="auto"/>
      </w:divBdr>
      <w:divsChild>
        <w:div w:id="22487569">
          <w:marLeft w:val="0"/>
          <w:marRight w:val="0"/>
          <w:marTop w:val="0"/>
          <w:marBottom w:val="0"/>
          <w:divBdr>
            <w:top w:val="none" w:sz="0" w:space="0" w:color="auto"/>
            <w:left w:val="none" w:sz="0" w:space="0" w:color="auto"/>
            <w:bottom w:val="none" w:sz="0" w:space="0" w:color="auto"/>
            <w:right w:val="none" w:sz="0" w:space="0" w:color="auto"/>
          </w:divBdr>
        </w:div>
        <w:div w:id="213204328">
          <w:marLeft w:val="0"/>
          <w:marRight w:val="0"/>
          <w:marTop w:val="0"/>
          <w:marBottom w:val="0"/>
          <w:divBdr>
            <w:top w:val="none" w:sz="0" w:space="0" w:color="auto"/>
            <w:left w:val="none" w:sz="0" w:space="0" w:color="auto"/>
            <w:bottom w:val="none" w:sz="0" w:space="0" w:color="auto"/>
            <w:right w:val="none" w:sz="0" w:space="0" w:color="auto"/>
          </w:divBdr>
        </w:div>
        <w:div w:id="217787282">
          <w:marLeft w:val="0"/>
          <w:marRight w:val="0"/>
          <w:marTop w:val="0"/>
          <w:marBottom w:val="0"/>
          <w:divBdr>
            <w:top w:val="none" w:sz="0" w:space="0" w:color="auto"/>
            <w:left w:val="none" w:sz="0" w:space="0" w:color="auto"/>
            <w:bottom w:val="none" w:sz="0" w:space="0" w:color="auto"/>
            <w:right w:val="none" w:sz="0" w:space="0" w:color="auto"/>
          </w:divBdr>
        </w:div>
        <w:div w:id="217933508">
          <w:marLeft w:val="0"/>
          <w:marRight w:val="0"/>
          <w:marTop w:val="0"/>
          <w:marBottom w:val="0"/>
          <w:divBdr>
            <w:top w:val="none" w:sz="0" w:space="0" w:color="auto"/>
            <w:left w:val="none" w:sz="0" w:space="0" w:color="auto"/>
            <w:bottom w:val="none" w:sz="0" w:space="0" w:color="auto"/>
            <w:right w:val="none" w:sz="0" w:space="0" w:color="auto"/>
          </w:divBdr>
        </w:div>
        <w:div w:id="387649309">
          <w:marLeft w:val="0"/>
          <w:marRight w:val="0"/>
          <w:marTop w:val="0"/>
          <w:marBottom w:val="0"/>
          <w:divBdr>
            <w:top w:val="none" w:sz="0" w:space="0" w:color="auto"/>
            <w:left w:val="none" w:sz="0" w:space="0" w:color="auto"/>
            <w:bottom w:val="none" w:sz="0" w:space="0" w:color="auto"/>
            <w:right w:val="none" w:sz="0" w:space="0" w:color="auto"/>
          </w:divBdr>
        </w:div>
        <w:div w:id="1255043787">
          <w:marLeft w:val="0"/>
          <w:marRight w:val="0"/>
          <w:marTop w:val="0"/>
          <w:marBottom w:val="0"/>
          <w:divBdr>
            <w:top w:val="none" w:sz="0" w:space="0" w:color="auto"/>
            <w:left w:val="none" w:sz="0" w:space="0" w:color="auto"/>
            <w:bottom w:val="none" w:sz="0" w:space="0" w:color="auto"/>
            <w:right w:val="none" w:sz="0" w:space="0" w:color="auto"/>
          </w:divBdr>
        </w:div>
        <w:div w:id="1671172528">
          <w:marLeft w:val="0"/>
          <w:marRight w:val="0"/>
          <w:marTop w:val="0"/>
          <w:marBottom w:val="0"/>
          <w:divBdr>
            <w:top w:val="none" w:sz="0" w:space="0" w:color="auto"/>
            <w:left w:val="none" w:sz="0" w:space="0" w:color="auto"/>
            <w:bottom w:val="none" w:sz="0" w:space="0" w:color="auto"/>
            <w:right w:val="none" w:sz="0" w:space="0" w:color="auto"/>
          </w:divBdr>
        </w:div>
        <w:div w:id="1676804263">
          <w:marLeft w:val="0"/>
          <w:marRight w:val="0"/>
          <w:marTop w:val="0"/>
          <w:marBottom w:val="0"/>
          <w:divBdr>
            <w:top w:val="none" w:sz="0" w:space="0" w:color="auto"/>
            <w:left w:val="none" w:sz="0" w:space="0" w:color="auto"/>
            <w:bottom w:val="none" w:sz="0" w:space="0" w:color="auto"/>
            <w:right w:val="none" w:sz="0" w:space="0" w:color="auto"/>
          </w:divBdr>
        </w:div>
        <w:div w:id="1703440368">
          <w:marLeft w:val="0"/>
          <w:marRight w:val="0"/>
          <w:marTop w:val="0"/>
          <w:marBottom w:val="0"/>
          <w:divBdr>
            <w:top w:val="none" w:sz="0" w:space="0" w:color="auto"/>
            <w:left w:val="none" w:sz="0" w:space="0" w:color="auto"/>
            <w:bottom w:val="none" w:sz="0" w:space="0" w:color="auto"/>
            <w:right w:val="none" w:sz="0" w:space="0" w:color="auto"/>
          </w:divBdr>
        </w:div>
        <w:div w:id="1761025613">
          <w:marLeft w:val="0"/>
          <w:marRight w:val="0"/>
          <w:marTop w:val="0"/>
          <w:marBottom w:val="0"/>
          <w:divBdr>
            <w:top w:val="none" w:sz="0" w:space="0" w:color="auto"/>
            <w:left w:val="none" w:sz="0" w:space="0" w:color="auto"/>
            <w:bottom w:val="none" w:sz="0" w:space="0" w:color="auto"/>
            <w:right w:val="none" w:sz="0" w:space="0" w:color="auto"/>
          </w:divBdr>
        </w:div>
        <w:div w:id="1788894079">
          <w:marLeft w:val="0"/>
          <w:marRight w:val="0"/>
          <w:marTop w:val="0"/>
          <w:marBottom w:val="0"/>
          <w:divBdr>
            <w:top w:val="none" w:sz="0" w:space="0" w:color="auto"/>
            <w:left w:val="none" w:sz="0" w:space="0" w:color="auto"/>
            <w:bottom w:val="none" w:sz="0" w:space="0" w:color="auto"/>
            <w:right w:val="none" w:sz="0" w:space="0" w:color="auto"/>
          </w:divBdr>
        </w:div>
        <w:div w:id="1872914325">
          <w:marLeft w:val="0"/>
          <w:marRight w:val="0"/>
          <w:marTop w:val="0"/>
          <w:marBottom w:val="0"/>
          <w:divBdr>
            <w:top w:val="none" w:sz="0" w:space="0" w:color="auto"/>
            <w:left w:val="none" w:sz="0" w:space="0" w:color="auto"/>
            <w:bottom w:val="none" w:sz="0" w:space="0" w:color="auto"/>
            <w:right w:val="none" w:sz="0" w:space="0" w:color="auto"/>
          </w:divBdr>
        </w:div>
        <w:div w:id="1993026269">
          <w:marLeft w:val="0"/>
          <w:marRight w:val="0"/>
          <w:marTop w:val="0"/>
          <w:marBottom w:val="0"/>
          <w:divBdr>
            <w:top w:val="none" w:sz="0" w:space="0" w:color="auto"/>
            <w:left w:val="none" w:sz="0" w:space="0" w:color="auto"/>
            <w:bottom w:val="none" w:sz="0" w:space="0" w:color="auto"/>
            <w:right w:val="none" w:sz="0" w:space="0" w:color="auto"/>
          </w:divBdr>
        </w:div>
      </w:divsChild>
    </w:div>
    <w:div w:id="289669204">
      <w:bodyDiv w:val="1"/>
      <w:marLeft w:val="0"/>
      <w:marRight w:val="0"/>
      <w:marTop w:val="0"/>
      <w:marBottom w:val="0"/>
      <w:divBdr>
        <w:top w:val="none" w:sz="0" w:space="0" w:color="auto"/>
        <w:left w:val="none" w:sz="0" w:space="0" w:color="auto"/>
        <w:bottom w:val="none" w:sz="0" w:space="0" w:color="auto"/>
        <w:right w:val="none" w:sz="0" w:space="0" w:color="auto"/>
      </w:divBdr>
    </w:div>
    <w:div w:id="300499240">
      <w:bodyDiv w:val="1"/>
      <w:marLeft w:val="0"/>
      <w:marRight w:val="0"/>
      <w:marTop w:val="0"/>
      <w:marBottom w:val="0"/>
      <w:divBdr>
        <w:top w:val="none" w:sz="0" w:space="0" w:color="auto"/>
        <w:left w:val="none" w:sz="0" w:space="0" w:color="auto"/>
        <w:bottom w:val="none" w:sz="0" w:space="0" w:color="auto"/>
        <w:right w:val="none" w:sz="0" w:space="0" w:color="auto"/>
      </w:divBdr>
    </w:div>
    <w:div w:id="303972720">
      <w:bodyDiv w:val="1"/>
      <w:marLeft w:val="0"/>
      <w:marRight w:val="0"/>
      <w:marTop w:val="0"/>
      <w:marBottom w:val="0"/>
      <w:divBdr>
        <w:top w:val="none" w:sz="0" w:space="0" w:color="auto"/>
        <w:left w:val="none" w:sz="0" w:space="0" w:color="auto"/>
        <w:bottom w:val="none" w:sz="0" w:space="0" w:color="auto"/>
        <w:right w:val="none" w:sz="0" w:space="0" w:color="auto"/>
      </w:divBdr>
    </w:div>
    <w:div w:id="305166370">
      <w:bodyDiv w:val="1"/>
      <w:marLeft w:val="0"/>
      <w:marRight w:val="0"/>
      <w:marTop w:val="0"/>
      <w:marBottom w:val="0"/>
      <w:divBdr>
        <w:top w:val="none" w:sz="0" w:space="0" w:color="auto"/>
        <w:left w:val="none" w:sz="0" w:space="0" w:color="auto"/>
        <w:bottom w:val="none" w:sz="0" w:space="0" w:color="auto"/>
        <w:right w:val="none" w:sz="0" w:space="0" w:color="auto"/>
      </w:divBdr>
    </w:div>
    <w:div w:id="321587481">
      <w:bodyDiv w:val="1"/>
      <w:marLeft w:val="0"/>
      <w:marRight w:val="0"/>
      <w:marTop w:val="0"/>
      <w:marBottom w:val="0"/>
      <w:divBdr>
        <w:top w:val="none" w:sz="0" w:space="0" w:color="auto"/>
        <w:left w:val="none" w:sz="0" w:space="0" w:color="auto"/>
        <w:bottom w:val="none" w:sz="0" w:space="0" w:color="auto"/>
        <w:right w:val="none" w:sz="0" w:space="0" w:color="auto"/>
      </w:divBdr>
    </w:div>
    <w:div w:id="325715867">
      <w:bodyDiv w:val="1"/>
      <w:marLeft w:val="0"/>
      <w:marRight w:val="0"/>
      <w:marTop w:val="0"/>
      <w:marBottom w:val="0"/>
      <w:divBdr>
        <w:top w:val="none" w:sz="0" w:space="0" w:color="auto"/>
        <w:left w:val="none" w:sz="0" w:space="0" w:color="auto"/>
        <w:bottom w:val="none" w:sz="0" w:space="0" w:color="auto"/>
        <w:right w:val="none" w:sz="0" w:space="0" w:color="auto"/>
      </w:divBdr>
    </w:div>
    <w:div w:id="335424179">
      <w:bodyDiv w:val="1"/>
      <w:marLeft w:val="0"/>
      <w:marRight w:val="0"/>
      <w:marTop w:val="0"/>
      <w:marBottom w:val="0"/>
      <w:divBdr>
        <w:top w:val="none" w:sz="0" w:space="0" w:color="auto"/>
        <w:left w:val="none" w:sz="0" w:space="0" w:color="auto"/>
        <w:bottom w:val="none" w:sz="0" w:space="0" w:color="auto"/>
        <w:right w:val="none" w:sz="0" w:space="0" w:color="auto"/>
      </w:divBdr>
    </w:div>
    <w:div w:id="348874069">
      <w:bodyDiv w:val="1"/>
      <w:marLeft w:val="0"/>
      <w:marRight w:val="0"/>
      <w:marTop w:val="0"/>
      <w:marBottom w:val="0"/>
      <w:divBdr>
        <w:top w:val="none" w:sz="0" w:space="0" w:color="auto"/>
        <w:left w:val="none" w:sz="0" w:space="0" w:color="auto"/>
        <w:bottom w:val="none" w:sz="0" w:space="0" w:color="auto"/>
        <w:right w:val="none" w:sz="0" w:space="0" w:color="auto"/>
      </w:divBdr>
    </w:div>
    <w:div w:id="353575156">
      <w:bodyDiv w:val="1"/>
      <w:marLeft w:val="0"/>
      <w:marRight w:val="0"/>
      <w:marTop w:val="0"/>
      <w:marBottom w:val="0"/>
      <w:divBdr>
        <w:top w:val="none" w:sz="0" w:space="0" w:color="auto"/>
        <w:left w:val="none" w:sz="0" w:space="0" w:color="auto"/>
        <w:bottom w:val="none" w:sz="0" w:space="0" w:color="auto"/>
        <w:right w:val="none" w:sz="0" w:space="0" w:color="auto"/>
      </w:divBdr>
    </w:div>
    <w:div w:id="358551960">
      <w:bodyDiv w:val="1"/>
      <w:marLeft w:val="0"/>
      <w:marRight w:val="0"/>
      <w:marTop w:val="0"/>
      <w:marBottom w:val="0"/>
      <w:divBdr>
        <w:top w:val="none" w:sz="0" w:space="0" w:color="auto"/>
        <w:left w:val="none" w:sz="0" w:space="0" w:color="auto"/>
        <w:bottom w:val="none" w:sz="0" w:space="0" w:color="auto"/>
        <w:right w:val="none" w:sz="0" w:space="0" w:color="auto"/>
      </w:divBdr>
    </w:div>
    <w:div w:id="376710306">
      <w:bodyDiv w:val="1"/>
      <w:marLeft w:val="0"/>
      <w:marRight w:val="0"/>
      <w:marTop w:val="0"/>
      <w:marBottom w:val="0"/>
      <w:divBdr>
        <w:top w:val="none" w:sz="0" w:space="0" w:color="auto"/>
        <w:left w:val="none" w:sz="0" w:space="0" w:color="auto"/>
        <w:bottom w:val="none" w:sz="0" w:space="0" w:color="auto"/>
        <w:right w:val="none" w:sz="0" w:space="0" w:color="auto"/>
      </w:divBdr>
    </w:div>
    <w:div w:id="377899524">
      <w:bodyDiv w:val="1"/>
      <w:marLeft w:val="0"/>
      <w:marRight w:val="0"/>
      <w:marTop w:val="0"/>
      <w:marBottom w:val="0"/>
      <w:divBdr>
        <w:top w:val="none" w:sz="0" w:space="0" w:color="auto"/>
        <w:left w:val="none" w:sz="0" w:space="0" w:color="auto"/>
        <w:bottom w:val="none" w:sz="0" w:space="0" w:color="auto"/>
        <w:right w:val="none" w:sz="0" w:space="0" w:color="auto"/>
      </w:divBdr>
    </w:div>
    <w:div w:id="397678974">
      <w:bodyDiv w:val="1"/>
      <w:marLeft w:val="0"/>
      <w:marRight w:val="0"/>
      <w:marTop w:val="0"/>
      <w:marBottom w:val="0"/>
      <w:divBdr>
        <w:top w:val="none" w:sz="0" w:space="0" w:color="auto"/>
        <w:left w:val="none" w:sz="0" w:space="0" w:color="auto"/>
        <w:bottom w:val="none" w:sz="0" w:space="0" w:color="auto"/>
        <w:right w:val="none" w:sz="0" w:space="0" w:color="auto"/>
      </w:divBdr>
    </w:div>
    <w:div w:id="420949679">
      <w:bodyDiv w:val="1"/>
      <w:marLeft w:val="0"/>
      <w:marRight w:val="0"/>
      <w:marTop w:val="0"/>
      <w:marBottom w:val="0"/>
      <w:divBdr>
        <w:top w:val="none" w:sz="0" w:space="0" w:color="auto"/>
        <w:left w:val="none" w:sz="0" w:space="0" w:color="auto"/>
        <w:bottom w:val="none" w:sz="0" w:space="0" w:color="auto"/>
        <w:right w:val="none" w:sz="0" w:space="0" w:color="auto"/>
      </w:divBdr>
    </w:div>
    <w:div w:id="432744595">
      <w:bodyDiv w:val="1"/>
      <w:marLeft w:val="0"/>
      <w:marRight w:val="0"/>
      <w:marTop w:val="0"/>
      <w:marBottom w:val="0"/>
      <w:divBdr>
        <w:top w:val="none" w:sz="0" w:space="0" w:color="auto"/>
        <w:left w:val="none" w:sz="0" w:space="0" w:color="auto"/>
        <w:bottom w:val="none" w:sz="0" w:space="0" w:color="auto"/>
        <w:right w:val="none" w:sz="0" w:space="0" w:color="auto"/>
      </w:divBdr>
    </w:div>
    <w:div w:id="445468482">
      <w:bodyDiv w:val="1"/>
      <w:marLeft w:val="0"/>
      <w:marRight w:val="0"/>
      <w:marTop w:val="0"/>
      <w:marBottom w:val="0"/>
      <w:divBdr>
        <w:top w:val="none" w:sz="0" w:space="0" w:color="auto"/>
        <w:left w:val="none" w:sz="0" w:space="0" w:color="auto"/>
        <w:bottom w:val="none" w:sz="0" w:space="0" w:color="auto"/>
        <w:right w:val="none" w:sz="0" w:space="0" w:color="auto"/>
      </w:divBdr>
    </w:div>
    <w:div w:id="447891779">
      <w:bodyDiv w:val="1"/>
      <w:marLeft w:val="0"/>
      <w:marRight w:val="0"/>
      <w:marTop w:val="0"/>
      <w:marBottom w:val="0"/>
      <w:divBdr>
        <w:top w:val="none" w:sz="0" w:space="0" w:color="auto"/>
        <w:left w:val="none" w:sz="0" w:space="0" w:color="auto"/>
        <w:bottom w:val="none" w:sz="0" w:space="0" w:color="auto"/>
        <w:right w:val="none" w:sz="0" w:space="0" w:color="auto"/>
      </w:divBdr>
    </w:div>
    <w:div w:id="461461209">
      <w:bodyDiv w:val="1"/>
      <w:marLeft w:val="0"/>
      <w:marRight w:val="0"/>
      <w:marTop w:val="0"/>
      <w:marBottom w:val="0"/>
      <w:divBdr>
        <w:top w:val="none" w:sz="0" w:space="0" w:color="auto"/>
        <w:left w:val="none" w:sz="0" w:space="0" w:color="auto"/>
        <w:bottom w:val="none" w:sz="0" w:space="0" w:color="auto"/>
        <w:right w:val="none" w:sz="0" w:space="0" w:color="auto"/>
      </w:divBdr>
    </w:div>
    <w:div w:id="528028946">
      <w:bodyDiv w:val="1"/>
      <w:marLeft w:val="0"/>
      <w:marRight w:val="0"/>
      <w:marTop w:val="0"/>
      <w:marBottom w:val="0"/>
      <w:divBdr>
        <w:top w:val="none" w:sz="0" w:space="0" w:color="auto"/>
        <w:left w:val="none" w:sz="0" w:space="0" w:color="auto"/>
        <w:bottom w:val="none" w:sz="0" w:space="0" w:color="auto"/>
        <w:right w:val="none" w:sz="0" w:space="0" w:color="auto"/>
      </w:divBdr>
    </w:div>
    <w:div w:id="536091754">
      <w:bodyDiv w:val="1"/>
      <w:marLeft w:val="0"/>
      <w:marRight w:val="0"/>
      <w:marTop w:val="0"/>
      <w:marBottom w:val="0"/>
      <w:divBdr>
        <w:top w:val="none" w:sz="0" w:space="0" w:color="auto"/>
        <w:left w:val="none" w:sz="0" w:space="0" w:color="auto"/>
        <w:bottom w:val="none" w:sz="0" w:space="0" w:color="auto"/>
        <w:right w:val="none" w:sz="0" w:space="0" w:color="auto"/>
      </w:divBdr>
      <w:divsChild>
        <w:div w:id="42751447">
          <w:marLeft w:val="0"/>
          <w:marRight w:val="0"/>
          <w:marTop w:val="0"/>
          <w:marBottom w:val="0"/>
          <w:divBdr>
            <w:top w:val="none" w:sz="0" w:space="0" w:color="auto"/>
            <w:left w:val="none" w:sz="0" w:space="0" w:color="auto"/>
            <w:bottom w:val="none" w:sz="0" w:space="0" w:color="auto"/>
            <w:right w:val="none" w:sz="0" w:space="0" w:color="auto"/>
          </w:divBdr>
        </w:div>
        <w:div w:id="867910320">
          <w:marLeft w:val="0"/>
          <w:marRight w:val="0"/>
          <w:marTop w:val="0"/>
          <w:marBottom w:val="0"/>
          <w:divBdr>
            <w:top w:val="none" w:sz="0" w:space="0" w:color="auto"/>
            <w:left w:val="none" w:sz="0" w:space="0" w:color="auto"/>
            <w:bottom w:val="none" w:sz="0" w:space="0" w:color="auto"/>
            <w:right w:val="none" w:sz="0" w:space="0" w:color="auto"/>
          </w:divBdr>
        </w:div>
        <w:div w:id="1468888018">
          <w:marLeft w:val="0"/>
          <w:marRight w:val="0"/>
          <w:marTop w:val="0"/>
          <w:marBottom w:val="0"/>
          <w:divBdr>
            <w:top w:val="none" w:sz="0" w:space="0" w:color="auto"/>
            <w:left w:val="none" w:sz="0" w:space="0" w:color="auto"/>
            <w:bottom w:val="none" w:sz="0" w:space="0" w:color="auto"/>
            <w:right w:val="none" w:sz="0" w:space="0" w:color="auto"/>
          </w:divBdr>
        </w:div>
        <w:div w:id="1588467226">
          <w:marLeft w:val="0"/>
          <w:marRight w:val="0"/>
          <w:marTop w:val="0"/>
          <w:marBottom w:val="0"/>
          <w:divBdr>
            <w:top w:val="none" w:sz="0" w:space="0" w:color="auto"/>
            <w:left w:val="none" w:sz="0" w:space="0" w:color="auto"/>
            <w:bottom w:val="none" w:sz="0" w:space="0" w:color="auto"/>
            <w:right w:val="none" w:sz="0" w:space="0" w:color="auto"/>
          </w:divBdr>
        </w:div>
        <w:div w:id="1858886550">
          <w:marLeft w:val="0"/>
          <w:marRight w:val="0"/>
          <w:marTop w:val="0"/>
          <w:marBottom w:val="0"/>
          <w:divBdr>
            <w:top w:val="none" w:sz="0" w:space="0" w:color="auto"/>
            <w:left w:val="none" w:sz="0" w:space="0" w:color="auto"/>
            <w:bottom w:val="none" w:sz="0" w:space="0" w:color="auto"/>
            <w:right w:val="none" w:sz="0" w:space="0" w:color="auto"/>
          </w:divBdr>
        </w:div>
        <w:div w:id="1888566202">
          <w:marLeft w:val="0"/>
          <w:marRight w:val="0"/>
          <w:marTop w:val="0"/>
          <w:marBottom w:val="0"/>
          <w:divBdr>
            <w:top w:val="none" w:sz="0" w:space="0" w:color="auto"/>
            <w:left w:val="none" w:sz="0" w:space="0" w:color="auto"/>
            <w:bottom w:val="none" w:sz="0" w:space="0" w:color="auto"/>
            <w:right w:val="none" w:sz="0" w:space="0" w:color="auto"/>
          </w:divBdr>
        </w:div>
        <w:div w:id="1889224644">
          <w:marLeft w:val="0"/>
          <w:marRight w:val="0"/>
          <w:marTop w:val="0"/>
          <w:marBottom w:val="0"/>
          <w:divBdr>
            <w:top w:val="none" w:sz="0" w:space="0" w:color="auto"/>
            <w:left w:val="none" w:sz="0" w:space="0" w:color="auto"/>
            <w:bottom w:val="none" w:sz="0" w:space="0" w:color="auto"/>
            <w:right w:val="none" w:sz="0" w:space="0" w:color="auto"/>
          </w:divBdr>
        </w:div>
        <w:div w:id="2008823247">
          <w:marLeft w:val="0"/>
          <w:marRight w:val="0"/>
          <w:marTop w:val="0"/>
          <w:marBottom w:val="0"/>
          <w:divBdr>
            <w:top w:val="none" w:sz="0" w:space="0" w:color="auto"/>
            <w:left w:val="none" w:sz="0" w:space="0" w:color="auto"/>
            <w:bottom w:val="none" w:sz="0" w:space="0" w:color="auto"/>
            <w:right w:val="none" w:sz="0" w:space="0" w:color="auto"/>
          </w:divBdr>
        </w:div>
      </w:divsChild>
    </w:div>
    <w:div w:id="550769866">
      <w:bodyDiv w:val="1"/>
      <w:marLeft w:val="0"/>
      <w:marRight w:val="0"/>
      <w:marTop w:val="0"/>
      <w:marBottom w:val="0"/>
      <w:divBdr>
        <w:top w:val="none" w:sz="0" w:space="0" w:color="auto"/>
        <w:left w:val="none" w:sz="0" w:space="0" w:color="auto"/>
        <w:bottom w:val="none" w:sz="0" w:space="0" w:color="auto"/>
        <w:right w:val="none" w:sz="0" w:space="0" w:color="auto"/>
      </w:divBdr>
    </w:div>
    <w:div w:id="552540324">
      <w:bodyDiv w:val="1"/>
      <w:marLeft w:val="0"/>
      <w:marRight w:val="0"/>
      <w:marTop w:val="0"/>
      <w:marBottom w:val="0"/>
      <w:divBdr>
        <w:top w:val="none" w:sz="0" w:space="0" w:color="auto"/>
        <w:left w:val="none" w:sz="0" w:space="0" w:color="auto"/>
        <w:bottom w:val="none" w:sz="0" w:space="0" w:color="auto"/>
        <w:right w:val="none" w:sz="0" w:space="0" w:color="auto"/>
      </w:divBdr>
    </w:div>
    <w:div w:id="556821113">
      <w:bodyDiv w:val="1"/>
      <w:marLeft w:val="0"/>
      <w:marRight w:val="0"/>
      <w:marTop w:val="0"/>
      <w:marBottom w:val="0"/>
      <w:divBdr>
        <w:top w:val="none" w:sz="0" w:space="0" w:color="auto"/>
        <w:left w:val="none" w:sz="0" w:space="0" w:color="auto"/>
        <w:bottom w:val="none" w:sz="0" w:space="0" w:color="auto"/>
        <w:right w:val="none" w:sz="0" w:space="0" w:color="auto"/>
      </w:divBdr>
    </w:div>
    <w:div w:id="562722342">
      <w:bodyDiv w:val="1"/>
      <w:marLeft w:val="0"/>
      <w:marRight w:val="0"/>
      <w:marTop w:val="0"/>
      <w:marBottom w:val="0"/>
      <w:divBdr>
        <w:top w:val="none" w:sz="0" w:space="0" w:color="auto"/>
        <w:left w:val="none" w:sz="0" w:space="0" w:color="auto"/>
        <w:bottom w:val="none" w:sz="0" w:space="0" w:color="auto"/>
        <w:right w:val="none" w:sz="0" w:space="0" w:color="auto"/>
      </w:divBdr>
    </w:div>
    <w:div w:id="566381051">
      <w:bodyDiv w:val="1"/>
      <w:marLeft w:val="0"/>
      <w:marRight w:val="0"/>
      <w:marTop w:val="0"/>
      <w:marBottom w:val="0"/>
      <w:divBdr>
        <w:top w:val="none" w:sz="0" w:space="0" w:color="auto"/>
        <w:left w:val="none" w:sz="0" w:space="0" w:color="auto"/>
        <w:bottom w:val="none" w:sz="0" w:space="0" w:color="auto"/>
        <w:right w:val="none" w:sz="0" w:space="0" w:color="auto"/>
      </w:divBdr>
    </w:div>
    <w:div w:id="585069159">
      <w:bodyDiv w:val="1"/>
      <w:marLeft w:val="0"/>
      <w:marRight w:val="0"/>
      <w:marTop w:val="0"/>
      <w:marBottom w:val="0"/>
      <w:divBdr>
        <w:top w:val="none" w:sz="0" w:space="0" w:color="auto"/>
        <w:left w:val="none" w:sz="0" w:space="0" w:color="auto"/>
        <w:bottom w:val="none" w:sz="0" w:space="0" w:color="auto"/>
        <w:right w:val="none" w:sz="0" w:space="0" w:color="auto"/>
      </w:divBdr>
      <w:divsChild>
        <w:div w:id="214780695">
          <w:marLeft w:val="0"/>
          <w:marRight w:val="0"/>
          <w:marTop w:val="0"/>
          <w:marBottom w:val="0"/>
          <w:divBdr>
            <w:top w:val="none" w:sz="0" w:space="0" w:color="auto"/>
            <w:left w:val="none" w:sz="0" w:space="0" w:color="auto"/>
            <w:bottom w:val="none" w:sz="0" w:space="0" w:color="auto"/>
            <w:right w:val="none" w:sz="0" w:space="0" w:color="auto"/>
          </w:divBdr>
        </w:div>
        <w:div w:id="216670044">
          <w:marLeft w:val="0"/>
          <w:marRight w:val="0"/>
          <w:marTop w:val="0"/>
          <w:marBottom w:val="0"/>
          <w:divBdr>
            <w:top w:val="none" w:sz="0" w:space="0" w:color="auto"/>
            <w:left w:val="none" w:sz="0" w:space="0" w:color="auto"/>
            <w:bottom w:val="none" w:sz="0" w:space="0" w:color="auto"/>
            <w:right w:val="none" w:sz="0" w:space="0" w:color="auto"/>
          </w:divBdr>
        </w:div>
        <w:div w:id="226577943">
          <w:marLeft w:val="0"/>
          <w:marRight w:val="0"/>
          <w:marTop w:val="0"/>
          <w:marBottom w:val="0"/>
          <w:divBdr>
            <w:top w:val="none" w:sz="0" w:space="0" w:color="auto"/>
            <w:left w:val="none" w:sz="0" w:space="0" w:color="auto"/>
            <w:bottom w:val="none" w:sz="0" w:space="0" w:color="auto"/>
            <w:right w:val="none" w:sz="0" w:space="0" w:color="auto"/>
          </w:divBdr>
        </w:div>
        <w:div w:id="652879615">
          <w:marLeft w:val="0"/>
          <w:marRight w:val="0"/>
          <w:marTop w:val="0"/>
          <w:marBottom w:val="0"/>
          <w:divBdr>
            <w:top w:val="none" w:sz="0" w:space="0" w:color="auto"/>
            <w:left w:val="none" w:sz="0" w:space="0" w:color="auto"/>
            <w:bottom w:val="none" w:sz="0" w:space="0" w:color="auto"/>
            <w:right w:val="none" w:sz="0" w:space="0" w:color="auto"/>
          </w:divBdr>
        </w:div>
        <w:div w:id="951203074">
          <w:marLeft w:val="0"/>
          <w:marRight w:val="0"/>
          <w:marTop w:val="0"/>
          <w:marBottom w:val="0"/>
          <w:divBdr>
            <w:top w:val="none" w:sz="0" w:space="0" w:color="auto"/>
            <w:left w:val="none" w:sz="0" w:space="0" w:color="auto"/>
            <w:bottom w:val="none" w:sz="0" w:space="0" w:color="auto"/>
            <w:right w:val="none" w:sz="0" w:space="0" w:color="auto"/>
          </w:divBdr>
        </w:div>
        <w:div w:id="1056930036">
          <w:marLeft w:val="0"/>
          <w:marRight w:val="0"/>
          <w:marTop w:val="0"/>
          <w:marBottom w:val="0"/>
          <w:divBdr>
            <w:top w:val="none" w:sz="0" w:space="0" w:color="auto"/>
            <w:left w:val="none" w:sz="0" w:space="0" w:color="auto"/>
            <w:bottom w:val="none" w:sz="0" w:space="0" w:color="auto"/>
            <w:right w:val="none" w:sz="0" w:space="0" w:color="auto"/>
          </w:divBdr>
        </w:div>
        <w:div w:id="1189173623">
          <w:marLeft w:val="0"/>
          <w:marRight w:val="0"/>
          <w:marTop w:val="0"/>
          <w:marBottom w:val="0"/>
          <w:divBdr>
            <w:top w:val="none" w:sz="0" w:space="0" w:color="auto"/>
            <w:left w:val="none" w:sz="0" w:space="0" w:color="auto"/>
            <w:bottom w:val="none" w:sz="0" w:space="0" w:color="auto"/>
            <w:right w:val="none" w:sz="0" w:space="0" w:color="auto"/>
          </w:divBdr>
        </w:div>
        <w:div w:id="1461877843">
          <w:marLeft w:val="0"/>
          <w:marRight w:val="0"/>
          <w:marTop w:val="0"/>
          <w:marBottom w:val="0"/>
          <w:divBdr>
            <w:top w:val="none" w:sz="0" w:space="0" w:color="auto"/>
            <w:left w:val="none" w:sz="0" w:space="0" w:color="auto"/>
            <w:bottom w:val="none" w:sz="0" w:space="0" w:color="auto"/>
            <w:right w:val="none" w:sz="0" w:space="0" w:color="auto"/>
          </w:divBdr>
        </w:div>
        <w:div w:id="1495339790">
          <w:marLeft w:val="0"/>
          <w:marRight w:val="0"/>
          <w:marTop w:val="0"/>
          <w:marBottom w:val="0"/>
          <w:divBdr>
            <w:top w:val="none" w:sz="0" w:space="0" w:color="auto"/>
            <w:left w:val="none" w:sz="0" w:space="0" w:color="auto"/>
            <w:bottom w:val="none" w:sz="0" w:space="0" w:color="auto"/>
            <w:right w:val="none" w:sz="0" w:space="0" w:color="auto"/>
          </w:divBdr>
        </w:div>
        <w:div w:id="1500802597">
          <w:marLeft w:val="0"/>
          <w:marRight w:val="0"/>
          <w:marTop w:val="0"/>
          <w:marBottom w:val="0"/>
          <w:divBdr>
            <w:top w:val="none" w:sz="0" w:space="0" w:color="auto"/>
            <w:left w:val="none" w:sz="0" w:space="0" w:color="auto"/>
            <w:bottom w:val="none" w:sz="0" w:space="0" w:color="auto"/>
            <w:right w:val="none" w:sz="0" w:space="0" w:color="auto"/>
          </w:divBdr>
        </w:div>
        <w:div w:id="1621841645">
          <w:marLeft w:val="0"/>
          <w:marRight w:val="0"/>
          <w:marTop w:val="0"/>
          <w:marBottom w:val="0"/>
          <w:divBdr>
            <w:top w:val="none" w:sz="0" w:space="0" w:color="auto"/>
            <w:left w:val="none" w:sz="0" w:space="0" w:color="auto"/>
            <w:bottom w:val="none" w:sz="0" w:space="0" w:color="auto"/>
            <w:right w:val="none" w:sz="0" w:space="0" w:color="auto"/>
          </w:divBdr>
        </w:div>
        <w:div w:id="1625038496">
          <w:marLeft w:val="0"/>
          <w:marRight w:val="0"/>
          <w:marTop w:val="0"/>
          <w:marBottom w:val="0"/>
          <w:divBdr>
            <w:top w:val="none" w:sz="0" w:space="0" w:color="auto"/>
            <w:left w:val="none" w:sz="0" w:space="0" w:color="auto"/>
            <w:bottom w:val="none" w:sz="0" w:space="0" w:color="auto"/>
            <w:right w:val="none" w:sz="0" w:space="0" w:color="auto"/>
          </w:divBdr>
        </w:div>
      </w:divsChild>
    </w:div>
    <w:div w:id="593628856">
      <w:bodyDiv w:val="1"/>
      <w:marLeft w:val="0"/>
      <w:marRight w:val="0"/>
      <w:marTop w:val="0"/>
      <w:marBottom w:val="0"/>
      <w:divBdr>
        <w:top w:val="none" w:sz="0" w:space="0" w:color="auto"/>
        <w:left w:val="none" w:sz="0" w:space="0" w:color="auto"/>
        <w:bottom w:val="none" w:sz="0" w:space="0" w:color="auto"/>
        <w:right w:val="none" w:sz="0" w:space="0" w:color="auto"/>
      </w:divBdr>
    </w:div>
    <w:div w:id="623196700">
      <w:bodyDiv w:val="1"/>
      <w:marLeft w:val="0"/>
      <w:marRight w:val="0"/>
      <w:marTop w:val="0"/>
      <w:marBottom w:val="0"/>
      <w:divBdr>
        <w:top w:val="none" w:sz="0" w:space="0" w:color="auto"/>
        <w:left w:val="none" w:sz="0" w:space="0" w:color="auto"/>
        <w:bottom w:val="none" w:sz="0" w:space="0" w:color="auto"/>
        <w:right w:val="none" w:sz="0" w:space="0" w:color="auto"/>
      </w:divBdr>
    </w:div>
    <w:div w:id="629242136">
      <w:bodyDiv w:val="1"/>
      <w:marLeft w:val="0"/>
      <w:marRight w:val="0"/>
      <w:marTop w:val="0"/>
      <w:marBottom w:val="0"/>
      <w:divBdr>
        <w:top w:val="none" w:sz="0" w:space="0" w:color="auto"/>
        <w:left w:val="none" w:sz="0" w:space="0" w:color="auto"/>
        <w:bottom w:val="none" w:sz="0" w:space="0" w:color="auto"/>
        <w:right w:val="none" w:sz="0" w:space="0" w:color="auto"/>
      </w:divBdr>
      <w:divsChild>
        <w:div w:id="13770418">
          <w:marLeft w:val="0"/>
          <w:marRight w:val="0"/>
          <w:marTop w:val="0"/>
          <w:marBottom w:val="0"/>
          <w:divBdr>
            <w:top w:val="none" w:sz="0" w:space="0" w:color="auto"/>
            <w:left w:val="none" w:sz="0" w:space="0" w:color="auto"/>
            <w:bottom w:val="none" w:sz="0" w:space="0" w:color="auto"/>
            <w:right w:val="none" w:sz="0" w:space="0" w:color="auto"/>
          </w:divBdr>
        </w:div>
        <w:div w:id="65424882">
          <w:marLeft w:val="0"/>
          <w:marRight w:val="0"/>
          <w:marTop w:val="0"/>
          <w:marBottom w:val="0"/>
          <w:divBdr>
            <w:top w:val="none" w:sz="0" w:space="0" w:color="auto"/>
            <w:left w:val="none" w:sz="0" w:space="0" w:color="auto"/>
            <w:bottom w:val="none" w:sz="0" w:space="0" w:color="auto"/>
            <w:right w:val="none" w:sz="0" w:space="0" w:color="auto"/>
          </w:divBdr>
        </w:div>
        <w:div w:id="102381458">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106196646">
          <w:marLeft w:val="0"/>
          <w:marRight w:val="0"/>
          <w:marTop w:val="0"/>
          <w:marBottom w:val="0"/>
          <w:divBdr>
            <w:top w:val="none" w:sz="0" w:space="0" w:color="auto"/>
            <w:left w:val="none" w:sz="0" w:space="0" w:color="auto"/>
            <w:bottom w:val="none" w:sz="0" w:space="0" w:color="auto"/>
            <w:right w:val="none" w:sz="0" w:space="0" w:color="auto"/>
          </w:divBdr>
        </w:div>
        <w:div w:id="289752225">
          <w:marLeft w:val="0"/>
          <w:marRight w:val="0"/>
          <w:marTop w:val="0"/>
          <w:marBottom w:val="0"/>
          <w:divBdr>
            <w:top w:val="none" w:sz="0" w:space="0" w:color="auto"/>
            <w:left w:val="none" w:sz="0" w:space="0" w:color="auto"/>
            <w:bottom w:val="none" w:sz="0" w:space="0" w:color="auto"/>
            <w:right w:val="none" w:sz="0" w:space="0" w:color="auto"/>
          </w:divBdr>
        </w:div>
        <w:div w:id="353919931">
          <w:marLeft w:val="0"/>
          <w:marRight w:val="0"/>
          <w:marTop w:val="0"/>
          <w:marBottom w:val="0"/>
          <w:divBdr>
            <w:top w:val="none" w:sz="0" w:space="0" w:color="auto"/>
            <w:left w:val="none" w:sz="0" w:space="0" w:color="auto"/>
            <w:bottom w:val="none" w:sz="0" w:space="0" w:color="auto"/>
            <w:right w:val="none" w:sz="0" w:space="0" w:color="auto"/>
          </w:divBdr>
        </w:div>
        <w:div w:id="396322773">
          <w:marLeft w:val="0"/>
          <w:marRight w:val="0"/>
          <w:marTop w:val="0"/>
          <w:marBottom w:val="0"/>
          <w:divBdr>
            <w:top w:val="none" w:sz="0" w:space="0" w:color="auto"/>
            <w:left w:val="none" w:sz="0" w:space="0" w:color="auto"/>
            <w:bottom w:val="none" w:sz="0" w:space="0" w:color="auto"/>
            <w:right w:val="none" w:sz="0" w:space="0" w:color="auto"/>
          </w:divBdr>
        </w:div>
        <w:div w:id="590771995">
          <w:marLeft w:val="0"/>
          <w:marRight w:val="0"/>
          <w:marTop w:val="0"/>
          <w:marBottom w:val="0"/>
          <w:divBdr>
            <w:top w:val="none" w:sz="0" w:space="0" w:color="auto"/>
            <w:left w:val="none" w:sz="0" w:space="0" w:color="auto"/>
            <w:bottom w:val="none" w:sz="0" w:space="0" w:color="auto"/>
            <w:right w:val="none" w:sz="0" w:space="0" w:color="auto"/>
          </w:divBdr>
        </w:div>
        <w:div w:id="642855173">
          <w:marLeft w:val="0"/>
          <w:marRight w:val="0"/>
          <w:marTop w:val="0"/>
          <w:marBottom w:val="0"/>
          <w:divBdr>
            <w:top w:val="none" w:sz="0" w:space="0" w:color="auto"/>
            <w:left w:val="none" w:sz="0" w:space="0" w:color="auto"/>
            <w:bottom w:val="none" w:sz="0" w:space="0" w:color="auto"/>
            <w:right w:val="none" w:sz="0" w:space="0" w:color="auto"/>
          </w:divBdr>
        </w:div>
        <w:div w:id="683826240">
          <w:marLeft w:val="0"/>
          <w:marRight w:val="0"/>
          <w:marTop w:val="0"/>
          <w:marBottom w:val="0"/>
          <w:divBdr>
            <w:top w:val="none" w:sz="0" w:space="0" w:color="auto"/>
            <w:left w:val="none" w:sz="0" w:space="0" w:color="auto"/>
            <w:bottom w:val="none" w:sz="0" w:space="0" w:color="auto"/>
            <w:right w:val="none" w:sz="0" w:space="0" w:color="auto"/>
          </w:divBdr>
        </w:div>
        <w:div w:id="741291387">
          <w:marLeft w:val="0"/>
          <w:marRight w:val="0"/>
          <w:marTop w:val="0"/>
          <w:marBottom w:val="0"/>
          <w:divBdr>
            <w:top w:val="none" w:sz="0" w:space="0" w:color="auto"/>
            <w:left w:val="none" w:sz="0" w:space="0" w:color="auto"/>
            <w:bottom w:val="none" w:sz="0" w:space="0" w:color="auto"/>
            <w:right w:val="none" w:sz="0" w:space="0" w:color="auto"/>
          </w:divBdr>
        </w:div>
        <w:div w:id="759645312">
          <w:marLeft w:val="0"/>
          <w:marRight w:val="0"/>
          <w:marTop w:val="0"/>
          <w:marBottom w:val="0"/>
          <w:divBdr>
            <w:top w:val="none" w:sz="0" w:space="0" w:color="auto"/>
            <w:left w:val="none" w:sz="0" w:space="0" w:color="auto"/>
            <w:bottom w:val="none" w:sz="0" w:space="0" w:color="auto"/>
            <w:right w:val="none" w:sz="0" w:space="0" w:color="auto"/>
          </w:divBdr>
        </w:div>
        <w:div w:id="893472337">
          <w:marLeft w:val="0"/>
          <w:marRight w:val="0"/>
          <w:marTop w:val="0"/>
          <w:marBottom w:val="0"/>
          <w:divBdr>
            <w:top w:val="none" w:sz="0" w:space="0" w:color="auto"/>
            <w:left w:val="none" w:sz="0" w:space="0" w:color="auto"/>
            <w:bottom w:val="none" w:sz="0" w:space="0" w:color="auto"/>
            <w:right w:val="none" w:sz="0" w:space="0" w:color="auto"/>
          </w:divBdr>
        </w:div>
        <w:div w:id="973171024">
          <w:marLeft w:val="0"/>
          <w:marRight w:val="0"/>
          <w:marTop w:val="0"/>
          <w:marBottom w:val="0"/>
          <w:divBdr>
            <w:top w:val="none" w:sz="0" w:space="0" w:color="auto"/>
            <w:left w:val="none" w:sz="0" w:space="0" w:color="auto"/>
            <w:bottom w:val="none" w:sz="0" w:space="0" w:color="auto"/>
            <w:right w:val="none" w:sz="0" w:space="0" w:color="auto"/>
          </w:divBdr>
        </w:div>
        <w:div w:id="993995979">
          <w:marLeft w:val="0"/>
          <w:marRight w:val="0"/>
          <w:marTop w:val="0"/>
          <w:marBottom w:val="0"/>
          <w:divBdr>
            <w:top w:val="none" w:sz="0" w:space="0" w:color="auto"/>
            <w:left w:val="none" w:sz="0" w:space="0" w:color="auto"/>
            <w:bottom w:val="none" w:sz="0" w:space="0" w:color="auto"/>
            <w:right w:val="none" w:sz="0" w:space="0" w:color="auto"/>
          </w:divBdr>
        </w:div>
        <w:div w:id="1019546001">
          <w:marLeft w:val="0"/>
          <w:marRight w:val="0"/>
          <w:marTop w:val="0"/>
          <w:marBottom w:val="0"/>
          <w:divBdr>
            <w:top w:val="none" w:sz="0" w:space="0" w:color="auto"/>
            <w:left w:val="none" w:sz="0" w:space="0" w:color="auto"/>
            <w:bottom w:val="none" w:sz="0" w:space="0" w:color="auto"/>
            <w:right w:val="none" w:sz="0" w:space="0" w:color="auto"/>
          </w:divBdr>
        </w:div>
        <w:div w:id="1075979306">
          <w:marLeft w:val="0"/>
          <w:marRight w:val="0"/>
          <w:marTop w:val="0"/>
          <w:marBottom w:val="0"/>
          <w:divBdr>
            <w:top w:val="none" w:sz="0" w:space="0" w:color="auto"/>
            <w:left w:val="none" w:sz="0" w:space="0" w:color="auto"/>
            <w:bottom w:val="none" w:sz="0" w:space="0" w:color="auto"/>
            <w:right w:val="none" w:sz="0" w:space="0" w:color="auto"/>
          </w:divBdr>
        </w:div>
        <w:div w:id="1093891749">
          <w:marLeft w:val="0"/>
          <w:marRight w:val="0"/>
          <w:marTop w:val="0"/>
          <w:marBottom w:val="0"/>
          <w:divBdr>
            <w:top w:val="none" w:sz="0" w:space="0" w:color="auto"/>
            <w:left w:val="none" w:sz="0" w:space="0" w:color="auto"/>
            <w:bottom w:val="none" w:sz="0" w:space="0" w:color="auto"/>
            <w:right w:val="none" w:sz="0" w:space="0" w:color="auto"/>
          </w:divBdr>
        </w:div>
        <w:div w:id="1190559675">
          <w:marLeft w:val="0"/>
          <w:marRight w:val="0"/>
          <w:marTop w:val="0"/>
          <w:marBottom w:val="0"/>
          <w:divBdr>
            <w:top w:val="none" w:sz="0" w:space="0" w:color="auto"/>
            <w:left w:val="none" w:sz="0" w:space="0" w:color="auto"/>
            <w:bottom w:val="none" w:sz="0" w:space="0" w:color="auto"/>
            <w:right w:val="none" w:sz="0" w:space="0" w:color="auto"/>
          </w:divBdr>
        </w:div>
        <w:div w:id="1277568248">
          <w:marLeft w:val="0"/>
          <w:marRight w:val="0"/>
          <w:marTop w:val="0"/>
          <w:marBottom w:val="0"/>
          <w:divBdr>
            <w:top w:val="none" w:sz="0" w:space="0" w:color="auto"/>
            <w:left w:val="none" w:sz="0" w:space="0" w:color="auto"/>
            <w:bottom w:val="none" w:sz="0" w:space="0" w:color="auto"/>
            <w:right w:val="none" w:sz="0" w:space="0" w:color="auto"/>
          </w:divBdr>
        </w:div>
        <w:div w:id="1284921225">
          <w:marLeft w:val="0"/>
          <w:marRight w:val="0"/>
          <w:marTop w:val="0"/>
          <w:marBottom w:val="0"/>
          <w:divBdr>
            <w:top w:val="none" w:sz="0" w:space="0" w:color="auto"/>
            <w:left w:val="none" w:sz="0" w:space="0" w:color="auto"/>
            <w:bottom w:val="none" w:sz="0" w:space="0" w:color="auto"/>
            <w:right w:val="none" w:sz="0" w:space="0" w:color="auto"/>
          </w:divBdr>
        </w:div>
        <w:div w:id="1309555204">
          <w:marLeft w:val="0"/>
          <w:marRight w:val="0"/>
          <w:marTop w:val="0"/>
          <w:marBottom w:val="0"/>
          <w:divBdr>
            <w:top w:val="none" w:sz="0" w:space="0" w:color="auto"/>
            <w:left w:val="none" w:sz="0" w:space="0" w:color="auto"/>
            <w:bottom w:val="none" w:sz="0" w:space="0" w:color="auto"/>
            <w:right w:val="none" w:sz="0" w:space="0" w:color="auto"/>
          </w:divBdr>
        </w:div>
        <w:div w:id="1311983369">
          <w:marLeft w:val="0"/>
          <w:marRight w:val="0"/>
          <w:marTop w:val="0"/>
          <w:marBottom w:val="0"/>
          <w:divBdr>
            <w:top w:val="none" w:sz="0" w:space="0" w:color="auto"/>
            <w:left w:val="none" w:sz="0" w:space="0" w:color="auto"/>
            <w:bottom w:val="none" w:sz="0" w:space="0" w:color="auto"/>
            <w:right w:val="none" w:sz="0" w:space="0" w:color="auto"/>
          </w:divBdr>
        </w:div>
        <w:div w:id="1333024740">
          <w:marLeft w:val="0"/>
          <w:marRight w:val="0"/>
          <w:marTop w:val="0"/>
          <w:marBottom w:val="0"/>
          <w:divBdr>
            <w:top w:val="none" w:sz="0" w:space="0" w:color="auto"/>
            <w:left w:val="none" w:sz="0" w:space="0" w:color="auto"/>
            <w:bottom w:val="none" w:sz="0" w:space="0" w:color="auto"/>
            <w:right w:val="none" w:sz="0" w:space="0" w:color="auto"/>
          </w:divBdr>
        </w:div>
        <w:div w:id="1346521472">
          <w:marLeft w:val="0"/>
          <w:marRight w:val="0"/>
          <w:marTop w:val="0"/>
          <w:marBottom w:val="0"/>
          <w:divBdr>
            <w:top w:val="none" w:sz="0" w:space="0" w:color="auto"/>
            <w:left w:val="none" w:sz="0" w:space="0" w:color="auto"/>
            <w:bottom w:val="none" w:sz="0" w:space="0" w:color="auto"/>
            <w:right w:val="none" w:sz="0" w:space="0" w:color="auto"/>
          </w:divBdr>
        </w:div>
        <w:div w:id="1353798901">
          <w:marLeft w:val="0"/>
          <w:marRight w:val="0"/>
          <w:marTop w:val="0"/>
          <w:marBottom w:val="0"/>
          <w:divBdr>
            <w:top w:val="none" w:sz="0" w:space="0" w:color="auto"/>
            <w:left w:val="none" w:sz="0" w:space="0" w:color="auto"/>
            <w:bottom w:val="none" w:sz="0" w:space="0" w:color="auto"/>
            <w:right w:val="none" w:sz="0" w:space="0" w:color="auto"/>
          </w:divBdr>
        </w:div>
        <w:div w:id="1355691977">
          <w:marLeft w:val="0"/>
          <w:marRight w:val="0"/>
          <w:marTop w:val="0"/>
          <w:marBottom w:val="0"/>
          <w:divBdr>
            <w:top w:val="none" w:sz="0" w:space="0" w:color="auto"/>
            <w:left w:val="none" w:sz="0" w:space="0" w:color="auto"/>
            <w:bottom w:val="none" w:sz="0" w:space="0" w:color="auto"/>
            <w:right w:val="none" w:sz="0" w:space="0" w:color="auto"/>
          </w:divBdr>
        </w:div>
        <w:div w:id="1364401518">
          <w:marLeft w:val="0"/>
          <w:marRight w:val="0"/>
          <w:marTop w:val="0"/>
          <w:marBottom w:val="0"/>
          <w:divBdr>
            <w:top w:val="none" w:sz="0" w:space="0" w:color="auto"/>
            <w:left w:val="none" w:sz="0" w:space="0" w:color="auto"/>
            <w:bottom w:val="none" w:sz="0" w:space="0" w:color="auto"/>
            <w:right w:val="none" w:sz="0" w:space="0" w:color="auto"/>
          </w:divBdr>
        </w:div>
        <w:div w:id="1391461626">
          <w:marLeft w:val="0"/>
          <w:marRight w:val="0"/>
          <w:marTop w:val="0"/>
          <w:marBottom w:val="0"/>
          <w:divBdr>
            <w:top w:val="none" w:sz="0" w:space="0" w:color="auto"/>
            <w:left w:val="none" w:sz="0" w:space="0" w:color="auto"/>
            <w:bottom w:val="none" w:sz="0" w:space="0" w:color="auto"/>
            <w:right w:val="none" w:sz="0" w:space="0" w:color="auto"/>
          </w:divBdr>
        </w:div>
        <w:div w:id="1428387066">
          <w:marLeft w:val="0"/>
          <w:marRight w:val="0"/>
          <w:marTop w:val="0"/>
          <w:marBottom w:val="0"/>
          <w:divBdr>
            <w:top w:val="none" w:sz="0" w:space="0" w:color="auto"/>
            <w:left w:val="none" w:sz="0" w:space="0" w:color="auto"/>
            <w:bottom w:val="none" w:sz="0" w:space="0" w:color="auto"/>
            <w:right w:val="none" w:sz="0" w:space="0" w:color="auto"/>
          </w:divBdr>
        </w:div>
        <w:div w:id="1506557841">
          <w:marLeft w:val="0"/>
          <w:marRight w:val="0"/>
          <w:marTop w:val="0"/>
          <w:marBottom w:val="0"/>
          <w:divBdr>
            <w:top w:val="none" w:sz="0" w:space="0" w:color="auto"/>
            <w:left w:val="none" w:sz="0" w:space="0" w:color="auto"/>
            <w:bottom w:val="none" w:sz="0" w:space="0" w:color="auto"/>
            <w:right w:val="none" w:sz="0" w:space="0" w:color="auto"/>
          </w:divBdr>
        </w:div>
        <w:div w:id="1653212005">
          <w:marLeft w:val="0"/>
          <w:marRight w:val="0"/>
          <w:marTop w:val="0"/>
          <w:marBottom w:val="0"/>
          <w:divBdr>
            <w:top w:val="none" w:sz="0" w:space="0" w:color="auto"/>
            <w:left w:val="none" w:sz="0" w:space="0" w:color="auto"/>
            <w:bottom w:val="none" w:sz="0" w:space="0" w:color="auto"/>
            <w:right w:val="none" w:sz="0" w:space="0" w:color="auto"/>
          </w:divBdr>
        </w:div>
        <w:div w:id="1665015799">
          <w:marLeft w:val="0"/>
          <w:marRight w:val="0"/>
          <w:marTop w:val="0"/>
          <w:marBottom w:val="0"/>
          <w:divBdr>
            <w:top w:val="none" w:sz="0" w:space="0" w:color="auto"/>
            <w:left w:val="none" w:sz="0" w:space="0" w:color="auto"/>
            <w:bottom w:val="none" w:sz="0" w:space="0" w:color="auto"/>
            <w:right w:val="none" w:sz="0" w:space="0" w:color="auto"/>
          </w:divBdr>
        </w:div>
        <w:div w:id="1721248662">
          <w:marLeft w:val="0"/>
          <w:marRight w:val="0"/>
          <w:marTop w:val="0"/>
          <w:marBottom w:val="0"/>
          <w:divBdr>
            <w:top w:val="none" w:sz="0" w:space="0" w:color="auto"/>
            <w:left w:val="none" w:sz="0" w:space="0" w:color="auto"/>
            <w:bottom w:val="none" w:sz="0" w:space="0" w:color="auto"/>
            <w:right w:val="none" w:sz="0" w:space="0" w:color="auto"/>
          </w:divBdr>
        </w:div>
        <w:div w:id="1826579683">
          <w:marLeft w:val="0"/>
          <w:marRight w:val="0"/>
          <w:marTop w:val="0"/>
          <w:marBottom w:val="0"/>
          <w:divBdr>
            <w:top w:val="none" w:sz="0" w:space="0" w:color="auto"/>
            <w:left w:val="none" w:sz="0" w:space="0" w:color="auto"/>
            <w:bottom w:val="none" w:sz="0" w:space="0" w:color="auto"/>
            <w:right w:val="none" w:sz="0" w:space="0" w:color="auto"/>
          </w:divBdr>
        </w:div>
        <w:div w:id="1830559458">
          <w:marLeft w:val="0"/>
          <w:marRight w:val="0"/>
          <w:marTop w:val="0"/>
          <w:marBottom w:val="0"/>
          <w:divBdr>
            <w:top w:val="none" w:sz="0" w:space="0" w:color="auto"/>
            <w:left w:val="none" w:sz="0" w:space="0" w:color="auto"/>
            <w:bottom w:val="none" w:sz="0" w:space="0" w:color="auto"/>
            <w:right w:val="none" w:sz="0" w:space="0" w:color="auto"/>
          </w:divBdr>
        </w:div>
        <w:div w:id="1839349874">
          <w:marLeft w:val="0"/>
          <w:marRight w:val="0"/>
          <w:marTop w:val="0"/>
          <w:marBottom w:val="0"/>
          <w:divBdr>
            <w:top w:val="none" w:sz="0" w:space="0" w:color="auto"/>
            <w:left w:val="none" w:sz="0" w:space="0" w:color="auto"/>
            <w:bottom w:val="none" w:sz="0" w:space="0" w:color="auto"/>
            <w:right w:val="none" w:sz="0" w:space="0" w:color="auto"/>
          </w:divBdr>
        </w:div>
        <w:div w:id="1855877597">
          <w:marLeft w:val="0"/>
          <w:marRight w:val="0"/>
          <w:marTop w:val="0"/>
          <w:marBottom w:val="0"/>
          <w:divBdr>
            <w:top w:val="none" w:sz="0" w:space="0" w:color="auto"/>
            <w:left w:val="none" w:sz="0" w:space="0" w:color="auto"/>
            <w:bottom w:val="none" w:sz="0" w:space="0" w:color="auto"/>
            <w:right w:val="none" w:sz="0" w:space="0" w:color="auto"/>
          </w:divBdr>
        </w:div>
        <w:div w:id="1885479657">
          <w:marLeft w:val="0"/>
          <w:marRight w:val="0"/>
          <w:marTop w:val="0"/>
          <w:marBottom w:val="0"/>
          <w:divBdr>
            <w:top w:val="none" w:sz="0" w:space="0" w:color="auto"/>
            <w:left w:val="none" w:sz="0" w:space="0" w:color="auto"/>
            <w:bottom w:val="none" w:sz="0" w:space="0" w:color="auto"/>
            <w:right w:val="none" w:sz="0" w:space="0" w:color="auto"/>
          </w:divBdr>
        </w:div>
        <w:div w:id="1939824862">
          <w:marLeft w:val="0"/>
          <w:marRight w:val="0"/>
          <w:marTop w:val="0"/>
          <w:marBottom w:val="0"/>
          <w:divBdr>
            <w:top w:val="none" w:sz="0" w:space="0" w:color="auto"/>
            <w:left w:val="none" w:sz="0" w:space="0" w:color="auto"/>
            <w:bottom w:val="none" w:sz="0" w:space="0" w:color="auto"/>
            <w:right w:val="none" w:sz="0" w:space="0" w:color="auto"/>
          </w:divBdr>
        </w:div>
        <w:div w:id="2030719159">
          <w:marLeft w:val="0"/>
          <w:marRight w:val="0"/>
          <w:marTop w:val="0"/>
          <w:marBottom w:val="0"/>
          <w:divBdr>
            <w:top w:val="none" w:sz="0" w:space="0" w:color="auto"/>
            <w:left w:val="none" w:sz="0" w:space="0" w:color="auto"/>
            <w:bottom w:val="none" w:sz="0" w:space="0" w:color="auto"/>
            <w:right w:val="none" w:sz="0" w:space="0" w:color="auto"/>
          </w:divBdr>
        </w:div>
        <w:div w:id="2113544363">
          <w:marLeft w:val="0"/>
          <w:marRight w:val="0"/>
          <w:marTop w:val="0"/>
          <w:marBottom w:val="0"/>
          <w:divBdr>
            <w:top w:val="none" w:sz="0" w:space="0" w:color="auto"/>
            <w:left w:val="none" w:sz="0" w:space="0" w:color="auto"/>
            <w:bottom w:val="none" w:sz="0" w:space="0" w:color="auto"/>
            <w:right w:val="none" w:sz="0" w:space="0" w:color="auto"/>
          </w:divBdr>
        </w:div>
        <w:div w:id="2122676048">
          <w:marLeft w:val="0"/>
          <w:marRight w:val="0"/>
          <w:marTop w:val="0"/>
          <w:marBottom w:val="0"/>
          <w:divBdr>
            <w:top w:val="none" w:sz="0" w:space="0" w:color="auto"/>
            <w:left w:val="none" w:sz="0" w:space="0" w:color="auto"/>
            <w:bottom w:val="none" w:sz="0" w:space="0" w:color="auto"/>
            <w:right w:val="none" w:sz="0" w:space="0" w:color="auto"/>
          </w:divBdr>
        </w:div>
      </w:divsChild>
    </w:div>
    <w:div w:id="680469331">
      <w:bodyDiv w:val="1"/>
      <w:marLeft w:val="0"/>
      <w:marRight w:val="0"/>
      <w:marTop w:val="0"/>
      <w:marBottom w:val="0"/>
      <w:divBdr>
        <w:top w:val="none" w:sz="0" w:space="0" w:color="auto"/>
        <w:left w:val="none" w:sz="0" w:space="0" w:color="auto"/>
        <w:bottom w:val="none" w:sz="0" w:space="0" w:color="auto"/>
        <w:right w:val="none" w:sz="0" w:space="0" w:color="auto"/>
      </w:divBdr>
    </w:div>
    <w:div w:id="684677190">
      <w:bodyDiv w:val="1"/>
      <w:marLeft w:val="0"/>
      <w:marRight w:val="0"/>
      <w:marTop w:val="0"/>
      <w:marBottom w:val="0"/>
      <w:divBdr>
        <w:top w:val="none" w:sz="0" w:space="0" w:color="auto"/>
        <w:left w:val="none" w:sz="0" w:space="0" w:color="auto"/>
        <w:bottom w:val="none" w:sz="0" w:space="0" w:color="auto"/>
        <w:right w:val="none" w:sz="0" w:space="0" w:color="auto"/>
      </w:divBdr>
      <w:divsChild>
        <w:div w:id="19355237">
          <w:marLeft w:val="0"/>
          <w:marRight w:val="0"/>
          <w:marTop w:val="0"/>
          <w:marBottom w:val="0"/>
          <w:divBdr>
            <w:top w:val="none" w:sz="0" w:space="0" w:color="auto"/>
            <w:left w:val="none" w:sz="0" w:space="0" w:color="auto"/>
            <w:bottom w:val="none" w:sz="0" w:space="0" w:color="auto"/>
            <w:right w:val="none" w:sz="0" w:space="0" w:color="auto"/>
          </w:divBdr>
        </w:div>
        <w:div w:id="29646261">
          <w:marLeft w:val="0"/>
          <w:marRight w:val="0"/>
          <w:marTop w:val="0"/>
          <w:marBottom w:val="0"/>
          <w:divBdr>
            <w:top w:val="none" w:sz="0" w:space="0" w:color="auto"/>
            <w:left w:val="none" w:sz="0" w:space="0" w:color="auto"/>
            <w:bottom w:val="none" w:sz="0" w:space="0" w:color="auto"/>
            <w:right w:val="none" w:sz="0" w:space="0" w:color="auto"/>
          </w:divBdr>
        </w:div>
        <w:div w:id="124855286">
          <w:marLeft w:val="0"/>
          <w:marRight w:val="0"/>
          <w:marTop w:val="0"/>
          <w:marBottom w:val="0"/>
          <w:divBdr>
            <w:top w:val="none" w:sz="0" w:space="0" w:color="auto"/>
            <w:left w:val="none" w:sz="0" w:space="0" w:color="auto"/>
            <w:bottom w:val="none" w:sz="0" w:space="0" w:color="auto"/>
            <w:right w:val="none" w:sz="0" w:space="0" w:color="auto"/>
          </w:divBdr>
        </w:div>
        <w:div w:id="146408146">
          <w:marLeft w:val="0"/>
          <w:marRight w:val="0"/>
          <w:marTop w:val="0"/>
          <w:marBottom w:val="0"/>
          <w:divBdr>
            <w:top w:val="none" w:sz="0" w:space="0" w:color="auto"/>
            <w:left w:val="none" w:sz="0" w:space="0" w:color="auto"/>
            <w:bottom w:val="none" w:sz="0" w:space="0" w:color="auto"/>
            <w:right w:val="none" w:sz="0" w:space="0" w:color="auto"/>
          </w:divBdr>
        </w:div>
        <w:div w:id="470901659">
          <w:marLeft w:val="0"/>
          <w:marRight w:val="0"/>
          <w:marTop w:val="0"/>
          <w:marBottom w:val="0"/>
          <w:divBdr>
            <w:top w:val="none" w:sz="0" w:space="0" w:color="auto"/>
            <w:left w:val="none" w:sz="0" w:space="0" w:color="auto"/>
            <w:bottom w:val="none" w:sz="0" w:space="0" w:color="auto"/>
            <w:right w:val="none" w:sz="0" w:space="0" w:color="auto"/>
          </w:divBdr>
        </w:div>
        <w:div w:id="530799119">
          <w:marLeft w:val="0"/>
          <w:marRight w:val="0"/>
          <w:marTop w:val="0"/>
          <w:marBottom w:val="0"/>
          <w:divBdr>
            <w:top w:val="none" w:sz="0" w:space="0" w:color="auto"/>
            <w:left w:val="none" w:sz="0" w:space="0" w:color="auto"/>
            <w:bottom w:val="none" w:sz="0" w:space="0" w:color="auto"/>
            <w:right w:val="none" w:sz="0" w:space="0" w:color="auto"/>
          </w:divBdr>
        </w:div>
        <w:div w:id="592668741">
          <w:marLeft w:val="0"/>
          <w:marRight w:val="0"/>
          <w:marTop w:val="0"/>
          <w:marBottom w:val="0"/>
          <w:divBdr>
            <w:top w:val="none" w:sz="0" w:space="0" w:color="auto"/>
            <w:left w:val="none" w:sz="0" w:space="0" w:color="auto"/>
            <w:bottom w:val="none" w:sz="0" w:space="0" w:color="auto"/>
            <w:right w:val="none" w:sz="0" w:space="0" w:color="auto"/>
          </w:divBdr>
        </w:div>
        <w:div w:id="600991215">
          <w:marLeft w:val="0"/>
          <w:marRight w:val="0"/>
          <w:marTop w:val="0"/>
          <w:marBottom w:val="0"/>
          <w:divBdr>
            <w:top w:val="none" w:sz="0" w:space="0" w:color="auto"/>
            <w:left w:val="none" w:sz="0" w:space="0" w:color="auto"/>
            <w:bottom w:val="none" w:sz="0" w:space="0" w:color="auto"/>
            <w:right w:val="none" w:sz="0" w:space="0" w:color="auto"/>
          </w:divBdr>
        </w:div>
        <w:div w:id="611742820">
          <w:marLeft w:val="0"/>
          <w:marRight w:val="0"/>
          <w:marTop w:val="0"/>
          <w:marBottom w:val="0"/>
          <w:divBdr>
            <w:top w:val="none" w:sz="0" w:space="0" w:color="auto"/>
            <w:left w:val="none" w:sz="0" w:space="0" w:color="auto"/>
            <w:bottom w:val="none" w:sz="0" w:space="0" w:color="auto"/>
            <w:right w:val="none" w:sz="0" w:space="0" w:color="auto"/>
          </w:divBdr>
        </w:div>
        <w:div w:id="614480126">
          <w:marLeft w:val="0"/>
          <w:marRight w:val="0"/>
          <w:marTop w:val="0"/>
          <w:marBottom w:val="0"/>
          <w:divBdr>
            <w:top w:val="none" w:sz="0" w:space="0" w:color="auto"/>
            <w:left w:val="none" w:sz="0" w:space="0" w:color="auto"/>
            <w:bottom w:val="none" w:sz="0" w:space="0" w:color="auto"/>
            <w:right w:val="none" w:sz="0" w:space="0" w:color="auto"/>
          </w:divBdr>
        </w:div>
        <w:div w:id="630942476">
          <w:marLeft w:val="0"/>
          <w:marRight w:val="0"/>
          <w:marTop w:val="0"/>
          <w:marBottom w:val="0"/>
          <w:divBdr>
            <w:top w:val="none" w:sz="0" w:space="0" w:color="auto"/>
            <w:left w:val="none" w:sz="0" w:space="0" w:color="auto"/>
            <w:bottom w:val="none" w:sz="0" w:space="0" w:color="auto"/>
            <w:right w:val="none" w:sz="0" w:space="0" w:color="auto"/>
          </w:divBdr>
        </w:div>
        <w:div w:id="680280242">
          <w:marLeft w:val="0"/>
          <w:marRight w:val="0"/>
          <w:marTop w:val="0"/>
          <w:marBottom w:val="0"/>
          <w:divBdr>
            <w:top w:val="none" w:sz="0" w:space="0" w:color="auto"/>
            <w:left w:val="none" w:sz="0" w:space="0" w:color="auto"/>
            <w:bottom w:val="none" w:sz="0" w:space="0" w:color="auto"/>
            <w:right w:val="none" w:sz="0" w:space="0" w:color="auto"/>
          </w:divBdr>
        </w:div>
        <w:div w:id="1012338457">
          <w:marLeft w:val="0"/>
          <w:marRight w:val="0"/>
          <w:marTop w:val="0"/>
          <w:marBottom w:val="0"/>
          <w:divBdr>
            <w:top w:val="none" w:sz="0" w:space="0" w:color="auto"/>
            <w:left w:val="none" w:sz="0" w:space="0" w:color="auto"/>
            <w:bottom w:val="none" w:sz="0" w:space="0" w:color="auto"/>
            <w:right w:val="none" w:sz="0" w:space="0" w:color="auto"/>
          </w:divBdr>
        </w:div>
        <w:div w:id="1067995874">
          <w:marLeft w:val="0"/>
          <w:marRight w:val="0"/>
          <w:marTop w:val="0"/>
          <w:marBottom w:val="0"/>
          <w:divBdr>
            <w:top w:val="none" w:sz="0" w:space="0" w:color="auto"/>
            <w:left w:val="none" w:sz="0" w:space="0" w:color="auto"/>
            <w:bottom w:val="none" w:sz="0" w:space="0" w:color="auto"/>
            <w:right w:val="none" w:sz="0" w:space="0" w:color="auto"/>
          </w:divBdr>
        </w:div>
        <w:div w:id="1108620651">
          <w:marLeft w:val="0"/>
          <w:marRight w:val="0"/>
          <w:marTop w:val="0"/>
          <w:marBottom w:val="0"/>
          <w:divBdr>
            <w:top w:val="none" w:sz="0" w:space="0" w:color="auto"/>
            <w:left w:val="none" w:sz="0" w:space="0" w:color="auto"/>
            <w:bottom w:val="none" w:sz="0" w:space="0" w:color="auto"/>
            <w:right w:val="none" w:sz="0" w:space="0" w:color="auto"/>
          </w:divBdr>
        </w:div>
        <w:div w:id="1164780826">
          <w:marLeft w:val="0"/>
          <w:marRight w:val="0"/>
          <w:marTop w:val="0"/>
          <w:marBottom w:val="0"/>
          <w:divBdr>
            <w:top w:val="none" w:sz="0" w:space="0" w:color="auto"/>
            <w:left w:val="none" w:sz="0" w:space="0" w:color="auto"/>
            <w:bottom w:val="none" w:sz="0" w:space="0" w:color="auto"/>
            <w:right w:val="none" w:sz="0" w:space="0" w:color="auto"/>
          </w:divBdr>
        </w:div>
        <w:div w:id="1319581075">
          <w:marLeft w:val="0"/>
          <w:marRight w:val="0"/>
          <w:marTop w:val="0"/>
          <w:marBottom w:val="0"/>
          <w:divBdr>
            <w:top w:val="none" w:sz="0" w:space="0" w:color="auto"/>
            <w:left w:val="none" w:sz="0" w:space="0" w:color="auto"/>
            <w:bottom w:val="none" w:sz="0" w:space="0" w:color="auto"/>
            <w:right w:val="none" w:sz="0" w:space="0" w:color="auto"/>
          </w:divBdr>
        </w:div>
        <w:div w:id="1324160946">
          <w:marLeft w:val="0"/>
          <w:marRight w:val="0"/>
          <w:marTop w:val="0"/>
          <w:marBottom w:val="0"/>
          <w:divBdr>
            <w:top w:val="none" w:sz="0" w:space="0" w:color="auto"/>
            <w:left w:val="none" w:sz="0" w:space="0" w:color="auto"/>
            <w:bottom w:val="none" w:sz="0" w:space="0" w:color="auto"/>
            <w:right w:val="none" w:sz="0" w:space="0" w:color="auto"/>
          </w:divBdr>
        </w:div>
        <w:div w:id="1416631211">
          <w:marLeft w:val="0"/>
          <w:marRight w:val="0"/>
          <w:marTop w:val="0"/>
          <w:marBottom w:val="0"/>
          <w:divBdr>
            <w:top w:val="none" w:sz="0" w:space="0" w:color="auto"/>
            <w:left w:val="none" w:sz="0" w:space="0" w:color="auto"/>
            <w:bottom w:val="none" w:sz="0" w:space="0" w:color="auto"/>
            <w:right w:val="none" w:sz="0" w:space="0" w:color="auto"/>
          </w:divBdr>
        </w:div>
        <w:div w:id="1496458123">
          <w:marLeft w:val="0"/>
          <w:marRight w:val="0"/>
          <w:marTop w:val="0"/>
          <w:marBottom w:val="0"/>
          <w:divBdr>
            <w:top w:val="none" w:sz="0" w:space="0" w:color="auto"/>
            <w:left w:val="none" w:sz="0" w:space="0" w:color="auto"/>
            <w:bottom w:val="none" w:sz="0" w:space="0" w:color="auto"/>
            <w:right w:val="none" w:sz="0" w:space="0" w:color="auto"/>
          </w:divBdr>
        </w:div>
        <w:div w:id="1532650603">
          <w:marLeft w:val="0"/>
          <w:marRight w:val="0"/>
          <w:marTop w:val="0"/>
          <w:marBottom w:val="0"/>
          <w:divBdr>
            <w:top w:val="none" w:sz="0" w:space="0" w:color="auto"/>
            <w:left w:val="none" w:sz="0" w:space="0" w:color="auto"/>
            <w:bottom w:val="none" w:sz="0" w:space="0" w:color="auto"/>
            <w:right w:val="none" w:sz="0" w:space="0" w:color="auto"/>
          </w:divBdr>
        </w:div>
        <w:div w:id="1567643903">
          <w:marLeft w:val="0"/>
          <w:marRight w:val="0"/>
          <w:marTop w:val="0"/>
          <w:marBottom w:val="0"/>
          <w:divBdr>
            <w:top w:val="none" w:sz="0" w:space="0" w:color="auto"/>
            <w:left w:val="none" w:sz="0" w:space="0" w:color="auto"/>
            <w:bottom w:val="none" w:sz="0" w:space="0" w:color="auto"/>
            <w:right w:val="none" w:sz="0" w:space="0" w:color="auto"/>
          </w:divBdr>
        </w:div>
        <w:div w:id="1683119404">
          <w:marLeft w:val="0"/>
          <w:marRight w:val="0"/>
          <w:marTop w:val="0"/>
          <w:marBottom w:val="0"/>
          <w:divBdr>
            <w:top w:val="none" w:sz="0" w:space="0" w:color="auto"/>
            <w:left w:val="none" w:sz="0" w:space="0" w:color="auto"/>
            <w:bottom w:val="none" w:sz="0" w:space="0" w:color="auto"/>
            <w:right w:val="none" w:sz="0" w:space="0" w:color="auto"/>
          </w:divBdr>
        </w:div>
        <w:div w:id="1721200308">
          <w:marLeft w:val="0"/>
          <w:marRight w:val="0"/>
          <w:marTop w:val="0"/>
          <w:marBottom w:val="0"/>
          <w:divBdr>
            <w:top w:val="none" w:sz="0" w:space="0" w:color="auto"/>
            <w:left w:val="none" w:sz="0" w:space="0" w:color="auto"/>
            <w:bottom w:val="none" w:sz="0" w:space="0" w:color="auto"/>
            <w:right w:val="none" w:sz="0" w:space="0" w:color="auto"/>
          </w:divBdr>
        </w:div>
        <w:div w:id="1850102219">
          <w:marLeft w:val="0"/>
          <w:marRight w:val="0"/>
          <w:marTop w:val="0"/>
          <w:marBottom w:val="0"/>
          <w:divBdr>
            <w:top w:val="none" w:sz="0" w:space="0" w:color="auto"/>
            <w:left w:val="none" w:sz="0" w:space="0" w:color="auto"/>
            <w:bottom w:val="none" w:sz="0" w:space="0" w:color="auto"/>
            <w:right w:val="none" w:sz="0" w:space="0" w:color="auto"/>
          </w:divBdr>
        </w:div>
        <w:div w:id="1919167212">
          <w:marLeft w:val="0"/>
          <w:marRight w:val="0"/>
          <w:marTop w:val="0"/>
          <w:marBottom w:val="0"/>
          <w:divBdr>
            <w:top w:val="none" w:sz="0" w:space="0" w:color="auto"/>
            <w:left w:val="none" w:sz="0" w:space="0" w:color="auto"/>
            <w:bottom w:val="none" w:sz="0" w:space="0" w:color="auto"/>
            <w:right w:val="none" w:sz="0" w:space="0" w:color="auto"/>
          </w:divBdr>
        </w:div>
        <w:div w:id="1926762588">
          <w:marLeft w:val="0"/>
          <w:marRight w:val="0"/>
          <w:marTop w:val="0"/>
          <w:marBottom w:val="0"/>
          <w:divBdr>
            <w:top w:val="none" w:sz="0" w:space="0" w:color="auto"/>
            <w:left w:val="none" w:sz="0" w:space="0" w:color="auto"/>
            <w:bottom w:val="none" w:sz="0" w:space="0" w:color="auto"/>
            <w:right w:val="none" w:sz="0" w:space="0" w:color="auto"/>
          </w:divBdr>
        </w:div>
        <w:div w:id="2050909896">
          <w:marLeft w:val="0"/>
          <w:marRight w:val="0"/>
          <w:marTop w:val="0"/>
          <w:marBottom w:val="0"/>
          <w:divBdr>
            <w:top w:val="none" w:sz="0" w:space="0" w:color="auto"/>
            <w:left w:val="none" w:sz="0" w:space="0" w:color="auto"/>
            <w:bottom w:val="none" w:sz="0" w:space="0" w:color="auto"/>
            <w:right w:val="none" w:sz="0" w:space="0" w:color="auto"/>
          </w:divBdr>
        </w:div>
        <w:div w:id="2122721194">
          <w:marLeft w:val="0"/>
          <w:marRight w:val="0"/>
          <w:marTop w:val="0"/>
          <w:marBottom w:val="0"/>
          <w:divBdr>
            <w:top w:val="none" w:sz="0" w:space="0" w:color="auto"/>
            <w:left w:val="none" w:sz="0" w:space="0" w:color="auto"/>
            <w:bottom w:val="none" w:sz="0" w:space="0" w:color="auto"/>
            <w:right w:val="none" w:sz="0" w:space="0" w:color="auto"/>
          </w:divBdr>
        </w:div>
      </w:divsChild>
    </w:div>
    <w:div w:id="690451005">
      <w:bodyDiv w:val="1"/>
      <w:marLeft w:val="0"/>
      <w:marRight w:val="0"/>
      <w:marTop w:val="0"/>
      <w:marBottom w:val="0"/>
      <w:divBdr>
        <w:top w:val="none" w:sz="0" w:space="0" w:color="auto"/>
        <w:left w:val="none" w:sz="0" w:space="0" w:color="auto"/>
        <w:bottom w:val="none" w:sz="0" w:space="0" w:color="auto"/>
        <w:right w:val="none" w:sz="0" w:space="0" w:color="auto"/>
      </w:divBdr>
    </w:div>
    <w:div w:id="692731156">
      <w:bodyDiv w:val="1"/>
      <w:marLeft w:val="0"/>
      <w:marRight w:val="0"/>
      <w:marTop w:val="0"/>
      <w:marBottom w:val="0"/>
      <w:divBdr>
        <w:top w:val="none" w:sz="0" w:space="0" w:color="auto"/>
        <w:left w:val="none" w:sz="0" w:space="0" w:color="auto"/>
        <w:bottom w:val="none" w:sz="0" w:space="0" w:color="auto"/>
        <w:right w:val="none" w:sz="0" w:space="0" w:color="auto"/>
      </w:divBdr>
    </w:div>
    <w:div w:id="699205393">
      <w:bodyDiv w:val="1"/>
      <w:marLeft w:val="0"/>
      <w:marRight w:val="0"/>
      <w:marTop w:val="0"/>
      <w:marBottom w:val="0"/>
      <w:divBdr>
        <w:top w:val="none" w:sz="0" w:space="0" w:color="auto"/>
        <w:left w:val="none" w:sz="0" w:space="0" w:color="auto"/>
        <w:bottom w:val="none" w:sz="0" w:space="0" w:color="auto"/>
        <w:right w:val="none" w:sz="0" w:space="0" w:color="auto"/>
      </w:divBdr>
    </w:div>
    <w:div w:id="706873996">
      <w:bodyDiv w:val="1"/>
      <w:marLeft w:val="0"/>
      <w:marRight w:val="0"/>
      <w:marTop w:val="0"/>
      <w:marBottom w:val="0"/>
      <w:divBdr>
        <w:top w:val="none" w:sz="0" w:space="0" w:color="auto"/>
        <w:left w:val="none" w:sz="0" w:space="0" w:color="auto"/>
        <w:bottom w:val="none" w:sz="0" w:space="0" w:color="auto"/>
        <w:right w:val="none" w:sz="0" w:space="0" w:color="auto"/>
      </w:divBdr>
    </w:div>
    <w:div w:id="714239852">
      <w:bodyDiv w:val="1"/>
      <w:marLeft w:val="0"/>
      <w:marRight w:val="0"/>
      <w:marTop w:val="0"/>
      <w:marBottom w:val="0"/>
      <w:divBdr>
        <w:top w:val="none" w:sz="0" w:space="0" w:color="auto"/>
        <w:left w:val="none" w:sz="0" w:space="0" w:color="auto"/>
        <w:bottom w:val="none" w:sz="0" w:space="0" w:color="auto"/>
        <w:right w:val="none" w:sz="0" w:space="0" w:color="auto"/>
      </w:divBdr>
    </w:div>
    <w:div w:id="721366913">
      <w:bodyDiv w:val="1"/>
      <w:marLeft w:val="0"/>
      <w:marRight w:val="0"/>
      <w:marTop w:val="0"/>
      <w:marBottom w:val="0"/>
      <w:divBdr>
        <w:top w:val="none" w:sz="0" w:space="0" w:color="auto"/>
        <w:left w:val="none" w:sz="0" w:space="0" w:color="auto"/>
        <w:bottom w:val="none" w:sz="0" w:space="0" w:color="auto"/>
        <w:right w:val="none" w:sz="0" w:space="0" w:color="auto"/>
      </w:divBdr>
    </w:div>
    <w:div w:id="726489739">
      <w:bodyDiv w:val="1"/>
      <w:marLeft w:val="0"/>
      <w:marRight w:val="0"/>
      <w:marTop w:val="0"/>
      <w:marBottom w:val="0"/>
      <w:divBdr>
        <w:top w:val="none" w:sz="0" w:space="0" w:color="auto"/>
        <w:left w:val="none" w:sz="0" w:space="0" w:color="auto"/>
        <w:bottom w:val="none" w:sz="0" w:space="0" w:color="auto"/>
        <w:right w:val="none" w:sz="0" w:space="0" w:color="auto"/>
      </w:divBdr>
      <w:divsChild>
        <w:div w:id="15157242">
          <w:marLeft w:val="0"/>
          <w:marRight w:val="0"/>
          <w:marTop w:val="0"/>
          <w:marBottom w:val="0"/>
          <w:divBdr>
            <w:top w:val="none" w:sz="0" w:space="0" w:color="auto"/>
            <w:left w:val="none" w:sz="0" w:space="0" w:color="auto"/>
            <w:bottom w:val="none" w:sz="0" w:space="0" w:color="auto"/>
            <w:right w:val="none" w:sz="0" w:space="0" w:color="auto"/>
          </w:divBdr>
        </w:div>
        <w:div w:id="83301645">
          <w:marLeft w:val="0"/>
          <w:marRight w:val="0"/>
          <w:marTop w:val="0"/>
          <w:marBottom w:val="0"/>
          <w:divBdr>
            <w:top w:val="none" w:sz="0" w:space="0" w:color="auto"/>
            <w:left w:val="none" w:sz="0" w:space="0" w:color="auto"/>
            <w:bottom w:val="none" w:sz="0" w:space="0" w:color="auto"/>
            <w:right w:val="none" w:sz="0" w:space="0" w:color="auto"/>
          </w:divBdr>
        </w:div>
        <w:div w:id="155343102">
          <w:marLeft w:val="0"/>
          <w:marRight w:val="0"/>
          <w:marTop w:val="0"/>
          <w:marBottom w:val="0"/>
          <w:divBdr>
            <w:top w:val="none" w:sz="0" w:space="0" w:color="auto"/>
            <w:left w:val="none" w:sz="0" w:space="0" w:color="auto"/>
            <w:bottom w:val="none" w:sz="0" w:space="0" w:color="auto"/>
            <w:right w:val="none" w:sz="0" w:space="0" w:color="auto"/>
          </w:divBdr>
        </w:div>
        <w:div w:id="362095425">
          <w:marLeft w:val="0"/>
          <w:marRight w:val="0"/>
          <w:marTop w:val="0"/>
          <w:marBottom w:val="0"/>
          <w:divBdr>
            <w:top w:val="none" w:sz="0" w:space="0" w:color="auto"/>
            <w:left w:val="none" w:sz="0" w:space="0" w:color="auto"/>
            <w:bottom w:val="none" w:sz="0" w:space="0" w:color="auto"/>
            <w:right w:val="none" w:sz="0" w:space="0" w:color="auto"/>
          </w:divBdr>
        </w:div>
        <w:div w:id="368339930">
          <w:marLeft w:val="0"/>
          <w:marRight w:val="0"/>
          <w:marTop w:val="0"/>
          <w:marBottom w:val="0"/>
          <w:divBdr>
            <w:top w:val="none" w:sz="0" w:space="0" w:color="auto"/>
            <w:left w:val="none" w:sz="0" w:space="0" w:color="auto"/>
            <w:bottom w:val="none" w:sz="0" w:space="0" w:color="auto"/>
            <w:right w:val="none" w:sz="0" w:space="0" w:color="auto"/>
          </w:divBdr>
        </w:div>
        <w:div w:id="384303295">
          <w:marLeft w:val="0"/>
          <w:marRight w:val="0"/>
          <w:marTop w:val="0"/>
          <w:marBottom w:val="0"/>
          <w:divBdr>
            <w:top w:val="none" w:sz="0" w:space="0" w:color="auto"/>
            <w:left w:val="none" w:sz="0" w:space="0" w:color="auto"/>
            <w:bottom w:val="none" w:sz="0" w:space="0" w:color="auto"/>
            <w:right w:val="none" w:sz="0" w:space="0" w:color="auto"/>
          </w:divBdr>
        </w:div>
        <w:div w:id="551044870">
          <w:marLeft w:val="0"/>
          <w:marRight w:val="0"/>
          <w:marTop w:val="0"/>
          <w:marBottom w:val="0"/>
          <w:divBdr>
            <w:top w:val="none" w:sz="0" w:space="0" w:color="auto"/>
            <w:left w:val="none" w:sz="0" w:space="0" w:color="auto"/>
            <w:bottom w:val="none" w:sz="0" w:space="0" w:color="auto"/>
            <w:right w:val="none" w:sz="0" w:space="0" w:color="auto"/>
          </w:divBdr>
        </w:div>
        <w:div w:id="745999764">
          <w:marLeft w:val="0"/>
          <w:marRight w:val="0"/>
          <w:marTop w:val="0"/>
          <w:marBottom w:val="0"/>
          <w:divBdr>
            <w:top w:val="none" w:sz="0" w:space="0" w:color="auto"/>
            <w:left w:val="none" w:sz="0" w:space="0" w:color="auto"/>
            <w:bottom w:val="none" w:sz="0" w:space="0" w:color="auto"/>
            <w:right w:val="none" w:sz="0" w:space="0" w:color="auto"/>
          </w:divBdr>
        </w:div>
        <w:div w:id="899442528">
          <w:marLeft w:val="0"/>
          <w:marRight w:val="0"/>
          <w:marTop w:val="0"/>
          <w:marBottom w:val="0"/>
          <w:divBdr>
            <w:top w:val="none" w:sz="0" w:space="0" w:color="auto"/>
            <w:left w:val="none" w:sz="0" w:space="0" w:color="auto"/>
            <w:bottom w:val="none" w:sz="0" w:space="0" w:color="auto"/>
            <w:right w:val="none" w:sz="0" w:space="0" w:color="auto"/>
          </w:divBdr>
        </w:div>
        <w:div w:id="1119032449">
          <w:marLeft w:val="0"/>
          <w:marRight w:val="0"/>
          <w:marTop w:val="0"/>
          <w:marBottom w:val="0"/>
          <w:divBdr>
            <w:top w:val="none" w:sz="0" w:space="0" w:color="auto"/>
            <w:left w:val="none" w:sz="0" w:space="0" w:color="auto"/>
            <w:bottom w:val="none" w:sz="0" w:space="0" w:color="auto"/>
            <w:right w:val="none" w:sz="0" w:space="0" w:color="auto"/>
          </w:divBdr>
        </w:div>
        <w:div w:id="1175848385">
          <w:marLeft w:val="0"/>
          <w:marRight w:val="0"/>
          <w:marTop w:val="0"/>
          <w:marBottom w:val="0"/>
          <w:divBdr>
            <w:top w:val="none" w:sz="0" w:space="0" w:color="auto"/>
            <w:left w:val="none" w:sz="0" w:space="0" w:color="auto"/>
            <w:bottom w:val="none" w:sz="0" w:space="0" w:color="auto"/>
            <w:right w:val="none" w:sz="0" w:space="0" w:color="auto"/>
          </w:divBdr>
        </w:div>
        <w:div w:id="1181092778">
          <w:marLeft w:val="0"/>
          <w:marRight w:val="0"/>
          <w:marTop w:val="0"/>
          <w:marBottom w:val="0"/>
          <w:divBdr>
            <w:top w:val="none" w:sz="0" w:space="0" w:color="auto"/>
            <w:left w:val="none" w:sz="0" w:space="0" w:color="auto"/>
            <w:bottom w:val="none" w:sz="0" w:space="0" w:color="auto"/>
            <w:right w:val="none" w:sz="0" w:space="0" w:color="auto"/>
          </w:divBdr>
        </w:div>
        <w:div w:id="1493987511">
          <w:marLeft w:val="0"/>
          <w:marRight w:val="0"/>
          <w:marTop w:val="0"/>
          <w:marBottom w:val="0"/>
          <w:divBdr>
            <w:top w:val="none" w:sz="0" w:space="0" w:color="auto"/>
            <w:left w:val="none" w:sz="0" w:space="0" w:color="auto"/>
            <w:bottom w:val="none" w:sz="0" w:space="0" w:color="auto"/>
            <w:right w:val="none" w:sz="0" w:space="0" w:color="auto"/>
          </w:divBdr>
        </w:div>
        <w:div w:id="1614897233">
          <w:marLeft w:val="0"/>
          <w:marRight w:val="0"/>
          <w:marTop w:val="0"/>
          <w:marBottom w:val="0"/>
          <w:divBdr>
            <w:top w:val="none" w:sz="0" w:space="0" w:color="auto"/>
            <w:left w:val="none" w:sz="0" w:space="0" w:color="auto"/>
            <w:bottom w:val="none" w:sz="0" w:space="0" w:color="auto"/>
            <w:right w:val="none" w:sz="0" w:space="0" w:color="auto"/>
          </w:divBdr>
        </w:div>
        <w:div w:id="1817646614">
          <w:marLeft w:val="0"/>
          <w:marRight w:val="0"/>
          <w:marTop w:val="0"/>
          <w:marBottom w:val="0"/>
          <w:divBdr>
            <w:top w:val="none" w:sz="0" w:space="0" w:color="auto"/>
            <w:left w:val="none" w:sz="0" w:space="0" w:color="auto"/>
            <w:bottom w:val="none" w:sz="0" w:space="0" w:color="auto"/>
            <w:right w:val="none" w:sz="0" w:space="0" w:color="auto"/>
          </w:divBdr>
        </w:div>
      </w:divsChild>
    </w:div>
    <w:div w:id="727534707">
      <w:bodyDiv w:val="1"/>
      <w:marLeft w:val="0"/>
      <w:marRight w:val="0"/>
      <w:marTop w:val="0"/>
      <w:marBottom w:val="0"/>
      <w:divBdr>
        <w:top w:val="none" w:sz="0" w:space="0" w:color="auto"/>
        <w:left w:val="none" w:sz="0" w:space="0" w:color="auto"/>
        <w:bottom w:val="none" w:sz="0" w:space="0" w:color="auto"/>
        <w:right w:val="none" w:sz="0" w:space="0" w:color="auto"/>
      </w:divBdr>
    </w:div>
    <w:div w:id="743645067">
      <w:bodyDiv w:val="1"/>
      <w:marLeft w:val="0"/>
      <w:marRight w:val="0"/>
      <w:marTop w:val="0"/>
      <w:marBottom w:val="0"/>
      <w:divBdr>
        <w:top w:val="none" w:sz="0" w:space="0" w:color="auto"/>
        <w:left w:val="none" w:sz="0" w:space="0" w:color="auto"/>
        <w:bottom w:val="none" w:sz="0" w:space="0" w:color="auto"/>
        <w:right w:val="none" w:sz="0" w:space="0" w:color="auto"/>
      </w:divBdr>
    </w:div>
    <w:div w:id="744717541">
      <w:bodyDiv w:val="1"/>
      <w:marLeft w:val="0"/>
      <w:marRight w:val="0"/>
      <w:marTop w:val="0"/>
      <w:marBottom w:val="0"/>
      <w:divBdr>
        <w:top w:val="none" w:sz="0" w:space="0" w:color="auto"/>
        <w:left w:val="none" w:sz="0" w:space="0" w:color="auto"/>
        <w:bottom w:val="none" w:sz="0" w:space="0" w:color="auto"/>
        <w:right w:val="none" w:sz="0" w:space="0" w:color="auto"/>
      </w:divBdr>
    </w:div>
    <w:div w:id="749891635">
      <w:bodyDiv w:val="1"/>
      <w:marLeft w:val="0"/>
      <w:marRight w:val="0"/>
      <w:marTop w:val="0"/>
      <w:marBottom w:val="0"/>
      <w:divBdr>
        <w:top w:val="none" w:sz="0" w:space="0" w:color="auto"/>
        <w:left w:val="none" w:sz="0" w:space="0" w:color="auto"/>
        <w:bottom w:val="none" w:sz="0" w:space="0" w:color="auto"/>
        <w:right w:val="none" w:sz="0" w:space="0" w:color="auto"/>
      </w:divBdr>
      <w:divsChild>
        <w:div w:id="865867336">
          <w:marLeft w:val="0"/>
          <w:marRight w:val="0"/>
          <w:marTop w:val="0"/>
          <w:marBottom w:val="0"/>
          <w:divBdr>
            <w:top w:val="none" w:sz="0" w:space="0" w:color="auto"/>
            <w:left w:val="none" w:sz="0" w:space="0" w:color="auto"/>
            <w:bottom w:val="none" w:sz="0" w:space="0" w:color="auto"/>
            <w:right w:val="none" w:sz="0" w:space="0" w:color="auto"/>
          </w:divBdr>
        </w:div>
        <w:div w:id="1299802861">
          <w:marLeft w:val="0"/>
          <w:marRight w:val="0"/>
          <w:marTop w:val="0"/>
          <w:marBottom w:val="0"/>
          <w:divBdr>
            <w:top w:val="none" w:sz="0" w:space="0" w:color="auto"/>
            <w:left w:val="none" w:sz="0" w:space="0" w:color="auto"/>
            <w:bottom w:val="none" w:sz="0" w:space="0" w:color="auto"/>
            <w:right w:val="none" w:sz="0" w:space="0" w:color="auto"/>
          </w:divBdr>
        </w:div>
        <w:div w:id="1571039661">
          <w:marLeft w:val="0"/>
          <w:marRight w:val="0"/>
          <w:marTop w:val="0"/>
          <w:marBottom w:val="0"/>
          <w:divBdr>
            <w:top w:val="none" w:sz="0" w:space="0" w:color="auto"/>
            <w:left w:val="none" w:sz="0" w:space="0" w:color="auto"/>
            <w:bottom w:val="none" w:sz="0" w:space="0" w:color="auto"/>
            <w:right w:val="none" w:sz="0" w:space="0" w:color="auto"/>
          </w:divBdr>
        </w:div>
        <w:div w:id="1845973443">
          <w:marLeft w:val="0"/>
          <w:marRight w:val="0"/>
          <w:marTop w:val="0"/>
          <w:marBottom w:val="0"/>
          <w:divBdr>
            <w:top w:val="none" w:sz="0" w:space="0" w:color="auto"/>
            <w:left w:val="none" w:sz="0" w:space="0" w:color="auto"/>
            <w:bottom w:val="none" w:sz="0" w:space="0" w:color="auto"/>
            <w:right w:val="none" w:sz="0" w:space="0" w:color="auto"/>
          </w:divBdr>
        </w:div>
      </w:divsChild>
    </w:div>
    <w:div w:id="751047187">
      <w:bodyDiv w:val="1"/>
      <w:marLeft w:val="0"/>
      <w:marRight w:val="0"/>
      <w:marTop w:val="0"/>
      <w:marBottom w:val="0"/>
      <w:divBdr>
        <w:top w:val="none" w:sz="0" w:space="0" w:color="auto"/>
        <w:left w:val="none" w:sz="0" w:space="0" w:color="auto"/>
        <w:bottom w:val="none" w:sz="0" w:space="0" w:color="auto"/>
        <w:right w:val="none" w:sz="0" w:space="0" w:color="auto"/>
      </w:divBdr>
      <w:divsChild>
        <w:div w:id="92937493">
          <w:marLeft w:val="0"/>
          <w:marRight w:val="0"/>
          <w:marTop w:val="0"/>
          <w:marBottom w:val="0"/>
          <w:divBdr>
            <w:top w:val="none" w:sz="0" w:space="0" w:color="auto"/>
            <w:left w:val="none" w:sz="0" w:space="0" w:color="auto"/>
            <w:bottom w:val="none" w:sz="0" w:space="0" w:color="auto"/>
            <w:right w:val="none" w:sz="0" w:space="0" w:color="auto"/>
          </w:divBdr>
        </w:div>
        <w:div w:id="516819485">
          <w:marLeft w:val="0"/>
          <w:marRight w:val="0"/>
          <w:marTop w:val="0"/>
          <w:marBottom w:val="0"/>
          <w:divBdr>
            <w:top w:val="none" w:sz="0" w:space="0" w:color="auto"/>
            <w:left w:val="none" w:sz="0" w:space="0" w:color="auto"/>
            <w:bottom w:val="none" w:sz="0" w:space="0" w:color="auto"/>
            <w:right w:val="none" w:sz="0" w:space="0" w:color="auto"/>
          </w:divBdr>
        </w:div>
        <w:div w:id="1738357308">
          <w:marLeft w:val="0"/>
          <w:marRight w:val="0"/>
          <w:marTop w:val="0"/>
          <w:marBottom w:val="0"/>
          <w:divBdr>
            <w:top w:val="none" w:sz="0" w:space="0" w:color="auto"/>
            <w:left w:val="none" w:sz="0" w:space="0" w:color="auto"/>
            <w:bottom w:val="none" w:sz="0" w:space="0" w:color="auto"/>
            <w:right w:val="none" w:sz="0" w:space="0" w:color="auto"/>
          </w:divBdr>
        </w:div>
      </w:divsChild>
    </w:div>
    <w:div w:id="770052888">
      <w:bodyDiv w:val="1"/>
      <w:marLeft w:val="0"/>
      <w:marRight w:val="0"/>
      <w:marTop w:val="0"/>
      <w:marBottom w:val="0"/>
      <w:divBdr>
        <w:top w:val="none" w:sz="0" w:space="0" w:color="auto"/>
        <w:left w:val="none" w:sz="0" w:space="0" w:color="auto"/>
        <w:bottom w:val="none" w:sz="0" w:space="0" w:color="auto"/>
        <w:right w:val="none" w:sz="0" w:space="0" w:color="auto"/>
      </w:divBdr>
    </w:div>
    <w:div w:id="783765003">
      <w:bodyDiv w:val="1"/>
      <w:marLeft w:val="0"/>
      <w:marRight w:val="0"/>
      <w:marTop w:val="0"/>
      <w:marBottom w:val="0"/>
      <w:divBdr>
        <w:top w:val="none" w:sz="0" w:space="0" w:color="auto"/>
        <w:left w:val="none" w:sz="0" w:space="0" w:color="auto"/>
        <w:bottom w:val="none" w:sz="0" w:space="0" w:color="auto"/>
        <w:right w:val="none" w:sz="0" w:space="0" w:color="auto"/>
      </w:divBdr>
    </w:div>
    <w:div w:id="783816539">
      <w:bodyDiv w:val="1"/>
      <w:marLeft w:val="0"/>
      <w:marRight w:val="0"/>
      <w:marTop w:val="0"/>
      <w:marBottom w:val="0"/>
      <w:divBdr>
        <w:top w:val="none" w:sz="0" w:space="0" w:color="auto"/>
        <w:left w:val="none" w:sz="0" w:space="0" w:color="auto"/>
        <w:bottom w:val="none" w:sz="0" w:space="0" w:color="auto"/>
        <w:right w:val="none" w:sz="0" w:space="0" w:color="auto"/>
      </w:divBdr>
    </w:div>
    <w:div w:id="786508554">
      <w:bodyDiv w:val="1"/>
      <w:marLeft w:val="0"/>
      <w:marRight w:val="0"/>
      <w:marTop w:val="0"/>
      <w:marBottom w:val="0"/>
      <w:divBdr>
        <w:top w:val="none" w:sz="0" w:space="0" w:color="auto"/>
        <w:left w:val="none" w:sz="0" w:space="0" w:color="auto"/>
        <w:bottom w:val="none" w:sz="0" w:space="0" w:color="auto"/>
        <w:right w:val="none" w:sz="0" w:space="0" w:color="auto"/>
      </w:divBdr>
    </w:div>
    <w:div w:id="824013993">
      <w:bodyDiv w:val="1"/>
      <w:marLeft w:val="0"/>
      <w:marRight w:val="0"/>
      <w:marTop w:val="0"/>
      <w:marBottom w:val="0"/>
      <w:divBdr>
        <w:top w:val="none" w:sz="0" w:space="0" w:color="auto"/>
        <w:left w:val="none" w:sz="0" w:space="0" w:color="auto"/>
        <w:bottom w:val="none" w:sz="0" w:space="0" w:color="auto"/>
        <w:right w:val="none" w:sz="0" w:space="0" w:color="auto"/>
      </w:divBdr>
    </w:div>
    <w:div w:id="831259139">
      <w:bodyDiv w:val="1"/>
      <w:marLeft w:val="0"/>
      <w:marRight w:val="0"/>
      <w:marTop w:val="0"/>
      <w:marBottom w:val="0"/>
      <w:divBdr>
        <w:top w:val="none" w:sz="0" w:space="0" w:color="auto"/>
        <w:left w:val="none" w:sz="0" w:space="0" w:color="auto"/>
        <w:bottom w:val="none" w:sz="0" w:space="0" w:color="auto"/>
        <w:right w:val="none" w:sz="0" w:space="0" w:color="auto"/>
      </w:divBdr>
    </w:div>
    <w:div w:id="858078926">
      <w:bodyDiv w:val="1"/>
      <w:marLeft w:val="0"/>
      <w:marRight w:val="0"/>
      <w:marTop w:val="0"/>
      <w:marBottom w:val="0"/>
      <w:divBdr>
        <w:top w:val="none" w:sz="0" w:space="0" w:color="auto"/>
        <w:left w:val="none" w:sz="0" w:space="0" w:color="auto"/>
        <w:bottom w:val="none" w:sz="0" w:space="0" w:color="auto"/>
        <w:right w:val="none" w:sz="0" w:space="0" w:color="auto"/>
      </w:divBdr>
      <w:divsChild>
        <w:div w:id="351028181">
          <w:marLeft w:val="0"/>
          <w:marRight w:val="0"/>
          <w:marTop w:val="0"/>
          <w:marBottom w:val="0"/>
          <w:divBdr>
            <w:top w:val="none" w:sz="0" w:space="0" w:color="auto"/>
            <w:left w:val="none" w:sz="0" w:space="0" w:color="auto"/>
            <w:bottom w:val="none" w:sz="0" w:space="0" w:color="auto"/>
            <w:right w:val="none" w:sz="0" w:space="0" w:color="auto"/>
          </w:divBdr>
        </w:div>
        <w:div w:id="521894156">
          <w:marLeft w:val="0"/>
          <w:marRight w:val="0"/>
          <w:marTop w:val="0"/>
          <w:marBottom w:val="0"/>
          <w:divBdr>
            <w:top w:val="none" w:sz="0" w:space="0" w:color="auto"/>
            <w:left w:val="none" w:sz="0" w:space="0" w:color="auto"/>
            <w:bottom w:val="none" w:sz="0" w:space="0" w:color="auto"/>
            <w:right w:val="none" w:sz="0" w:space="0" w:color="auto"/>
          </w:divBdr>
        </w:div>
        <w:div w:id="982975803">
          <w:marLeft w:val="0"/>
          <w:marRight w:val="0"/>
          <w:marTop w:val="0"/>
          <w:marBottom w:val="0"/>
          <w:divBdr>
            <w:top w:val="none" w:sz="0" w:space="0" w:color="auto"/>
            <w:left w:val="none" w:sz="0" w:space="0" w:color="auto"/>
            <w:bottom w:val="none" w:sz="0" w:space="0" w:color="auto"/>
            <w:right w:val="none" w:sz="0" w:space="0" w:color="auto"/>
          </w:divBdr>
        </w:div>
        <w:div w:id="1604726495">
          <w:marLeft w:val="0"/>
          <w:marRight w:val="0"/>
          <w:marTop w:val="0"/>
          <w:marBottom w:val="0"/>
          <w:divBdr>
            <w:top w:val="none" w:sz="0" w:space="0" w:color="auto"/>
            <w:left w:val="none" w:sz="0" w:space="0" w:color="auto"/>
            <w:bottom w:val="none" w:sz="0" w:space="0" w:color="auto"/>
            <w:right w:val="none" w:sz="0" w:space="0" w:color="auto"/>
          </w:divBdr>
        </w:div>
        <w:div w:id="1648582408">
          <w:marLeft w:val="0"/>
          <w:marRight w:val="0"/>
          <w:marTop w:val="0"/>
          <w:marBottom w:val="0"/>
          <w:divBdr>
            <w:top w:val="none" w:sz="0" w:space="0" w:color="auto"/>
            <w:left w:val="none" w:sz="0" w:space="0" w:color="auto"/>
            <w:bottom w:val="none" w:sz="0" w:space="0" w:color="auto"/>
            <w:right w:val="none" w:sz="0" w:space="0" w:color="auto"/>
          </w:divBdr>
        </w:div>
        <w:div w:id="2005737818">
          <w:marLeft w:val="0"/>
          <w:marRight w:val="0"/>
          <w:marTop w:val="0"/>
          <w:marBottom w:val="0"/>
          <w:divBdr>
            <w:top w:val="none" w:sz="0" w:space="0" w:color="auto"/>
            <w:left w:val="none" w:sz="0" w:space="0" w:color="auto"/>
            <w:bottom w:val="none" w:sz="0" w:space="0" w:color="auto"/>
            <w:right w:val="none" w:sz="0" w:space="0" w:color="auto"/>
          </w:divBdr>
        </w:div>
      </w:divsChild>
    </w:div>
    <w:div w:id="861357577">
      <w:bodyDiv w:val="1"/>
      <w:marLeft w:val="0"/>
      <w:marRight w:val="0"/>
      <w:marTop w:val="0"/>
      <w:marBottom w:val="0"/>
      <w:divBdr>
        <w:top w:val="none" w:sz="0" w:space="0" w:color="auto"/>
        <w:left w:val="none" w:sz="0" w:space="0" w:color="auto"/>
        <w:bottom w:val="none" w:sz="0" w:space="0" w:color="auto"/>
        <w:right w:val="none" w:sz="0" w:space="0" w:color="auto"/>
      </w:divBdr>
    </w:div>
    <w:div w:id="867720353">
      <w:bodyDiv w:val="1"/>
      <w:marLeft w:val="0"/>
      <w:marRight w:val="0"/>
      <w:marTop w:val="0"/>
      <w:marBottom w:val="0"/>
      <w:divBdr>
        <w:top w:val="none" w:sz="0" w:space="0" w:color="auto"/>
        <w:left w:val="none" w:sz="0" w:space="0" w:color="auto"/>
        <w:bottom w:val="none" w:sz="0" w:space="0" w:color="auto"/>
        <w:right w:val="none" w:sz="0" w:space="0" w:color="auto"/>
      </w:divBdr>
    </w:div>
    <w:div w:id="882670961">
      <w:bodyDiv w:val="1"/>
      <w:marLeft w:val="0"/>
      <w:marRight w:val="0"/>
      <w:marTop w:val="0"/>
      <w:marBottom w:val="0"/>
      <w:divBdr>
        <w:top w:val="none" w:sz="0" w:space="0" w:color="auto"/>
        <w:left w:val="none" w:sz="0" w:space="0" w:color="auto"/>
        <w:bottom w:val="none" w:sz="0" w:space="0" w:color="auto"/>
        <w:right w:val="none" w:sz="0" w:space="0" w:color="auto"/>
      </w:divBdr>
    </w:div>
    <w:div w:id="895506550">
      <w:bodyDiv w:val="1"/>
      <w:marLeft w:val="0"/>
      <w:marRight w:val="0"/>
      <w:marTop w:val="0"/>
      <w:marBottom w:val="0"/>
      <w:divBdr>
        <w:top w:val="none" w:sz="0" w:space="0" w:color="auto"/>
        <w:left w:val="none" w:sz="0" w:space="0" w:color="auto"/>
        <w:bottom w:val="none" w:sz="0" w:space="0" w:color="auto"/>
        <w:right w:val="none" w:sz="0" w:space="0" w:color="auto"/>
      </w:divBdr>
    </w:div>
    <w:div w:id="908880326">
      <w:bodyDiv w:val="1"/>
      <w:marLeft w:val="0"/>
      <w:marRight w:val="0"/>
      <w:marTop w:val="0"/>
      <w:marBottom w:val="0"/>
      <w:divBdr>
        <w:top w:val="none" w:sz="0" w:space="0" w:color="auto"/>
        <w:left w:val="none" w:sz="0" w:space="0" w:color="auto"/>
        <w:bottom w:val="none" w:sz="0" w:space="0" w:color="auto"/>
        <w:right w:val="none" w:sz="0" w:space="0" w:color="auto"/>
      </w:divBdr>
    </w:div>
    <w:div w:id="961154648">
      <w:bodyDiv w:val="1"/>
      <w:marLeft w:val="0"/>
      <w:marRight w:val="0"/>
      <w:marTop w:val="0"/>
      <w:marBottom w:val="0"/>
      <w:divBdr>
        <w:top w:val="none" w:sz="0" w:space="0" w:color="auto"/>
        <w:left w:val="none" w:sz="0" w:space="0" w:color="auto"/>
        <w:bottom w:val="none" w:sz="0" w:space="0" w:color="auto"/>
        <w:right w:val="none" w:sz="0" w:space="0" w:color="auto"/>
      </w:divBdr>
    </w:div>
    <w:div w:id="979924841">
      <w:bodyDiv w:val="1"/>
      <w:marLeft w:val="0"/>
      <w:marRight w:val="0"/>
      <w:marTop w:val="0"/>
      <w:marBottom w:val="0"/>
      <w:divBdr>
        <w:top w:val="none" w:sz="0" w:space="0" w:color="auto"/>
        <w:left w:val="none" w:sz="0" w:space="0" w:color="auto"/>
        <w:bottom w:val="none" w:sz="0" w:space="0" w:color="auto"/>
        <w:right w:val="none" w:sz="0" w:space="0" w:color="auto"/>
      </w:divBdr>
    </w:div>
    <w:div w:id="981616873">
      <w:bodyDiv w:val="1"/>
      <w:marLeft w:val="0"/>
      <w:marRight w:val="0"/>
      <w:marTop w:val="0"/>
      <w:marBottom w:val="0"/>
      <w:divBdr>
        <w:top w:val="none" w:sz="0" w:space="0" w:color="auto"/>
        <w:left w:val="none" w:sz="0" w:space="0" w:color="auto"/>
        <w:bottom w:val="none" w:sz="0" w:space="0" w:color="auto"/>
        <w:right w:val="none" w:sz="0" w:space="0" w:color="auto"/>
      </w:divBdr>
    </w:div>
    <w:div w:id="990989888">
      <w:bodyDiv w:val="1"/>
      <w:marLeft w:val="0"/>
      <w:marRight w:val="0"/>
      <w:marTop w:val="0"/>
      <w:marBottom w:val="0"/>
      <w:divBdr>
        <w:top w:val="none" w:sz="0" w:space="0" w:color="auto"/>
        <w:left w:val="none" w:sz="0" w:space="0" w:color="auto"/>
        <w:bottom w:val="none" w:sz="0" w:space="0" w:color="auto"/>
        <w:right w:val="none" w:sz="0" w:space="0" w:color="auto"/>
      </w:divBdr>
      <w:divsChild>
        <w:div w:id="102578866">
          <w:marLeft w:val="0"/>
          <w:marRight w:val="0"/>
          <w:marTop w:val="0"/>
          <w:marBottom w:val="0"/>
          <w:divBdr>
            <w:top w:val="none" w:sz="0" w:space="0" w:color="auto"/>
            <w:left w:val="none" w:sz="0" w:space="0" w:color="auto"/>
            <w:bottom w:val="none" w:sz="0" w:space="0" w:color="auto"/>
            <w:right w:val="none" w:sz="0" w:space="0" w:color="auto"/>
          </w:divBdr>
        </w:div>
        <w:div w:id="225650979">
          <w:marLeft w:val="0"/>
          <w:marRight w:val="0"/>
          <w:marTop w:val="0"/>
          <w:marBottom w:val="0"/>
          <w:divBdr>
            <w:top w:val="none" w:sz="0" w:space="0" w:color="auto"/>
            <w:left w:val="none" w:sz="0" w:space="0" w:color="auto"/>
            <w:bottom w:val="none" w:sz="0" w:space="0" w:color="auto"/>
            <w:right w:val="none" w:sz="0" w:space="0" w:color="auto"/>
          </w:divBdr>
        </w:div>
        <w:div w:id="243145458">
          <w:marLeft w:val="0"/>
          <w:marRight w:val="0"/>
          <w:marTop w:val="0"/>
          <w:marBottom w:val="0"/>
          <w:divBdr>
            <w:top w:val="none" w:sz="0" w:space="0" w:color="auto"/>
            <w:left w:val="none" w:sz="0" w:space="0" w:color="auto"/>
            <w:bottom w:val="none" w:sz="0" w:space="0" w:color="auto"/>
            <w:right w:val="none" w:sz="0" w:space="0" w:color="auto"/>
          </w:divBdr>
        </w:div>
        <w:div w:id="263808538">
          <w:marLeft w:val="0"/>
          <w:marRight w:val="0"/>
          <w:marTop w:val="0"/>
          <w:marBottom w:val="0"/>
          <w:divBdr>
            <w:top w:val="none" w:sz="0" w:space="0" w:color="auto"/>
            <w:left w:val="none" w:sz="0" w:space="0" w:color="auto"/>
            <w:bottom w:val="none" w:sz="0" w:space="0" w:color="auto"/>
            <w:right w:val="none" w:sz="0" w:space="0" w:color="auto"/>
          </w:divBdr>
        </w:div>
        <w:div w:id="514342506">
          <w:marLeft w:val="0"/>
          <w:marRight w:val="0"/>
          <w:marTop w:val="0"/>
          <w:marBottom w:val="0"/>
          <w:divBdr>
            <w:top w:val="none" w:sz="0" w:space="0" w:color="auto"/>
            <w:left w:val="none" w:sz="0" w:space="0" w:color="auto"/>
            <w:bottom w:val="none" w:sz="0" w:space="0" w:color="auto"/>
            <w:right w:val="none" w:sz="0" w:space="0" w:color="auto"/>
          </w:divBdr>
        </w:div>
        <w:div w:id="554318716">
          <w:marLeft w:val="0"/>
          <w:marRight w:val="0"/>
          <w:marTop w:val="0"/>
          <w:marBottom w:val="0"/>
          <w:divBdr>
            <w:top w:val="none" w:sz="0" w:space="0" w:color="auto"/>
            <w:left w:val="none" w:sz="0" w:space="0" w:color="auto"/>
            <w:bottom w:val="none" w:sz="0" w:space="0" w:color="auto"/>
            <w:right w:val="none" w:sz="0" w:space="0" w:color="auto"/>
          </w:divBdr>
        </w:div>
        <w:div w:id="710227895">
          <w:marLeft w:val="0"/>
          <w:marRight w:val="0"/>
          <w:marTop w:val="0"/>
          <w:marBottom w:val="0"/>
          <w:divBdr>
            <w:top w:val="none" w:sz="0" w:space="0" w:color="auto"/>
            <w:left w:val="none" w:sz="0" w:space="0" w:color="auto"/>
            <w:bottom w:val="none" w:sz="0" w:space="0" w:color="auto"/>
            <w:right w:val="none" w:sz="0" w:space="0" w:color="auto"/>
          </w:divBdr>
        </w:div>
        <w:div w:id="935669100">
          <w:marLeft w:val="0"/>
          <w:marRight w:val="0"/>
          <w:marTop w:val="0"/>
          <w:marBottom w:val="0"/>
          <w:divBdr>
            <w:top w:val="none" w:sz="0" w:space="0" w:color="auto"/>
            <w:left w:val="none" w:sz="0" w:space="0" w:color="auto"/>
            <w:bottom w:val="none" w:sz="0" w:space="0" w:color="auto"/>
            <w:right w:val="none" w:sz="0" w:space="0" w:color="auto"/>
          </w:divBdr>
        </w:div>
        <w:div w:id="1146975245">
          <w:marLeft w:val="0"/>
          <w:marRight w:val="0"/>
          <w:marTop w:val="0"/>
          <w:marBottom w:val="0"/>
          <w:divBdr>
            <w:top w:val="none" w:sz="0" w:space="0" w:color="auto"/>
            <w:left w:val="none" w:sz="0" w:space="0" w:color="auto"/>
            <w:bottom w:val="none" w:sz="0" w:space="0" w:color="auto"/>
            <w:right w:val="none" w:sz="0" w:space="0" w:color="auto"/>
          </w:divBdr>
        </w:div>
        <w:div w:id="1378092164">
          <w:marLeft w:val="0"/>
          <w:marRight w:val="0"/>
          <w:marTop w:val="0"/>
          <w:marBottom w:val="0"/>
          <w:divBdr>
            <w:top w:val="none" w:sz="0" w:space="0" w:color="auto"/>
            <w:left w:val="none" w:sz="0" w:space="0" w:color="auto"/>
            <w:bottom w:val="none" w:sz="0" w:space="0" w:color="auto"/>
            <w:right w:val="none" w:sz="0" w:space="0" w:color="auto"/>
          </w:divBdr>
        </w:div>
        <w:div w:id="1419794099">
          <w:marLeft w:val="0"/>
          <w:marRight w:val="0"/>
          <w:marTop w:val="0"/>
          <w:marBottom w:val="0"/>
          <w:divBdr>
            <w:top w:val="none" w:sz="0" w:space="0" w:color="auto"/>
            <w:left w:val="none" w:sz="0" w:space="0" w:color="auto"/>
            <w:bottom w:val="none" w:sz="0" w:space="0" w:color="auto"/>
            <w:right w:val="none" w:sz="0" w:space="0" w:color="auto"/>
          </w:divBdr>
        </w:div>
        <w:div w:id="1428388070">
          <w:marLeft w:val="0"/>
          <w:marRight w:val="0"/>
          <w:marTop w:val="0"/>
          <w:marBottom w:val="0"/>
          <w:divBdr>
            <w:top w:val="none" w:sz="0" w:space="0" w:color="auto"/>
            <w:left w:val="none" w:sz="0" w:space="0" w:color="auto"/>
            <w:bottom w:val="none" w:sz="0" w:space="0" w:color="auto"/>
            <w:right w:val="none" w:sz="0" w:space="0" w:color="auto"/>
          </w:divBdr>
        </w:div>
        <w:div w:id="1605185603">
          <w:marLeft w:val="0"/>
          <w:marRight w:val="0"/>
          <w:marTop w:val="0"/>
          <w:marBottom w:val="0"/>
          <w:divBdr>
            <w:top w:val="none" w:sz="0" w:space="0" w:color="auto"/>
            <w:left w:val="none" w:sz="0" w:space="0" w:color="auto"/>
            <w:bottom w:val="none" w:sz="0" w:space="0" w:color="auto"/>
            <w:right w:val="none" w:sz="0" w:space="0" w:color="auto"/>
          </w:divBdr>
        </w:div>
        <w:div w:id="1729569143">
          <w:marLeft w:val="0"/>
          <w:marRight w:val="0"/>
          <w:marTop w:val="0"/>
          <w:marBottom w:val="0"/>
          <w:divBdr>
            <w:top w:val="none" w:sz="0" w:space="0" w:color="auto"/>
            <w:left w:val="none" w:sz="0" w:space="0" w:color="auto"/>
            <w:bottom w:val="none" w:sz="0" w:space="0" w:color="auto"/>
            <w:right w:val="none" w:sz="0" w:space="0" w:color="auto"/>
          </w:divBdr>
        </w:div>
        <w:div w:id="1732387048">
          <w:marLeft w:val="0"/>
          <w:marRight w:val="0"/>
          <w:marTop w:val="0"/>
          <w:marBottom w:val="0"/>
          <w:divBdr>
            <w:top w:val="none" w:sz="0" w:space="0" w:color="auto"/>
            <w:left w:val="none" w:sz="0" w:space="0" w:color="auto"/>
            <w:bottom w:val="none" w:sz="0" w:space="0" w:color="auto"/>
            <w:right w:val="none" w:sz="0" w:space="0" w:color="auto"/>
          </w:divBdr>
        </w:div>
        <w:div w:id="2080595925">
          <w:marLeft w:val="0"/>
          <w:marRight w:val="0"/>
          <w:marTop w:val="0"/>
          <w:marBottom w:val="0"/>
          <w:divBdr>
            <w:top w:val="none" w:sz="0" w:space="0" w:color="auto"/>
            <w:left w:val="none" w:sz="0" w:space="0" w:color="auto"/>
            <w:bottom w:val="none" w:sz="0" w:space="0" w:color="auto"/>
            <w:right w:val="none" w:sz="0" w:space="0" w:color="auto"/>
          </w:divBdr>
        </w:div>
      </w:divsChild>
    </w:div>
    <w:div w:id="995380448">
      <w:bodyDiv w:val="1"/>
      <w:marLeft w:val="0"/>
      <w:marRight w:val="0"/>
      <w:marTop w:val="0"/>
      <w:marBottom w:val="0"/>
      <w:divBdr>
        <w:top w:val="none" w:sz="0" w:space="0" w:color="auto"/>
        <w:left w:val="none" w:sz="0" w:space="0" w:color="auto"/>
        <w:bottom w:val="none" w:sz="0" w:space="0" w:color="auto"/>
        <w:right w:val="none" w:sz="0" w:space="0" w:color="auto"/>
      </w:divBdr>
    </w:div>
    <w:div w:id="1008023078">
      <w:bodyDiv w:val="1"/>
      <w:marLeft w:val="0"/>
      <w:marRight w:val="0"/>
      <w:marTop w:val="0"/>
      <w:marBottom w:val="0"/>
      <w:divBdr>
        <w:top w:val="none" w:sz="0" w:space="0" w:color="auto"/>
        <w:left w:val="none" w:sz="0" w:space="0" w:color="auto"/>
        <w:bottom w:val="none" w:sz="0" w:space="0" w:color="auto"/>
        <w:right w:val="none" w:sz="0" w:space="0" w:color="auto"/>
      </w:divBdr>
      <w:divsChild>
        <w:div w:id="15928318">
          <w:marLeft w:val="0"/>
          <w:marRight w:val="0"/>
          <w:marTop w:val="0"/>
          <w:marBottom w:val="0"/>
          <w:divBdr>
            <w:top w:val="none" w:sz="0" w:space="0" w:color="auto"/>
            <w:left w:val="none" w:sz="0" w:space="0" w:color="auto"/>
            <w:bottom w:val="none" w:sz="0" w:space="0" w:color="auto"/>
            <w:right w:val="none" w:sz="0" w:space="0" w:color="auto"/>
          </w:divBdr>
        </w:div>
        <w:div w:id="229004583">
          <w:marLeft w:val="0"/>
          <w:marRight w:val="0"/>
          <w:marTop w:val="0"/>
          <w:marBottom w:val="0"/>
          <w:divBdr>
            <w:top w:val="none" w:sz="0" w:space="0" w:color="auto"/>
            <w:left w:val="none" w:sz="0" w:space="0" w:color="auto"/>
            <w:bottom w:val="none" w:sz="0" w:space="0" w:color="auto"/>
            <w:right w:val="none" w:sz="0" w:space="0" w:color="auto"/>
          </w:divBdr>
        </w:div>
        <w:div w:id="476918543">
          <w:marLeft w:val="0"/>
          <w:marRight w:val="0"/>
          <w:marTop w:val="0"/>
          <w:marBottom w:val="0"/>
          <w:divBdr>
            <w:top w:val="none" w:sz="0" w:space="0" w:color="auto"/>
            <w:left w:val="none" w:sz="0" w:space="0" w:color="auto"/>
            <w:bottom w:val="none" w:sz="0" w:space="0" w:color="auto"/>
            <w:right w:val="none" w:sz="0" w:space="0" w:color="auto"/>
          </w:divBdr>
        </w:div>
        <w:div w:id="532502355">
          <w:marLeft w:val="0"/>
          <w:marRight w:val="0"/>
          <w:marTop w:val="0"/>
          <w:marBottom w:val="0"/>
          <w:divBdr>
            <w:top w:val="none" w:sz="0" w:space="0" w:color="auto"/>
            <w:left w:val="none" w:sz="0" w:space="0" w:color="auto"/>
            <w:bottom w:val="none" w:sz="0" w:space="0" w:color="auto"/>
            <w:right w:val="none" w:sz="0" w:space="0" w:color="auto"/>
          </w:divBdr>
        </w:div>
        <w:div w:id="788546968">
          <w:marLeft w:val="0"/>
          <w:marRight w:val="0"/>
          <w:marTop w:val="0"/>
          <w:marBottom w:val="0"/>
          <w:divBdr>
            <w:top w:val="none" w:sz="0" w:space="0" w:color="auto"/>
            <w:left w:val="none" w:sz="0" w:space="0" w:color="auto"/>
            <w:bottom w:val="none" w:sz="0" w:space="0" w:color="auto"/>
            <w:right w:val="none" w:sz="0" w:space="0" w:color="auto"/>
          </w:divBdr>
        </w:div>
        <w:div w:id="804083466">
          <w:marLeft w:val="0"/>
          <w:marRight w:val="0"/>
          <w:marTop w:val="0"/>
          <w:marBottom w:val="0"/>
          <w:divBdr>
            <w:top w:val="none" w:sz="0" w:space="0" w:color="auto"/>
            <w:left w:val="none" w:sz="0" w:space="0" w:color="auto"/>
            <w:bottom w:val="none" w:sz="0" w:space="0" w:color="auto"/>
            <w:right w:val="none" w:sz="0" w:space="0" w:color="auto"/>
          </w:divBdr>
        </w:div>
        <w:div w:id="1254513861">
          <w:marLeft w:val="0"/>
          <w:marRight w:val="0"/>
          <w:marTop w:val="0"/>
          <w:marBottom w:val="0"/>
          <w:divBdr>
            <w:top w:val="none" w:sz="0" w:space="0" w:color="auto"/>
            <w:left w:val="none" w:sz="0" w:space="0" w:color="auto"/>
            <w:bottom w:val="none" w:sz="0" w:space="0" w:color="auto"/>
            <w:right w:val="none" w:sz="0" w:space="0" w:color="auto"/>
          </w:divBdr>
        </w:div>
        <w:div w:id="1309241487">
          <w:marLeft w:val="0"/>
          <w:marRight w:val="0"/>
          <w:marTop w:val="0"/>
          <w:marBottom w:val="0"/>
          <w:divBdr>
            <w:top w:val="none" w:sz="0" w:space="0" w:color="auto"/>
            <w:left w:val="none" w:sz="0" w:space="0" w:color="auto"/>
            <w:bottom w:val="none" w:sz="0" w:space="0" w:color="auto"/>
            <w:right w:val="none" w:sz="0" w:space="0" w:color="auto"/>
          </w:divBdr>
        </w:div>
      </w:divsChild>
    </w:div>
    <w:div w:id="1009797725">
      <w:bodyDiv w:val="1"/>
      <w:marLeft w:val="0"/>
      <w:marRight w:val="0"/>
      <w:marTop w:val="0"/>
      <w:marBottom w:val="0"/>
      <w:divBdr>
        <w:top w:val="none" w:sz="0" w:space="0" w:color="auto"/>
        <w:left w:val="none" w:sz="0" w:space="0" w:color="auto"/>
        <w:bottom w:val="none" w:sz="0" w:space="0" w:color="auto"/>
        <w:right w:val="none" w:sz="0" w:space="0" w:color="auto"/>
      </w:divBdr>
      <w:divsChild>
        <w:div w:id="60760309">
          <w:marLeft w:val="0"/>
          <w:marRight w:val="0"/>
          <w:marTop w:val="0"/>
          <w:marBottom w:val="0"/>
          <w:divBdr>
            <w:top w:val="none" w:sz="0" w:space="0" w:color="auto"/>
            <w:left w:val="none" w:sz="0" w:space="0" w:color="auto"/>
            <w:bottom w:val="none" w:sz="0" w:space="0" w:color="auto"/>
            <w:right w:val="none" w:sz="0" w:space="0" w:color="auto"/>
          </w:divBdr>
        </w:div>
        <w:div w:id="157309865">
          <w:marLeft w:val="0"/>
          <w:marRight w:val="0"/>
          <w:marTop w:val="0"/>
          <w:marBottom w:val="0"/>
          <w:divBdr>
            <w:top w:val="none" w:sz="0" w:space="0" w:color="auto"/>
            <w:left w:val="none" w:sz="0" w:space="0" w:color="auto"/>
            <w:bottom w:val="none" w:sz="0" w:space="0" w:color="auto"/>
            <w:right w:val="none" w:sz="0" w:space="0" w:color="auto"/>
          </w:divBdr>
        </w:div>
        <w:div w:id="224031019">
          <w:marLeft w:val="0"/>
          <w:marRight w:val="0"/>
          <w:marTop w:val="0"/>
          <w:marBottom w:val="0"/>
          <w:divBdr>
            <w:top w:val="none" w:sz="0" w:space="0" w:color="auto"/>
            <w:left w:val="none" w:sz="0" w:space="0" w:color="auto"/>
            <w:bottom w:val="none" w:sz="0" w:space="0" w:color="auto"/>
            <w:right w:val="none" w:sz="0" w:space="0" w:color="auto"/>
          </w:divBdr>
        </w:div>
        <w:div w:id="299724839">
          <w:marLeft w:val="0"/>
          <w:marRight w:val="0"/>
          <w:marTop w:val="0"/>
          <w:marBottom w:val="0"/>
          <w:divBdr>
            <w:top w:val="none" w:sz="0" w:space="0" w:color="auto"/>
            <w:left w:val="none" w:sz="0" w:space="0" w:color="auto"/>
            <w:bottom w:val="none" w:sz="0" w:space="0" w:color="auto"/>
            <w:right w:val="none" w:sz="0" w:space="0" w:color="auto"/>
          </w:divBdr>
        </w:div>
        <w:div w:id="384790872">
          <w:marLeft w:val="0"/>
          <w:marRight w:val="0"/>
          <w:marTop w:val="0"/>
          <w:marBottom w:val="0"/>
          <w:divBdr>
            <w:top w:val="none" w:sz="0" w:space="0" w:color="auto"/>
            <w:left w:val="none" w:sz="0" w:space="0" w:color="auto"/>
            <w:bottom w:val="none" w:sz="0" w:space="0" w:color="auto"/>
            <w:right w:val="none" w:sz="0" w:space="0" w:color="auto"/>
          </w:divBdr>
        </w:div>
        <w:div w:id="541330344">
          <w:marLeft w:val="0"/>
          <w:marRight w:val="0"/>
          <w:marTop w:val="0"/>
          <w:marBottom w:val="0"/>
          <w:divBdr>
            <w:top w:val="none" w:sz="0" w:space="0" w:color="auto"/>
            <w:left w:val="none" w:sz="0" w:space="0" w:color="auto"/>
            <w:bottom w:val="none" w:sz="0" w:space="0" w:color="auto"/>
            <w:right w:val="none" w:sz="0" w:space="0" w:color="auto"/>
          </w:divBdr>
        </w:div>
        <w:div w:id="647442460">
          <w:marLeft w:val="0"/>
          <w:marRight w:val="0"/>
          <w:marTop w:val="0"/>
          <w:marBottom w:val="0"/>
          <w:divBdr>
            <w:top w:val="none" w:sz="0" w:space="0" w:color="auto"/>
            <w:left w:val="none" w:sz="0" w:space="0" w:color="auto"/>
            <w:bottom w:val="none" w:sz="0" w:space="0" w:color="auto"/>
            <w:right w:val="none" w:sz="0" w:space="0" w:color="auto"/>
          </w:divBdr>
        </w:div>
        <w:div w:id="736821454">
          <w:marLeft w:val="0"/>
          <w:marRight w:val="0"/>
          <w:marTop w:val="0"/>
          <w:marBottom w:val="0"/>
          <w:divBdr>
            <w:top w:val="none" w:sz="0" w:space="0" w:color="auto"/>
            <w:left w:val="none" w:sz="0" w:space="0" w:color="auto"/>
            <w:bottom w:val="none" w:sz="0" w:space="0" w:color="auto"/>
            <w:right w:val="none" w:sz="0" w:space="0" w:color="auto"/>
          </w:divBdr>
        </w:div>
        <w:div w:id="785076619">
          <w:marLeft w:val="0"/>
          <w:marRight w:val="0"/>
          <w:marTop w:val="0"/>
          <w:marBottom w:val="0"/>
          <w:divBdr>
            <w:top w:val="none" w:sz="0" w:space="0" w:color="auto"/>
            <w:left w:val="none" w:sz="0" w:space="0" w:color="auto"/>
            <w:bottom w:val="none" w:sz="0" w:space="0" w:color="auto"/>
            <w:right w:val="none" w:sz="0" w:space="0" w:color="auto"/>
          </w:divBdr>
        </w:div>
        <w:div w:id="987635969">
          <w:marLeft w:val="0"/>
          <w:marRight w:val="0"/>
          <w:marTop w:val="0"/>
          <w:marBottom w:val="0"/>
          <w:divBdr>
            <w:top w:val="none" w:sz="0" w:space="0" w:color="auto"/>
            <w:left w:val="none" w:sz="0" w:space="0" w:color="auto"/>
            <w:bottom w:val="none" w:sz="0" w:space="0" w:color="auto"/>
            <w:right w:val="none" w:sz="0" w:space="0" w:color="auto"/>
          </w:divBdr>
        </w:div>
        <w:div w:id="1032077257">
          <w:marLeft w:val="0"/>
          <w:marRight w:val="0"/>
          <w:marTop w:val="0"/>
          <w:marBottom w:val="0"/>
          <w:divBdr>
            <w:top w:val="none" w:sz="0" w:space="0" w:color="auto"/>
            <w:left w:val="none" w:sz="0" w:space="0" w:color="auto"/>
            <w:bottom w:val="none" w:sz="0" w:space="0" w:color="auto"/>
            <w:right w:val="none" w:sz="0" w:space="0" w:color="auto"/>
          </w:divBdr>
        </w:div>
        <w:div w:id="1428961133">
          <w:marLeft w:val="0"/>
          <w:marRight w:val="0"/>
          <w:marTop w:val="0"/>
          <w:marBottom w:val="0"/>
          <w:divBdr>
            <w:top w:val="none" w:sz="0" w:space="0" w:color="auto"/>
            <w:left w:val="none" w:sz="0" w:space="0" w:color="auto"/>
            <w:bottom w:val="none" w:sz="0" w:space="0" w:color="auto"/>
            <w:right w:val="none" w:sz="0" w:space="0" w:color="auto"/>
          </w:divBdr>
        </w:div>
        <w:div w:id="1476606790">
          <w:marLeft w:val="0"/>
          <w:marRight w:val="0"/>
          <w:marTop w:val="0"/>
          <w:marBottom w:val="0"/>
          <w:divBdr>
            <w:top w:val="none" w:sz="0" w:space="0" w:color="auto"/>
            <w:left w:val="none" w:sz="0" w:space="0" w:color="auto"/>
            <w:bottom w:val="none" w:sz="0" w:space="0" w:color="auto"/>
            <w:right w:val="none" w:sz="0" w:space="0" w:color="auto"/>
          </w:divBdr>
        </w:div>
        <w:div w:id="1586450555">
          <w:marLeft w:val="0"/>
          <w:marRight w:val="0"/>
          <w:marTop w:val="0"/>
          <w:marBottom w:val="0"/>
          <w:divBdr>
            <w:top w:val="none" w:sz="0" w:space="0" w:color="auto"/>
            <w:left w:val="none" w:sz="0" w:space="0" w:color="auto"/>
            <w:bottom w:val="none" w:sz="0" w:space="0" w:color="auto"/>
            <w:right w:val="none" w:sz="0" w:space="0" w:color="auto"/>
          </w:divBdr>
        </w:div>
        <w:div w:id="1602640306">
          <w:marLeft w:val="0"/>
          <w:marRight w:val="0"/>
          <w:marTop w:val="0"/>
          <w:marBottom w:val="0"/>
          <w:divBdr>
            <w:top w:val="none" w:sz="0" w:space="0" w:color="auto"/>
            <w:left w:val="none" w:sz="0" w:space="0" w:color="auto"/>
            <w:bottom w:val="none" w:sz="0" w:space="0" w:color="auto"/>
            <w:right w:val="none" w:sz="0" w:space="0" w:color="auto"/>
          </w:divBdr>
        </w:div>
        <w:div w:id="1732849648">
          <w:marLeft w:val="0"/>
          <w:marRight w:val="0"/>
          <w:marTop w:val="0"/>
          <w:marBottom w:val="0"/>
          <w:divBdr>
            <w:top w:val="none" w:sz="0" w:space="0" w:color="auto"/>
            <w:left w:val="none" w:sz="0" w:space="0" w:color="auto"/>
            <w:bottom w:val="none" w:sz="0" w:space="0" w:color="auto"/>
            <w:right w:val="none" w:sz="0" w:space="0" w:color="auto"/>
          </w:divBdr>
        </w:div>
        <w:div w:id="1907185821">
          <w:marLeft w:val="0"/>
          <w:marRight w:val="0"/>
          <w:marTop w:val="0"/>
          <w:marBottom w:val="0"/>
          <w:divBdr>
            <w:top w:val="none" w:sz="0" w:space="0" w:color="auto"/>
            <w:left w:val="none" w:sz="0" w:space="0" w:color="auto"/>
            <w:bottom w:val="none" w:sz="0" w:space="0" w:color="auto"/>
            <w:right w:val="none" w:sz="0" w:space="0" w:color="auto"/>
          </w:divBdr>
        </w:div>
        <w:div w:id="1910189835">
          <w:marLeft w:val="0"/>
          <w:marRight w:val="0"/>
          <w:marTop w:val="0"/>
          <w:marBottom w:val="0"/>
          <w:divBdr>
            <w:top w:val="none" w:sz="0" w:space="0" w:color="auto"/>
            <w:left w:val="none" w:sz="0" w:space="0" w:color="auto"/>
            <w:bottom w:val="none" w:sz="0" w:space="0" w:color="auto"/>
            <w:right w:val="none" w:sz="0" w:space="0" w:color="auto"/>
          </w:divBdr>
        </w:div>
        <w:div w:id="1973291061">
          <w:marLeft w:val="0"/>
          <w:marRight w:val="0"/>
          <w:marTop w:val="0"/>
          <w:marBottom w:val="0"/>
          <w:divBdr>
            <w:top w:val="none" w:sz="0" w:space="0" w:color="auto"/>
            <w:left w:val="none" w:sz="0" w:space="0" w:color="auto"/>
            <w:bottom w:val="none" w:sz="0" w:space="0" w:color="auto"/>
            <w:right w:val="none" w:sz="0" w:space="0" w:color="auto"/>
          </w:divBdr>
        </w:div>
        <w:div w:id="2063557726">
          <w:marLeft w:val="0"/>
          <w:marRight w:val="0"/>
          <w:marTop w:val="0"/>
          <w:marBottom w:val="0"/>
          <w:divBdr>
            <w:top w:val="none" w:sz="0" w:space="0" w:color="auto"/>
            <w:left w:val="none" w:sz="0" w:space="0" w:color="auto"/>
            <w:bottom w:val="none" w:sz="0" w:space="0" w:color="auto"/>
            <w:right w:val="none" w:sz="0" w:space="0" w:color="auto"/>
          </w:divBdr>
        </w:div>
        <w:div w:id="2099061929">
          <w:marLeft w:val="0"/>
          <w:marRight w:val="0"/>
          <w:marTop w:val="0"/>
          <w:marBottom w:val="0"/>
          <w:divBdr>
            <w:top w:val="none" w:sz="0" w:space="0" w:color="auto"/>
            <w:left w:val="none" w:sz="0" w:space="0" w:color="auto"/>
            <w:bottom w:val="none" w:sz="0" w:space="0" w:color="auto"/>
            <w:right w:val="none" w:sz="0" w:space="0" w:color="auto"/>
          </w:divBdr>
        </w:div>
      </w:divsChild>
    </w:div>
    <w:div w:id="1026098045">
      <w:bodyDiv w:val="1"/>
      <w:marLeft w:val="0"/>
      <w:marRight w:val="0"/>
      <w:marTop w:val="0"/>
      <w:marBottom w:val="0"/>
      <w:divBdr>
        <w:top w:val="none" w:sz="0" w:space="0" w:color="auto"/>
        <w:left w:val="none" w:sz="0" w:space="0" w:color="auto"/>
        <w:bottom w:val="none" w:sz="0" w:space="0" w:color="auto"/>
        <w:right w:val="none" w:sz="0" w:space="0" w:color="auto"/>
      </w:divBdr>
    </w:div>
    <w:div w:id="1039818232">
      <w:bodyDiv w:val="1"/>
      <w:marLeft w:val="0"/>
      <w:marRight w:val="0"/>
      <w:marTop w:val="0"/>
      <w:marBottom w:val="0"/>
      <w:divBdr>
        <w:top w:val="none" w:sz="0" w:space="0" w:color="auto"/>
        <w:left w:val="none" w:sz="0" w:space="0" w:color="auto"/>
        <w:bottom w:val="none" w:sz="0" w:space="0" w:color="auto"/>
        <w:right w:val="none" w:sz="0" w:space="0" w:color="auto"/>
      </w:divBdr>
    </w:div>
    <w:div w:id="1044908475">
      <w:bodyDiv w:val="1"/>
      <w:marLeft w:val="0"/>
      <w:marRight w:val="0"/>
      <w:marTop w:val="0"/>
      <w:marBottom w:val="0"/>
      <w:divBdr>
        <w:top w:val="none" w:sz="0" w:space="0" w:color="auto"/>
        <w:left w:val="none" w:sz="0" w:space="0" w:color="auto"/>
        <w:bottom w:val="none" w:sz="0" w:space="0" w:color="auto"/>
        <w:right w:val="none" w:sz="0" w:space="0" w:color="auto"/>
      </w:divBdr>
    </w:div>
    <w:div w:id="1046221134">
      <w:bodyDiv w:val="1"/>
      <w:marLeft w:val="0"/>
      <w:marRight w:val="0"/>
      <w:marTop w:val="0"/>
      <w:marBottom w:val="0"/>
      <w:divBdr>
        <w:top w:val="none" w:sz="0" w:space="0" w:color="auto"/>
        <w:left w:val="none" w:sz="0" w:space="0" w:color="auto"/>
        <w:bottom w:val="none" w:sz="0" w:space="0" w:color="auto"/>
        <w:right w:val="none" w:sz="0" w:space="0" w:color="auto"/>
      </w:divBdr>
    </w:div>
    <w:div w:id="1050687492">
      <w:bodyDiv w:val="1"/>
      <w:marLeft w:val="0"/>
      <w:marRight w:val="0"/>
      <w:marTop w:val="0"/>
      <w:marBottom w:val="0"/>
      <w:divBdr>
        <w:top w:val="none" w:sz="0" w:space="0" w:color="auto"/>
        <w:left w:val="none" w:sz="0" w:space="0" w:color="auto"/>
        <w:bottom w:val="none" w:sz="0" w:space="0" w:color="auto"/>
        <w:right w:val="none" w:sz="0" w:space="0" w:color="auto"/>
      </w:divBdr>
      <w:divsChild>
        <w:div w:id="121001925">
          <w:marLeft w:val="0"/>
          <w:marRight w:val="0"/>
          <w:marTop w:val="0"/>
          <w:marBottom w:val="0"/>
          <w:divBdr>
            <w:top w:val="none" w:sz="0" w:space="0" w:color="auto"/>
            <w:left w:val="none" w:sz="0" w:space="0" w:color="auto"/>
            <w:bottom w:val="none" w:sz="0" w:space="0" w:color="auto"/>
            <w:right w:val="none" w:sz="0" w:space="0" w:color="auto"/>
          </w:divBdr>
        </w:div>
        <w:div w:id="551426126">
          <w:marLeft w:val="0"/>
          <w:marRight w:val="0"/>
          <w:marTop w:val="0"/>
          <w:marBottom w:val="0"/>
          <w:divBdr>
            <w:top w:val="none" w:sz="0" w:space="0" w:color="auto"/>
            <w:left w:val="none" w:sz="0" w:space="0" w:color="auto"/>
            <w:bottom w:val="none" w:sz="0" w:space="0" w:color="auto"/>
            <w:right w:val="none" w:sz="0" w:space="0" w:color="auto"/>
          </w:divBdr>
        </w:div>
        <w:div w:id="593444018">
          <w:marLeft w:val="0"/>
          <w:marRight w:val="0"/>
          <w:marTop w:val="0"/>
          <w:marBottom w:val="0"/>
          <w:divBdr>
            <w:top w:val="none" w:sz="0" w:space="0" w:color="auto"/>
            <w:left w:val="none" w:sz="0" w:space="0" w:color="auto"/>
            <w:bottom w:val="none" w:sz="0" w:space="0" w:color="auto"/>
            <w:right w:val="none" w:sz="0" w:space="0" w:color="auto"/>
          </w:divBdr>
        </w:div>
        <w:div w:id="838812323">
          <w:marLeft w:val="0"/>
          <w:marRight w:val="0"/>
          <w:marTop w:val="0"/>
          <w:marBottom w:val="0"/>
          <w:divBdr>
            <w:top w:val="none" w:sz="0" w:space="0" w:color="auto"/>
            <w:left w:val="none" w:sz="0" w:space="0" w:color="auto"/>
            <w:bottom w:val="none" w:sz="0" w:space="0" w:color="auto"/>
            <w:right w:val="none" w:sz="0" w:space="0" w:color="auto"/>
          </w:divBdr>
        </w:div>
        <w:div w:id="1170364827">
          <w:marLeft w:val="0"/>
          <w:marRight w:val="0"/>
          <w:marTop w:val="0"/>
          <w:marBottom w:val="0"/>
          <w:divBdr>
            <w:top w:val="none" w:sz="0" w:space="0" w:color="auto"/>
            <w:left w:val="none" w:sz="0" w:space="0" w:color="auto"/>
            <w:bottom w:val="none" w:sz="0" w:space="0" w:color="auto"/>
            <w:right w:val="none" w:sz="0" w:space="0" w:color="auto"/>
          </w:divBdr>
        </w:div>
        <w:div w:id="1953508974">
          <w:marLeft w:val="0"/>
          <w:marRight w:val="0"/>
          <w:marTop w:val="0"/>
          <w:marBottom w:val="0"/>
          <w:divBdr>
            <w:top w:val="none" w:sz="0" w:space="0" w:color="auto"/>
            <w:left w:val="none" w:sz="0" w:space="0" w:color="auto"/>
            <w:bottom w:val="none" w:sz="0" w:space="0" w:color="auto"/>
            <w:right w:val="none" w:sz="0" w:space="0" w:color="auto"/>
          </w:divBdr>
        </w:div>
        <w:div w:id="2094619482">
          <w:marLeft w:val="0"/>
          <w:marRight w:val="0"/>
          <w:marTop w:val="0"/>
          <w:marBottom w:val="0"/>
          <w:divBdr>
            <w:top w:val="none" w:sz="0" w:space="0" w:color="auto"/>
            <w:left w:val="none" w:sz="0" w:space="0" w:color="auto"/>
            <w:bottom w:val="none" w:sz="0" w:space="0" w:color="auto"/>
            <w:right w:val="none" w:sz="0" w:space="0" w:color="auto"/>
          </w:divBdr>
        </w:div>
      </w:divsChild>
    </w:div>
    <w:div w:id="1080755330">
      <w:bodyDiv w:val="1"/>
      <w:marLeft w:val="0"/>
      <w:marRight w:val="0"/>
      <w:marTop w:val="0"/>
      <w:marBottom w:val="0"/>
      <w:divBdr>
        <w:top w:val="none" w:sz="0" w:space="0" w:color="auto"/>
        <w:left w:val="none" w:sz="0" w:space="0" w:color="auto"/>
        <w:bottom w:val="none" w:sz="0" w:space="0" w:color="auto"/>
        <w:right w:val="none" w:sz="0" w:space="0" w:color="auto"/>
      </w:divBdr>
    </w:div>
    <w:div w:id="1083179989">
      <w:bodyDiv w:val="1"/>
      <w:marLeft w:val="0"/>
      <w:marRight w:val="0"/>
      <w:marTop w:val="0"/>
      <w:marBottom w:val="0"/>
      <w:divBdr>
        <w:top w:val="none" w:sz="0" w:space="0" w:color="auto"/>
        <w:left w:val="none" w:sz="0" w:space="0" w:color="auto"/>
        <w:bottom w:val="none" w:sz="0" w:space="0" w:color="auto"/>
        <w:right w:val="none" w:sz="0" w:space="0" w:color="auto"/>
      </w:divBdr>
      <w:divsChild>
        <w:div w:id="564607999">
          <w:marLeft w:val="0"/>
          <w:marRight w:val="0"/>
          <w:marTop w:val="0"/>
          <w:marBottom w:val="0"/>
          <w:divBdr>
            <w:top w:val="none" w:sz="0" w:space="0" w:color="auto"/>
            <w:left w:val="none" w:sz="0" w:space="0" w:color="auto"/>
            <w:bottom w:val="none" w:sz="0" w:space="0" w:color="auto"/>
            <w:right w:val="none" w:sz="0" w:space="0" w:color="auto"/>
          </w:divBdr>
        </w:div>
        <w:div w:id="698706416">
          <w:marLeft w:val="0"/>
          <w:marRight w:val="0"/>
          <w:marTop w:val="0"/>
          <w:marBottom w:val="0"/>
          <w:divBdr>
            <w:top w:val="none" w:sz="0" w:space="0" w:color="auto"/>
            <w:left w:val="none" w:sz="0" w:space="0" w:color="auto"/>
            <w:bottom w:val="none" w:sz="0" w:space="0" w:color="auto"/>
            <w:right w:val="none" w:sz="0" w:space="0" w:color="auto"/>
          </w:divBdr>
        </w:div>
        <w:div w:id="938148058">
          <w:marLeft w:val="0"/>
          <w:marRight w:val="0"/>
          <w:marTop w:val="0"/>
          <w:marBottom w:val="0"/>
          <w:divBdr>
            <w:top w:val="none" w:sz="0" w:space="0" w:color="auto"/>
            <w:left w:val="none" w:sz="0" w:space="0" w:color="auto"/>
            <w:bottom w:val="none" w:sz="0" w:space="0" w:color="auto"/>
            <w:right w:val="none" w:sz="0" w:space="0" w:color="auto"/>
          </w:divBdr>
        </w:div>
        <w:div w:id="1002049598">
          <w:marLeft w:val="0"/>
          <w:marRight w:val="0"/>
          <w:marTop w:val="0"/>
          <w:marBottom w:val="0"/>
          <w:divBdr>
            <w:top w:val="none" w:sz="0" w:space="0" w:color="auto"/>
            <w:left w:val="none" w:sz="0" w:space="0" w:color="auto"/>
            <w:bottom w:val="none" w:sz="0" w:space="0" w:color="auto"/>
            <w:right w:val="none" w:sz="0" w:space="0" w:color="auto"/>
          </w:divBdr>
        </w:div>
        <w:div w:id="1025597157">
          <w:marLeft w:val="0"/>
          <w:marRight w:val="0"/>
          <w:marTop w:val="0"/>
          <w:marBottom w:val="0"/>
          <w:divBdr>
            <w:top w:val="none" w:sz="0" w:space="0" w:color="auto"/>
            <w:left w:val="none" w:sz="0" w:space="0" w:color="auto"/>
            <w:bottom w:val="none" w:sz="0" w:space="0" w:color="auto"/>
            <w:right w:val="none" w:sz="0" w:space="0" w:color="auto"/>
          </w:divBdr>
        </w:div>
        <w:div w:id="1329089252">
          <w:marLeft w:val="0"/>
          <w:marRight w:val="0"/>
          <w:marTop w:val="0"/>
          <w:marBottom w:val="0"/>
          <w:divBdr>
            <w:top w:val="none" w:sz="0" w:space="0" w:color="auto"/>
            <w:left w:val="none" w:sz="0" w:space="0" w:color="auto"/>
            <w:bottom w:val="none" w:sz="0" w:space="0" w:color="auto"/>
            <w:right w:val="none" w:sz="0" w:space="0" w:color="auto"/>
          </w:divBdr>
        </w:div>
        <w:div w:id="1537037654">
          <w:marLeft w:val="0"/>
          <w:marRight w:val="0"/>
          <w:marTop w:val="0"/>
          <w:marBottom w:val="0"/>
          <w:divBdr>
            <w:top w:val="none" w:sz="0" w:space="0" w:color="auto"/>
            <w:left w:val="none" w:sz="0" w:space="0" w:color="auto"/>
            <w:bottom w:val="none" w:sz="0" w:space="0" w:color="auto"/>
            <w:right w:val="none" w:sz="0" w:space="0" w:color="auto"/>
          </w:divBdr>
        </w:div>
        <w:div w:id="1685017925">
          <w:marLeft w:val="0"/>
          <w:marRight w:val="0"/>
          <w:marTop w:val="0"/>
          <w:marBottom w:val="0"/>
          <w:divBdr>
            <w:top w:val="none" w:sz="0" w:space="0" w:color="auto"/>
            <w:left w:val="none" w:sz="0" w:space="0" w:color="auto"/>
            <w:bottom w:val="none" w:sz="0" w:space="0" w:color="auto"/>
            <w:right w:val="none" w:sz="0" w:space="0" w:color="auto"/>
          </w:divBdr>
        </w:div>
        <w:div w:id="2129272132">
          <w:marLeft w:val="0"/>
          <w:marRight w:val="0"/>
          <w:marTop w:val="0"/>
          <w:marBottom w:val="0"/>
          <w:divBdr>
            <w:top w:val="none" w:sz="0" w:space="0" w:color="auto"/>
            <w:left w:val="none" w:sz="0" w:space="0" w:color="auto"/>
            <w:bottom w:val="none" w:sz="0" w:space="0" w:color="auto"/>
            <w:right w:val="none" w:sz="0" w:space="0" w:color="auto"/>
          </w:divBdr>
        </w:div>
      </w:divsChild>
    </w:div>
    <w:div w:id="1091203117">
      <w:bodyDiv w:val="1"/>
      <w:marLeft w:val="0"/>
      <w:marRight w:val="0"/>
      <w:marTop w:val="0"/>
      <w:marBottom w:val="0"/>
      <w:divBdr>
        <w:top w:val="none" w:sz="0" w:space="0" w:color="auto"/>
        <w:left w:val="none" w:sz="0" w:space="0" w:color="auto"/>
        <w:bottom w:val="none" w:sz="0" w:space="0" w:color="auto"/>
        <w:right w:val="none" w:sz="0" w:space="0" w:color="auto"/>
      </w:divBdr>
    </w:div>
    <w:div w:id="1103110500">
      <w:bodyDiv w:val="1"/>
      <w:marLeft w:val="0"/>
      <w:marRight w:val="0"/>
      <w:marTop w:val="0"/>
      <w:marBottom w:val="0"/>
      <w:divBdr>
        <w:top w:val="none" w:sz="0" w:space="0" w:color="auto"/>
        <w:left w:val="none" w:sz="0" w:space="0" w:color="auto"/>
        <w:bottom w:val="none" w:sz="0" w:space="0" w:color="auto"/>
        <w:right w:val="none" w:sz="0" w:space="0" w:color="auto"/>
      </w:divBdr>
      <w:divsChild>
        <w:div w:id="17318460">
          <w:marLeft w:val="0"/>
          <w:marRight w:val="0"/>
          <w:marTop w:val="0"/>
          <w:marBottom w:val="0"/>
          <w:divBdr>
            <w:top w:val="none" w:sz="0" w:space="0" w:color="auto"/>
            <w:left w:val="none" w:sz="0" w:space="0" w:color="auto"/>
            <w:bottom w:val="none" w:sz="0" w:space="0" w:color="auto"/>
            <w:right w:val="none" w:sz="0" w:space="0" w:color="auto"/>
          </w:divBdr>
        </w:div>
        <w:div w:id="65304553">
          <w:marLeft w:val="0"/>
          <w:marRight w:val="0"/>
          <w:marTop w:val="0"/>
          <w:marBottom w:val="0"/>
          <w:divBdr>
            <w:top w:val="none" w:sz="0" w:space="0" w:color="auto"/>
            <w:left w:val="none" w:sz="0" w:space="0" w:color="auto"/>
            <w:bottom w:val="none" w:sz="0" w:space="0" w:color="auto"/>
            <w:right w:val="none" w:sz="0" w:space="0" w:color="auto"/>
          </w:divBdr>
        </w:div>
        <w:div w:id="620258612">
          <w:marLeft w:val="0"/>
          <w:marRight w:val="0"/>
          <w:marTop w:val="0"/>
          <w:marBottom w:val="0"/>
          <w:divBdr>
            <w:top w:val="none" w:sz="0" w:space="0" w:color="auto"/>
            <w:left w:val="none" w:sz="0" w:space="0" w:color="auto"/>
            <w:bottom w:val="none" w:sz="0" w:space="0" w:color="auto"/>
            <w:right w:val="none" w:sz="0" w:space="0" w:color="auto"/>
          </w:divBdr>
        </w:div>
        <w:div w:id="711343884">
          <w:marLeft w:val="0"/>
          <w:marRight w:val="0"/>
          <w:marTop w:val="0"/>
          <w:marBottom w:val="0"/>
          <w:divBdr>
            <w:top w:val="none" w:sz="0" w:space="0" w:color="auto"/>
            <w:left w:val="none" w:sz="0" w:space="0" w:color="auto"/>
            <w:bottom w:val="none" w:sz="0" w:space="0" w:color="auto"/>
            <w:right w:val="none" w:sz="0" w:space="0" w:color="auto"/>
          </w:divBdr>
        </w:div>
        <w:div w:id="786003971">
          <w:marLeft w:val="0"/>
          <w:marRight w:val="0"/>
          <w:marTop w:val="0"/>
          <w:marBottom w:val="0"/>
          <w:divBdr>
            <w:top w:val="none" w:sz="0" w:space="0" w:color="auto"/>
            <w:left w:val="none" w:sz="0" w:space="0" w:color="auto"/>
            <w:bottom w:val="none" w:sz="0" w:space="0" w:color="auto"/>
            <w:right w:val="none" w:sz="0" w:space="0" w:color="auto"/>
          </w:divBdr>
        </w:div>
        <w:div w:id="1268196434">
          <w:marLeft w:val="0"/>
          <w:marRight w:val="0"/>
          <w:marTop w:val="0"/>
          <w:marBottom w:val="0"/>
          <w:divBdr>
            <w:top w:val="none" w:sz="0" w:space="0" w:color="auto"/>
            <w:left w:val="none" w:sz="0" w:space="0" w:color="auto"/>
            <w:bottom w:val="none" w:sz="0" w:space="0" w:color="auto"/>
            <w:right w:val="none" w:sz="0" w:space="0" w:color="auto"/>
          </w:divBdr>
        </w:div>
        <w:div w:id="2107144000">
          <w:marLeft w:val="0"/>
          <w:marRight w:val="0"/>
          <w:marTop w:val="0"/>
          <w:marBottom w:val="0"/>
          <w:divBdr>
            <w:top w:val="none" w:sz="0" w:space="0" w:color="auto"/>
            <w:left w:val="none" w:sz="0" w:space="0" w:color="auto"/>
            <w:bottom w:val="none" w:sz="0" w:space="0" w:color="auto"/>
            <w:right w:val="none" w:sz="0" w:space="0" w:color="auto"/>
          </w:divBdr>
        </w:div>
        <w:div w:id="2137985756">
          <w:marLeft w:val="0"/>
          <w:marRight w:val="0"/>
          <w:marTop w:val="0"/>
          <w:marBottom w:val="0"/>
          <w:divBdr>
            <w:top w:val="none" w:sz="0" w:space="0" w:color="auto"/>
            <w:left w:val="none" w:sz="0" w:space="0" w:color="auto"/>
            <w:bottom w:val="none" w:sz="0" w:space="0" w:color="auto"/>
            <w:right w:val="none" w:sz="0" w:space="0" w:color="auto"/>
          </w:divBdr>
        </w:div>
      </w:divsChild>
    </w:div>
    <w:div w:id="1120564866">
      <w:bodyDiv w:val="1"/>
      <w:marLeft w:val="0"/>
      <w:marRight w:val="0"/>
      <w:marTop w:val="0"/>
      <w:marBottom w:val="0"/>
      <w:divBdr>
        <w:top w:val="none" w:sz="0" w:space="0" w:color="auto"/>
        <w:left w:val="none" w:sz="0" w:space="0" w:color="auto"/>
        <w:bottom w:val="none" w:sz="0" w:space="0" w:color="auto"/>
        <w:right w:val="none" w:sz="0" w:space="0" w:color="auto"/>
      </w:divBdr>
    </w:div>
    <w:div w:id="1128741340">
      <w:bodyDiv w:val="1"/>
      <w:marLeft w:val="0"/>
      <w:marRight w:val="0"/>
      <w:marTop w:val="0"/>
      <w:marBottom w:val="0"/>
      <w:divBdr>
        <w:top w:val="none" w:sz="0" w:space="0" w:color="auto"/>
        <w:left w:val="none" w:sz="0" w:space="0" w:color="auto"/>
        <w:bottom w:val="none" w:sz="0" w:space="0" w:color="auto"/>
        <w:right w:val="none" w:sz="0" w:space="0" w:color="auto"/>
      </w:divBdr>
    </w:div>
    <w:div w:id="1128822029">
      <w:bodyDiv w:val="1"/>
      <w:marLeft w:val="0"/>
      <w:marRight w:val="0"/>
      <w:marTop w:val="0"/>
      <w:marBottom w:val="0"/>
      <w:divBdr>
        <w:top w:val="none" w:sz="0" w:space="0" w:color="auto"/>
        <w:left w:val="none" w:sz="0" w:space="0" w:color="auto"/>
        <w:bottom w:val="none" w:sz="0" w:space="0" w:color="auto"/>
        <w:right w:val="none" w:sz="0" w:space="0" w:color="auto"/>
      </w:divBdr>
    </w:div>
    <w:div w:id="1143473531">
      <w:bodyDiv w:val="1"/>
      <w:marLeft w:val="0"/>
      <w:marRight w:val="0"/>
      <w:marTop w:val="0"/>
      <w:marBottom w:val="0"/>
      <w:divBdr>
        <w:top w:val="none" w:sz="0" w:space="0" w:color="auto"/>
        <w:left w:val="none" w:sz="0" w:space="0" w:color="auto"/>
        <w:bottom w:val="none" w:sz="0" w:space="0" w:color="auto"/>
        <w:right w:val="none" w:sz="0" w:space="0" w:color="auto"/>
      </w:divBdr>
    </w:div>
    <w:div w:id="1145470785">
      <w:bodyDiv w:val="1"/>
      <w:marLeft w:val="0"/>
      <w:marRight w:val="0"/>
      <w:marTop w:val="0"/>
      <w:marBottom w:val="0"/>
      <w:divBdr>
        <w:top w:val="none" w:sz="0" w:space="0" w:color="auto"/>
        <w:left w:val="none" w:sz="0" w:space="0" w:color="auto"/>
        <w:bottom w:val="none" w:sz="0" w:space="0" w:color="auto"/>
        <w:right w:val="none" w:sz="0" w:space="0" w:color="auto"/>
      </w:divBdr>
      <w:divsChild>
        <w:div w:id="105974473">
          <w:marLeft w:val="0"/>
          <w:marRight w:val="0"/>
          <w:marTop w:val="0"/>
          <w:marBottom w:val="0"/>
          <w:divBdr>
            <w:top w:val="none" w:sz="0" w:space="0" w:color="auto"/>
            <w:left w:val="none" w:sz="0" w:space="0" w:color="auto"/>
            <w:bottom w:val="none" w:sz="0" w:space="0" w:color="auto"/>
            <w:right w:val="none" w:sz="0" w:space="0" w:color="auto"/>
          </w:divBdr>
        </w:div>
        <w:div w:id="334916784">
          <w:marLeft w:val="0"/>
          <w:marRight w:val="0"/>
          <w:marTop w:val="0"/>
          <w:marBottom w:val="0"/>
          <w:divBdr>
            <w:top w:val="none" w:sz="0" w:space="0" w:color="auto"/>
            <w:left w:val="none" w:sz="0" w:space="0" w:color="auto"/>
            <w:bottom w:val="none" w:sz="0" w:space="0" w:color="auto"/>
            <w:right w:val="none" w:sz="0" w:space="0" w:color="auto"/>
          </w:divBdr>
        </w:div>
        <w:div w:id="364986310">
          <w:marLeft w:val="0"/>
          <w:marRight w:val="0"/>
          <w:marTop w:val="0"/>
          <w:marBottom w:val="0"/>
          <w:divBdr>
            <w:top w:val="none" w:sz="0" w:space="0" w:color="auto"/>
            <w:left w:val="none" w:sz="0" w:space="0" w:color="auto"/>
            <w:bottom w:val="none" w:sz="0" w:space="0" w:color="auto"/>
            <w:right w:val="none" w:sz="0" w:space="0" w:color="auto"/>
          </w:divBdr>
        </w:div>
        <w:div w:id="430904778">
          <w:marLeft w:val="0"/>
          <w:marRight w:val="0"/>
          <w:marTop w:val="0"/>
          <w:marBottom w:val="0"/>
          <w:divBdr>
            <w:top w:val="none" w:sz="0" w:space="0" w:color="auto"/>
            <w:left w:val="none" w:sz="0" w:space="0" w:color="auto"/>
            <w:bottom w:val="none" w:sz="0" w:space="0" w:color="auto"/>
            <w:right w:val="none" w:sz="0" w:space="0" w:color="auto"/>
          </w:divBdr>
        </w:div>
        <w:div w:id="449596036">
          <w:marLeft w:val="0"/>
          <w:marRight w:val="0"/>
          <w:marTop w:val="0"/>
          <w:marBottom w:val="0"/>
          <w:divBdr>
            <w:top w:val="none" w:sz="0" w:space="0" w:color="auto"/>
            <w:left w:val="none" w:sz="0" w:space="0" w:color="auto"/>
            <w:bottom w:val="none" w:sz="0" w:space="0" w:color="auto"/>
            <w:right w:val="none" w:sz="0" w:space="0" w:color="auto"/>
          </w:divBdr>
        </w:div>
        <w:div w:id="1082218860">
          <w:marLeft w:val="0"/>
          <w:marRight w:val="0"/>
          <w:marTop w:val="0"/>
          <w:marBottom w:val="0"/>
          <w:divBdr>
            <w:top w:val="none" w:sz="0" w:space="0" w:color="auto"/>
            <w:left w:val="none" w:sz="0" w:space="0" w:color="auto"/>
            <w:bottom w:val="none" w:sz="0" w:space="0" w:color="auto"/>
            <w:right w:val="none" w:sz="0" w:space="0" w:color="auto"/>
          </w:divBdr>
        </w:div>
        <w:div w:id="1434521739">
          <w:marLeft w:val="0"/>
          <w:marRight w:val="0"/>
          <w:marTop w:val="0"/>
          <w:marBottom w:val="0"/>
          <w:divBdr>
            <w:top w:val="none" w:sz="0" w:space="0" w:color="auto"/>
            <w:left w:val="none" w:sz="0" w:space="0" w:color="auto"/>
            <w:bottom w:val="none" w:sz="0" w:space="0" w:color="auto"/>
            <w:right w:val="none" w:sz="0" w:space="0" w:color="auto"/>
          </w:divBdr>
        </w:div>
        <w:div w:id="1467505350">
          <w:marLeft w:val="0"/>
          <w:marRight w:val="0"/>
          <w:marTop w:val="0"/>
          <w:marBottom w:val="0"/>
          <w:divBdr>
            <w:top w:val="none" w:sz="0" w:space="0" w:color="auto"/>
            <w:left w:val="none" w:sz="0" w:space="0" w:color="auto"/>
            <w:bottom w:val="none" w:sz="0" w:space="0" w:color="auto"/>
            <w:right w:val="none" w:sz="0" w:space="0" w:color="auto"/>
          </w:divBdr>
        </w:div>
        <w:div w:id="1624456527">
          <w:marLeft w:val="0"/>
          <w:marRight w:val="0"/>
          <w:marTop w:val="0"/>
          <w:marBottom w:val="0"/>
          <w:divBdr>
            <w:top w:val="none" w:sz="0" w:space="0" w:color="auto"/>
            <w:left w:val="none" w:sz="0" w:space="0" w:color="auto"/>
            <w:bottom w:val="none" w:sz="0" w:space="0" w:color="auto"/>
            <w:right w:val="none" w:sz="0" w:space="0" w:color="auto"/>
          </w:divBdr>
        </w:div>
        <w:div w:id="1939487991">
          <w:marLeft w:val="0"/>
          <w:marRight w:val="0"/>
          <w:marTop w:val="0"/>
          <w:marBottom w:val="0"/>
          <w:divBdr>
            <w:top w:val="none" w:sz="0" w:space="0" w:color="auto"/>
            <w:left w:val="none" w:sz="0" w:space="0" w:color="auto"/>
            <w:bottom w:val="none" w:sz="0" w:space="0" w:color="auto"/>
            <w:right w:val="none" w:sz="0" w:space="0" w:color="auto"/>
          </w:divBdr>
        </w:div>
      </w:divsChild>
    </w:div>
    <w:div w:id="1145970629">
      <w:bodyDiv w:val="1"/>
      <w:marLeft w:val="0"/>
      <w:marRight w:val="0"/>
      <w:marTop w:val="0"/>
      <w:marBottom w:val="0"/>
      <w:divBdr>
        <w:top w:val="none" w:sz="0" w:space="0" w:color="auto"/>
        <w:left w:val="none" w:sz="0" w:space="0" w:color="auto"/>
        <w:bottom w:val="none" w:sz="0" w:space="0" w:color="auto"/>
        <w:right w:val="none" w:sz="0" w:space="0" w:color="auto"/>
      </w:divBdr>
      <w:divsChild>
        <w:div w:id="389499508">
          <w:marLeft w:val="0"/>
          <w:marRight w:val="0"/>
          <w:marTop w:val="0"/>
          <w:marBottom w:val="0"/>
          <w:divBdr>
            <w:top w:val="none" w:sz="0" w:space="0" w:color="auto"/>
            <w:left w:val="none" w:sz="0" w:space="0" w:color="auto"/>
            <w:bottom w:val="none" w:sz="0" w:space="0" w:color="auto"/>
            <w:right w:val="none" w:sz="0" w:space="0" w:color="auto"/>
          </w:divBdr>
        </w:div>
        <w:div w:id="492765297">
          <w:marLeft w:val="0"/>
          <w:marRight w:val="0"/>
          <w:marTop w:val="0"/>
          <w:marBottom w:val="0"/>
          <w:divBdr>
            <w:top w:val="none" w:sz="0" w:space="0" w:color="auto"/>
            <w:left w:val="none" w:sz="0" w:space="0" w:color="auto"/>
            <w:bottom w:val="none" w:sz="0" w:space="0" w:color="auto"/>
            <w:right w:val="none" w:sz="0" w:space="0" w:color="auto"/>
          </w:divBdr>
        </w:div>
        <w:div w:id="981271409">
          <w:marLeft w:val="0"/>
          <w:marRight w:val="0"/>
          <w:marTop w:val="0"/>
          <w:marBottom w:val="0"/>
          <w:divBdr>
            <w:top w:val="none" w:sz="0" w:space="0" w:color="auto"/>
            <w:left w:val="none" w:sz="0" w:space="0" w:color="auto"/>
            <w:bottom w:val="none" w:sz="0" w:space="0" w:color="auto"/>
            <w:right w:val="none" w:sz="0" w:space="0" w:color="auto"/>
          </w:divBdr>
        </w:div>
        <w:div w:id="1423381791">
          <w:marLeft w:val="0"/>
          <w:marRight w:val="0"/>
          <w:marTop w:val="0"/>
          <w:marBottom w:val="0"/>
          <w:divBdr>
            <w:top w:val="none" w:sz="0" w:space="0" w:color="auto"/>
            <w:left w:val="none" w:sz="0" w:space="0" w:color="auto"/>
            <w:bottom w:val="none" w:sz="0" w:space="0" w:color="auto"/>
            <w:right w:val="none" w:sz="0" w:space="0" w:color="auto"/>
          </w:divBdr>
        </w:div>
        <w:div w:id="1688946851">
          <w:marLeft w:val="0"/>
          <w:marRight w:val="0"/>
          <w:marTop w:val="0"/>
          <w:marBottom w:val="0"/>
          <w:divBdr>
            <w:top w:val="none" w:sz="0" w:space="0" w:color="auto"/>
            <w:left w:val="none" w:sz="0" w:space="0" w:color="auto"/>
            <w:bottom w:val="none" w:sz="0" w:space="0" w:color="auto"/>
            <w:right w:val="none" w:sz="0" w:space="0" w:color="auto"/>
          </w:divBdr>
        </w:div>
        <w:div w:id="2078241934">
          <w:marLeft w:val="0"/>
          <w:marRight w:val="0"/>
          <w:marTop w:val="0"/>
          <w:marBottom w:val="0"/>
          <w:divBdr>
            <w:top w:val="none" w:sz="0" w:space="0" w:color="auto"/>
            <w:left w:val="none" w:sz="0" w:space="0" w:color="auto"/>
            <w:bottom w:val="none" w:sz="0" w:space="0" w:color="auto"/>
            <w:right w:val="none" w:sz="0" w:space="0" w:color="auto"/>
          </w:divBdr>
        </w:div>
      </w:divsChild>
    </w:div>
    <w:div w:id="1146972834">
      <w:bodyDiv w:val="1"/>
      <w:marLeft w:val="0"/>
      <w:marRight w:val="0"/>
      <w:marTop w:val="0"/>
      <w:marBottom w:val="0"/>
      <w:divBdr>
        <w:top w:val="none" w:sz="0" w:space="0" w:color="auto"/>
        <w:left w:val="none" w:sz="0" w:space="0" w:color="auto"/>
        <w:bottom w:val="none" w:sz="0" w:space="0" w:color="auto"/>
        <w:right w:val="none" w:sz="0" w:space="0" w:color="auto"/>
      </w:divBdr>
      <w:divsChild>
        <w:div w:id="57442269">
          <w:marLeft w:val="0"/>
          <w:marRight w:val="0"/>
          <w:marTop w:val="0"/>
          <w:marBottom w:val="0"/>
          <w:divBdr>
            <w:top w:val="none" w:sz="0" w:space="0" w:color="auto"/>
            <w:left w:val="none" w:sz="0" w:space="0" w:color="auto"/>
            <w:bottom w:val="none" w:sz="0" w:space="0" w:color="auto"/>
            <w:right w:val="none" w:sz="0" w:space="0" w:color="auto"/>
          </w:divBdr>
        </w:div>
        <w:div w:id="139929691">
          <w:marLeft w:val="0"/>
          <w:marRight w:val="0"/>
          <w:marTop w:val="0"/>
          <w:marBottom w:val="0"/>
          <w:divBdr>
            <w:top w:val="none" w:sz="0" w:space="0" w:color="auto"/>
            <w:left w:val="none" w:sz="0" w:space="0" w:color="auto"/>
            <w:bottom w:val="none" w:sz="0" w:space="0" w:color="auto"/>
            <w:right w:val="none" w:sz="0" w:space="0" w:color="auto"/>
          </w:divBdr>
        </w:div>
        <w:div w:id="234828766">
          <w:marLeft w:val="0"/>
          <w:marRight w:val="0"/>
          <w:marTop w:val="0"/>
          <w:marBottom w:val="0"/>
          <w:divBdr>
            <w:top w:val="none" w:sz="0" w:space="0" w:color="auto"/>
            <w:left w:val="none" w:sz="0" w:space="0" w:color="auto"/>
            <w:bottom w:val="none" w:sz="0" w:space="0" w:color="auto"/>
            <w:right w:val="none" w:sz="0" w:space="0" w:color="auto"/>
          </w:divBdr>
        </w:div>
        <w:div w:id="862010908">
          <w:marLeft w:val="0"/>
          <w:marRight w:val="0"/>
          <w:marTop w:val="0"/>
          <w:marBottom w:val="0"/>
          <w:divBdr>
            <w:top w:val="none" w:sz="0" w:space="0" w:color="auto"/>
            <w:left w:val="none" w:sz="0" w:space="0" w:color="auto"/>
            <w:bottom w:val="none" w:sz="0" w:space="0" w:color="auto"/>
            <w:right w:val="none" w:sz="0" w:space="0" w:color="auto"/>
          </w:divBdr>
        </w:div>
        <w:div w:id="956717419">
          <w:marLeft w:val="0"/>
          <w:marRight w:val="0"/>
          <w:marTop w:val="0"/>
          <w:marBottom w:val="0"/>
          <w:divBdr>
            <w:top w:val="none" w:sz="0" w:space="0" w:color="auto"/>
            <w:left w:val="none" w:sz="0" w:space="0" w:color="auto"/>
            <w:bottom w:val="none" w:sz="0" w:space="0" w:color="auto"/>
            <w:right w:val="none" w:sz="0" w:space="0" w:color="auto"/>
          </w:divBdr>
        </w:div>
        <w:div w:id="973288225">
          <w:marLeft w:val="0"/>
          <w:marRight w:val="0"/>
          <w:marTop w:val="0"/>
          <w:marBottom w:val="0"/>
          <w:divBdr>
            <w:top w:val="none" w:sz="0" w:space="0" w:color="auto"/>
            <w:left w:val="none" w:sz="0" w:space="0" w:color="auto"/>
            <w:bottom w:val="none" w:sz="0" w:space="0" w:color="auto"/>
            <w:right w:val="none" w:sz="0" w:space="0" w:color="auto"/>
          </w:divBdr>
        </w:div>
        <w:div w:id="1002047540">
          <w:marLeft w:val="0"/>
          <w:marRight w:val="0"/>
          <w:marTop w:val="0"/>
          <w:marBottom w:val="0"/>
          <w:divBdr>
            <w:top w:val="none" w:sz="0" w:space="0" w:color="auto"/>
            <w:left w:val="none" w:sz="0" w:space="0" w:color="auto"/>
            <w:bottom w:val="none" w:sz="0" w:space="0" w:color="auto"/>
            <w:right w:val="none" w:sz="0" w:space="0" w:color="auto"/>
          </w:divBdr>
        </w:div>
        <w:div w:id="1176991857">
          <w:marLeft w:val="0"/>
          <w:marRight w:val="0"/>
          <w:marTop w:val="0"/>
          <w:marBottom w:val="0"/>
          <w:divBdr>
            <w:top w:val="none" w:sz="0" w:space="0" w:color="auto"/>
            <w:left w:val="none" w:sz="0" w:space="0" w:color="auto"/>
            <w:bottom w:val="none" w:sz="0" w:space="0" w:color="auto"/>
            <w:right w:val="none" w:sz="0" w:space="0" w:color="auto"/>
          </w:divBdr>
        </w:div>
        <w:div w:id="1447693822">
          <w:marLeft w:val="0"/>
          <w:marRight w:val="0"/>
          <w:marTop w:val="0"/>
          <w:marBottom w:val="0"/>
          <w:divBdr>
            <w:top w:val="none" w:sz="0" w:space="0" w:color="auto"/>
            <w:left w:val="none" w:sz="0" w:space="0" w:color="auto"/>
            <w:bottom w:val="none" w:sz="0" w:space="0" w:color="auto"/>
            <w:right w:val="none" w:sz="0" w:space="0" w:color="auto"/>
          </w:divBdr>
        </w:div>
        <w:div w:id="1863396282">
          <w:marLeft w:val="0"/>
          <w:marRight w:val="0"/>
          <w:marTop w:val="0"/>
          <w:marBottom w:val="0"/>
          <w:divBdr>
            <w:top w:val="none" w:sz="0" w:space="0" w:color="auto"/>
            <w:left w:val="none" w:sz="0" w:space="0" w:color="auto"/>
            <w:bottom w:val="none" w:sz="0" w:space="0" w:color="auto"/>
            <w:right w:val="none" w:sz="0" w:space="0" w:color="auto"/>
          </w:divBdr>
        </w:div>
        <w:div w:id="2029288605">
          <w:marLeft w:val="0"/>
          <w:marRight w:val="0"/>
          <w:marTop w:val="0"/>
          <w:marBottom w:val="0"/>
          <w:divBdr>
            <w:top w:val="none" w:sz="0" w:space="0" w:color="auto"/>
            <w:left w:val="none" w:sz="0" w:space="0" w:color="auto"/>
            <w:bottom w:val="none" w:sz="0" w:space="0" w:color="auto"/>
            <w:right w:val="none" w:sz="0" w:space="0" w:color="auto"/>
          </w:divBdr>
        </w:div>
      </w:divsChild>
    </w:div>
    <w:div w:id="1174615736">
      <w:bodyDiv w:val="1"/>
      <w:marLeft w:val="0"/>
      <w:marRight w:val="0"/>
      <w:marTop w:val="0"/>
      <w:marBottom w:val="0"/>
      <w:divBdr>
        <w:top w:val="none" w:sz="0" w:space="0" w:color="auto"/>
        <w:left w:val="none" w:sz="0" w:space="0" w:color="auto"/>
        <w:bottom w:val="none" w:sz="0" w:space="0" w:color="auto"/>
        <w:right w:val="none" w:sz="0" w:space="0" w:color="auto"/>
      </w:divBdr>
    </w:div>
    <w:div w:id="1183207226">
      <w:bodyDiv w:val="1"/>
      <w:marLeft w:val="0"/>
      <w:marRight w:val="0"/>
      <w:marTop w:val="0"/>
      <w:marBottom w:val="0"/>
      <w:divBdr>
        <w:top w:val="none" w:sz="0" w:space="0" w:color="auto"/>
        <w:left w:val="none" w:sz="0" w:space="0" w:color="auto"/>
        <w:bottom w:val="none" w:sz="0" w:space="0" w:color="auto"/>
        <w:right w:val="none" w:sz="0" w:space="0" w:color="auto"/>
      </w:divBdr>
    </w:div>
    <w:div w:id="1198393382">
      <w:bodyDiv w:val="1"/>
      <w:marLeft w:val="0"/>
      <w:marRight w:val="0"/>
      <w:marTop w:val="0"/>
      <w:marBottom w:val="0"/>
      <w:divBdr>
        <w:top w:val="none" w:sz="0" w:space="0" w:color="auto"/>
        <w:left w:val="none" w:sz="0" w:space="0" w:color="auto"/>
        <w:bottom w:val="none" w:sz="0" w:space="0" w:color="auto"/>
        <w:right w:val="none" w:sz="0" w:space="0" w:color="auto"/>
      </w:divBdr>
    </w:div>
    <w:div w:id="1215847604">
      <w:bodyDiv w:val="1"/>
      <w:marLeft w:val="0"/>
      <w:marRight w:val="0"/>
      <w:marTop w:val="0"/>
      <w:marBottom w:val="0"/>
      <w:divBdr>
        <w:top w:val="none" w:sz="0" w:space="0" w:color="auto"/>
        <w:left w:val="none" w:sz="0" w:space="0" w:color="auto"/>
        <w:bottom w:val="none" w:sz="0" w:space="0" w:color="auto"/>
        <w:right w:val="none" w:sz="0" w:space="0" w:color="auto"/>
      </w:divBdr>
    </w:div>
    <w:div w:id="1220048013">
      <w:bodyDiv w:val="1"/>
      <w:marLeft w:val="0"/>
      <w:marRight w:val="0"/>
      <w:marTop w:val="0"/>
      <w:marBottom w:val="0"/>
      <w:divBdr>
        <w:top w:val="none" w:sz="0" w:space="0" w:color="auto"/>
        <w:left w:val="none" w:sz="0" w:space="0" w:color="auto"/>
        <w:bottom w:val="none" w:sz="0" w:space="0" w:color="auto"/>
        <w:right w:val="none" w:sz="0" w:space="0" w:color="auto"/>
      </w:divBdr>
    </w:div>
    <w:div w:id="1271863361">
      <w:bodyDiv w:val="1"/>
      <w:marLeft w:val="0"/>
      <w:marRight w:val="0"/>
      <w:marTop w:val="0"/>
      <w:marBottom w:val="0"/>
      <w:divBdr>
        <w:top w:val="none" w:sz="0" w:space="0" w:color="auto"/>
        <w:left w:val="none" w:sz="0" w:space="0" w:color="auto"/>
        <w:bottom w:val="none" w:sz="0" w:space="0" w:color="auto"/>
        <w:right w:val="none" w:sz="0" w:space="0" w:color="auto"/>
      </w:divBdr>
    </w:div>
    <w:div w:id="1273827237">
      <w:bodyDiv w:val="1"/>
      <w:marLeft w:val="0"/>
      <w:marRight w:val="0"/>
      <w:marTop w:val="0"/>
      <w:marBottom w:val="0"/>
      <w:divBdr>
        <w:top w:val="none" w:sz="0" w:space="0" w:color="auto"/>
        <w:left w:val="none" w:sz="0" w:space="0" w:color="auto"/>
        <w:bottom w:val="none" w:sz="0" w:space="0" w:color="auto"/>
        <w:right w:val="none" w:sz="0" w:space="0" w:color="auto"/>
      </w:divBdr>
    </w:div>
    <w:div w:id="1277248564">
      <w:bodyDiv w:val="1"/>
      <w:marLeft w:val="0"/>
      <w:marRight w:val="0"/>
      <w:marTop w:val="0"/>
      <w:marBottom w:val="0"/>
      <w:divBdr>
        <w:top w:val="none" w:sz="0" w:space="0" w:color="auto"/>
        <w:left w:val="none" w:sz="0" w:space="0" w:color="auto"/>
        <w:bottom w:val="none" w:sz="0" w:space="0" w:color="auto"/>
        <w:right w:val="none" w:sz="0" w:space="0" w:color="auto"/>
      </w:divBdr>
    </w:div>
    <w:div w:id="1286428089">
      <w:bodyDiv w:val="1"/>
      <w:marLeft w:val="0"/>
      <w:marRight w:val="0"/>
      <w:marTop w:val="0"/>
      <w:marBottom w:val="0"/>
      <w:divBdr>
        <w:top w:val="none" w:sz="0" w:space="0" w:color="auto"/>
        <w:left w:val="none" w:sz="0" w:space="0" w:color="auto"/>
        <w:bottom w:val="none" w:sz="0" w:space="0" w:color="auto"/>
        <w:right w:val="none" w:sz="0" w:space="0" w:color="auto"/>
      </w:divBdr>
    </w:div>
    <w:div w:id="1289436222">
      <w:bodyDiv w:val="1"/>
      <w:marLeft w:val="0"/>
      <w:marRight w:val="0"/>
      <w:marTop w:val="0"/>
      <w:marBottom w:val="0"/>
      <w:divBdr>
        <w:top w:val="none" w:sz="0" w:space="0" w:color="auto"/>
        <w:left w:val="none" w:sz="0" w:space="0" w:color="auto"/>
        <w:bottom w:val="none" w:sz="0" w:space="0" w:color="auto"/>
        <w:right w:val="none" w:sz="0" w:space="0" w:color="auto"/>
      </w:divBdr>
    </w:div>
    <w:div w:id="1295408287">
      <w:bodyDiv w:val="1"/>
      <w:marLeft w:val="0"/>
      <w:marRight w:val="0"/>
      <w:marTop w:val="0"/>
      <w:marBottom w:val="0"/>
      <w:divBdr>
        <w:top w:val="none" w:sz="0" w:space="0" w:color="auto"/>
        <w:left w:val="none" w:sz="0" w:space="0" w:color="auto"/>
        <w:bottom w:val="none" w:sz="0" w:space="0" w:color="auto"/>
        <w:right w:val="none" w:sz="0" w:space="0" w:color="auto"/>
      </w:divBdr>
      <w:divsChild>
        <w:div w:id="64961944">
          <w:marLeft w:val="0"/>
          <w:marRight w:val="0"/>
          <w:marTop w:val="0"/>
          <w:marBottom w:val="0"/>
          <w:divBdr>
            <w:top w:val="none" w:sz="0" w:space="0" w:color="auto"/>
            <w:left w:val="none" w:sz="0" w:space="0" w:color="auto"/>
            <w:bottom w:val="none" w:sz="0" w:space="0" w:color="auto"/>
            <w:right w:val="none" w:sz="0" w:space="0" w:color="auto"/>
          </w:divBdr>
        </w:div>
        <w:div w:id="105538883">
          <w:marLeft w:val="0"/>
          <w:marRight w:val="0"/>
          <w:marTop w:val="0"/>
          <w:marBottom w:val="0"/>
          <w:divBdr>
            <w:top w:val="none" w:sz="0" w:space="0" w:color="auto"/>
            <w:left w:val="none" w:sz="0" w:space="0" w:color="auto"/>
            <w:bottom w:val="none" w:sz="0" w:space="0" w:color="auto"/>
            <w:right w:val="none" w:sz="0" w:space="0" w:color="auto"/>
          </w:divBdr>
        </w:div>
        <w:div w:id="136143347">
          <w:marLeft w:val="0"/>
          <w:marRight w:val="0"/>
          <w:marTop w:val="0"/>
          <w:marBottom w:val="0"/>
          <w:divBdr>
            <w:top w:val="none" w:sz="0" w:space="0" w:color="auto"/>
            <w:left w:val="none" w:sz="0" w:space="0" w:color="auto"/>
            <w:bottom w:val="none" w:sz="0" w:space="0" w:color="auto"/>
            <w:right w:val="none" w:sz="0" w:space="0" w:color="auto"/>
          </w:divBdr>
        </w:div>
        <w:div w:id="218127622">
          <w:marLeft w:val="0"/>
          <w:marRight w:val="0"/>
          <w:marTop w:val="0"/>
          <w:marBottom w:val="0"/>
          <w:divBdr>
            <w:top w:val="none" w:sz="0" w:space="0" w:color="auto"/>
            <w:left w:val="none" w:sz="0" w:space="0" w:color="auto"/>
            <w:bottom w:val="none" w:sz="0" w:space="0" w:color="auto"/>
            <w:right w:val="none" w:sz="0" w:space="0" w:color="auto"/>
          </w:divBdr>
        </w:div>
        <w:div w:id="246891073">
          <w:marLeft w:val="0"/>
          <w:marRight w:val="0"/>
          <w:marTop w:val="0"/>
          <w:marBottom w:val="0"/>
          <w:divBdr>
            <w:top w:val="none" w:sz="0" w:space="0" w:color="auto"/>
            <w:left w:val="none" w:sz="0" w:space="0" w:color="auto"/>
            <w:bottom w:val="none" w:sz="0" w:space="0" w:color="auto"/>
            <w:right w:val="none" w:sz="0" w:space="0" w:color="auto"/>
          </w:divBdr>
        </w:div>
        <w:div w:id="475613937">
          <w:marLeft w:val="0"/>
          <w:marRight w:val="0"/>
          <w:marTop w:val="0"/>
          <w:marBottom w:val="0"/>
          <w:divBdr>
            <w:top w:val="none" w:sz="0" w:space="0" w:color="auto"/>
            <w:left w:val="none" w:sz="0" w:space="0" w:color="auto"/>
            <w:bottom w:val="none" w:sz="0" w:space="0" w:color="auto"/>
            <w:right w:val="none" w:sz="0" w:space="0" w:color="auto"/>
          </w:divBdr>
        </w:div>
        <w:div w:id="539172356">
          <w:marLeft w:val="0"/>
          <w:marRight w:val="0"/>
          <w:marTop w:val="0"/>
          <w:marBottom w:val="0"/>
          <w:divBdr>
            <w:top w:val="none" w:sz="0" w:space="0" w:color="auto"/>
            <w:left w:val="none" w:sz="0" w:space="0" w:color="auto"/>
            <w:bottom w:val="none" w:sz="0" w:space="0" w:color="auto"/>
            <w:right w:val="none" w:sz="0" w:space="0" w:color="auto"/>
          </w:divBdr>
        </w:div>
        <w:div w:id="743651426">
          <w:marLeft w:val="0"/>
          <w:marRight w:val="0"/>
          <w:marTop w:val="0"/>
          <w:marBottom w:val="0"/>
          <w:divBdr>
            <w:top w:val="none" w:sz="0" w:space="0" w:color="auto"/>
            <w:left w:val="none" w:sz="0" w:space="0" w:color="auto"/>
            <w:bottom w:val="none" w:sz="0" w:space="0" w:color="auto"/>
            <w:right w:val="none" w:sz="0" w:space="0" w:color="auto"/>
          </w:divBdr>
        </w:div>
        <w:div w:id="878589893">
          <w:marLeft w:val="0"/>
          <w:marRight w:val="0"/>
          <w:marTop w:val="0"/>
          <w:marBottom w:val="0"/>
          <w:divBdr>
            <w:top w:val="none" w:sz="0" w:space="0" w:color="auto"/>
            <w:left w:val="none" w:sz="0" w:space="0" w:color="auto"/>
            <w:bottom w:val="none" w:sz="0" w:space="0" w:color="auto"/>
            <w:right w:val="none" w:sz="0" w:space="0" w:color="auto"/>
          </w:divBdr>
        </w:div>
        <w:div w:id="1148669761">
          <w:marLeft w:val="0"/>
          <w:marRight w:val="0"/>
          <w:marTop w:val="0"/>
          <w:marBottom w:val="0"/>
          <w:divBdr>
            <w:top w:val="none" w:sz="0" w:space="0" w:color="auto"/>
            <w:left w:val="none" w:sz="0" w:space="0" w:color="auto"/>
            <w:bottom w:val="none" w:sz="0" w:space="0" w:color="auto"/>
            <w:right w:val="none" w:sz="0" w:space="0" w:color="auto"/>
          </w:divBdr>
        </w:div>
        <w:div w:id="1148789085">
          <w:marLeft w:val="0"/>
          <w:marRight w:val="0"/>
          <w:marTop w:val="0"/>
          <w:marBottom w:val="0"/>
          <w:divBdr>
            <w:top w:val="none" w:sz="0" w:space="0" w:color="auto"/>
            <w:left w:val="none" w:sz="0" w:space="0" w:color="auto"/>
            <w:bottom w:val="none" w:sz="0" w:space="0" w:color="auto"/>
            <w:right w:val="none" w:sz="0" w:space="0" w:color="auto"/>
          </w:divBdr>
        </w:div>
        <w:div w:id="1486362838">
          <w:marLeft w:val="0"/>
          <w:marRight w:val="0"/>
          <w:marTop w:val="0"/>
          <w:marBottom w:val="0"/>
          <w:divBdr>
            <w:top w:val="none" w:sz="0" w:space="0" w:color="auto"/>
            <w:left w:val="none" w:sz="0" w:space="0" w:color="auto"/>
            <w:bottom w:val="none" w:sz="0" w:space="0" w:color="auto"/>
            <w:right w:val="none" w:sz="0" w:space="0" w:color="auto"/>
          </w:divBdr>
        </w:div>
        <w:div w:id="1585869468">
          <w:marLeft w:val="0"/>
          <w:marRight w:val="0"/>
          <w:marTop w:val="0"/>
          <w:marBottom w:val="0"/>
          <w:divBdr>
            <w:top w:val="none" w:sz="0" w:space="0" w:color="auto"/>
            <w:left w:val="none" w:sz="0" w:space="0" w:color="auto"/>
            <w:bottom w:val="none" w:sz="0" w:space="0" w:color="auto"/>
            <w:right w:val="none" w:sz="0" w:space="0" w:color="auto"/>
          </w:divBdr>
        </w:div>
      </w:divsChild>
    </w:div>
    <w:div w:id="1310020200">
      <w:bodyDiv w:val="1"/>
      <w:marLeft w:val="0"/>
      <w:marRight w:val="0"/>
      <w:marTop w:val="0"/>
      <w:marBottom w:val="0"/>
      <w:divBdr>
        <w:top w:val="none" w:sz="0" w:space="0" w:color="auto"/>
        <w:left w:val="none" w:sz="0" w:space="0" w:color="auto"/>
        <w:bottom w:val="none" w:sz="0" w:space="0" w:color="auto"/>
        <w:right w:val="none" w:sz="0" w:space="0" w:color="auto"/>
      </w:divBdr>
    </w:div>
    <w:div w:id="1332292453">
      <w:bodyDiv w:val="1"/>
      <w:marLeft w:val="0"/>
      <w:marRight w:val="0"/>
      <w:marTop w:val="0"/>
      <w:marBottom w:val="0"/>
      <w:divBdr>
        <w:top w:val="none" w:sz="0" w:space="0" w:color="auto"/>
        <w:left w:val="none" w:sz="0" w:space="0" w:color="auto"/>
        <w:bottom w:val="none" w:sz="0" w:space="0" w:color="auto"/>
        <w:right w:val="none" w:sz="0" w:space="0" w:color="auto"/>
      </w:divBdr>
    </w:div>
    <w:div w:id="1334602905">
      <w:bodyDiv w:val="1"/>
      <w:marLeft w:val="0"/>
      <w:marRight w:val="0"/>
      <w:marTop w:val="0"/>
      <w:marBottom w:val="0"/>
      <w:divBdr>
        <w:top w:val="none" w:sz="0" w:space="0" w:color="auto"/>
        <w:left w:val="none" w:sz="0" w:space="0" w:color="auto"/>
        <w:bottom w:val="none" w:sz="0" w:space="0" w:color="auto"/>
        <w:right w:val="none" w:sz="0" w:space="0" w:color="auto"/>
      </w:divBdr>
    </w:div>
    <w:div w:id="1355575863">
      <w:bodyDiv w:val="1"/>
      <w:marLeft w:val="0"/>
      <w:marRight w:val="0"/>
      <w:marTop w:val="0"/>
      <w:marBottom w:val="0"/>
      <w:divBdr>
        <w:top w:val="none" w:sz="0" w:space="0" w:color="auto"/>
        <w:left w:val="none" w:sz="0" w:space="0" w:color="auto"/>
        <w:bottom w:val="none" w:sz="0" w:space="0" w:color="auto"/>
        <w:right w:val="none" w:sz="0" w:space="0" w:color="auto"/>
      </w:divBdr>
    </w:div>
    <w:div w:id="1357075014">
      <w:bodyDiv w:val="1"/>
      <w:marLeft w:val="0"/>
      <w:marRight w:val="0"/>
      <w:marTop w:val="0"/>
      <w:marBottom w:val="0"/>
      <w:divBdr>
        <w:top w:val="none" w:sz="0" w:space="0" w:color="auto"/>
        <w:left w:val="none" w:sz="0" w:space="0" w:color="auto"/>
        <w:bottom w:val="none" w:sz="0" w:space="0" w:color="auto"/>
        <w:right w:val="none" w:sz="0" w:space="0" w:color="auto"/>
      </w:divBdr>
    </w:div>
    <w:div w:id="1369451150">
      <w:bodyDiv w:val="1"/>
      <w:marLeft w:val="0"/>
      <w:marRight w:val="0"/>
      <w:marTop w:val="0"/>
      <w:marBottom w:val="0"/>
      <w:divBdr>
        <w:top w:val="none" w:sz="0" w:space="0" w:color="auto"/>
        <w:left w:val="none" w:sz="0" w:space="0" w:color="auto"/>
        <w:bottom w:val="none" w:sz="0" w:space="0" w:color="auto"/>
        <w:right w:val="none" w:sz="0" w:space="0" w:color="auto"/>
      </w:divBdr>
    </w:div>
    <w:div w:id="1369572235">
      <w:bodyDiv w:val="1"/>
      <w:marLeft w:val="0"/>
      <w:marRight w:val="0"/>
      <w:marTop w:val="0"/>
      <w:marBottom w:val="0"/>
      <w:divBdr>
        <w:top w:val="none" w:sz="0" w:space="0" w:color="auto"/>
        <w:left w:val="none" w:sz="0" w:space="0" w:color="auto"/>
        <w:bottom w:val="none" w:sz="0" w:space="0" w:color="auto"/>
        <w:right w:val="none" w:sz="0" w:space="0" w:color="auto"/>
      </w:divBdr>
      <w:divsChild>
        <w:div w:id="11807881">
          <w:marLeft w:val="0"/>
          <w:marRight w:val="0"/>
          <w:marTop w:val="0"/>
          <w:marBottom w:val="0"/>
          <w:divBdr>
            <w:top w:val="none" w:sz="0" w:space="0" w:color="auto"/>
            <w:left w:val="none" w:sz="0" w:space="0" w:color="auto"/>
            <w:bottom w:val="none" w:sz="0" w:space="0" w:color="auto"/>
            <w:right w:val="none" w:sz="0" w:space="0" w:color="auto"/>
          </w:divBdr>
        </w:div>
        <w:div w:id="23755996">
          <w:marLeft w:val="0"/>
          <w:marRight w:val="0"/>
          <w:marTop w:val="0"/>
          <w:marBottom w:val="0"/>
          <w:divBdr>
            <w:top w:val="none" w:sz="0" w:space="0" w:color="auto"/>
            <w:left w:val="none" w:sz="0" w:space="0" w:color="auto"/>
            <w:bottom w:val="none" w:sz="0" w:space="0" w:color="auto"/>
            <w:right w:val="none" w:sz="0" w:space="0" w:color="auto"/>
          </w:divBdr>
        </w:div>
        <w:div w:id="24065028">
          <w:marLeft w:val="0"/>
          <w:marRight w:val="0"/>
          <w:marTop w:val="0"/>
          <w:marBottom w:val="0"/>
          <w:divBdr>
            <w:top w:val="none" w:sz="0" w:space="0" w:color="auto"/>
            <w:left w:val="none" w:sz="0" w:space="0" w:color="auto"/>
            <w:bottom w:val="none" w:sz="0" w:space="0" w:color="auto"/>
            <w:right w:val="none" w:sz="0" w:space="0" w:color="auto"/>
          </w:divBdr>
        </w:div>
        <w:div w:id="91515811">
          <w:marLeft w:val="0"/>
          <w:marRight w:val="0"/>
          <w:marTop w:val="0"/>
          <w:marBottom w:val="0"/>
          <w:divBdr>
            <w:top w:val="none" w:sz="0" w:space="0" w:color="auto"/>
            <w:left w:val="none" w:sz="0" w:space="0" w:color="auto"/>
            <w:bottom w:val="none" w:sz="0" w:space="0" w:color="auto"/>
            <w:right w:val="none" w:sz="0" w:space="0" w:color="auto"/>
          </w:divBdr>
        </w:div>
        <w:div w:id="108202716">
          <w:marLeft w:val="0"/>
          <w:marRight w:val="0"/>
          <w:marTop w:val="0"/>
          <w:marBottom w:val="0"/>
          <w:divBdr>
            <w:top w:val="none" w:sz="0" w:space="0" w:color="auto"/>
            <w:left w:val="none" w:sz="0" w:space="0" w:color="auto"/>
            <w:bottom w:val="none" w:sz="0" w:space="0" w:color="auto"/>
            <w:right w:val="none" w:sz="0" w:space="0" w:color="auto"/>
          </w:divBdr>
        </w:div>
        <w:div w:id="147137119">
          <w:marLeft w:val="0"/>
          <w:marRight w:val="0"/>
          <w:marTop w:val="0"/>
          <w:marBottom w:val="0"/>
          <w:divBdr>
            <w:top w:val="none" w:sz="0" w:space="0" w:color="auto"/>
            <w:left w:val="none" w:sz="0" w:space="0" w:color="auto"/>
            <w:bottom w:val="none" w:sz="0" w:space="0" w:color="auto"/>
            <w:right w:val="none" w:sz="0" w:space="0" w:color="auto"/>
          </w:divBdr>
        </w:div>
        <w:div w:id="147718886">
          <w:marLeft w:val="0"/>
          <w:marRight w:val="0"/>
          <w:marTop w:val="0"/>
          <w:marBottom w:val="0"/>
          <w:divBdr>
            <w:top w:val="none" w:sz="0" w:space="0" w:color="auto"/>
            <w:left w:val="none" w:sz="0" w:space="0" w:color="auto"/>
            <w:bottom w:val="none" w:sz="0" w:space="0" w:color="auto"/>
            <w:right w:val="none" w:sz="0" w:space="0" w:color="auto"/>
          </w:divBdr>
        </w:div>
        <w:div w:id="197207626">
          <w:marLeft w:val="0"/>
          <w:marRight w:val="0"/>
          <w:marTop w:val="0"/>
          <w:marBottom w:val="0"/>
          <w:divBdr>
            <w:top w:val="none" w:sz="0" w:space="0" w:color="auto"/>
            <w:left w:val="none" w:sz="0" w:space="0" w:color="auto"/>
            <w:bottom w:val="none" w:sz="0" w:space="0" w:color="auto"/>
            <w:right w:val="none" w:sz="0" w:space="0" w:color="auto"/>
          </w:divBdr>
        </w:div>
        <w:div w:id="217130004">
          <w:marLeft w:val="0"/>
          <w:marRight w:val="0"/>
          <w:marTop w:val="0"/>
          <w:marBottom w:val="0"/>
          <w:divBdr>
            <w:top w:val="none" w:sz="0" w:space="0" w:color="auto"/>
            <w:left w:val="none" w:sz="0" w:space="0" w:color="auto"/>
            <w:bottom w:val="none" w:sz="0" w:space="0" w:color="auto"/>
            <w:right w:val="none" w:sz="0" w:space="0" w:color="auto"/>
          </w:divBdr>
        </w:div>
        <w:div w:id="320618317">
          <w:marLeft w:val="0"/>
          <w:marRight w:val="0"/>
          <w:marTop w:val="0"/>
          <w:marBottom w:val="0"/>
          <w:divBdr>
            <w:top w:val="none" w:sz="0" w:space="0" w:color="auto"/>
            <w:left w:val="none" w:sz="0" w:space="0" w:color="auto"/>
            <w:bottom w:val="none" w:sz="0" w:space="0" w:color="auto"/>
            <w:right w:val="none" w:sz="0" w:space="0" w:color="auto"/>
          </w:divBdr>
        </w:div>
        <w:div w:id="323096890">
          <w:marLeft w:val="0"/>
          <w:marRight w:val="0"/>
          <w:marTop w:val="0"/>
          <w:marBottom w:val="0"/>
          <w:divBdr>
            <w:top w:val="none" w:sz="0" w:space="0" w:color="auto"/>
            <w:left w:val="none" w:sz="0" w:space="0" w:color="auto"/>
            <w:bottom w:val="none" w:sz="0" w:space="0" w:color="auto"/>
            <w:right w:val="none" w:sz="0" w:space="0" w:color="auto"/>
          </w:divBdr>
        </w:div>
        <w:div w:id="350841613">
          <w:marLeft w:val="0"/>
          <w:marRight w:val="0"/>
          <w:marTop w:val="0"/>
          <w:marBottom w:val="0"/>
          <w:divBdr>
            <w:top w:val="none" w:sz="0" w:space="0" w:color="auto"/>
            <w:left w:val="none" w:sz="0" w:space="0" w:color="auto"/>
            <w:bottom w:val="none" w:sz="0" w:space="0" w:color="auto"/>
            <w:right w:val="none" w:sz="0" w:space="0" w:color="auto"/>
          </w:divBdr>
        </w:div>
        <w:div w:id="371807111">
          <w:marLeft w:val="0"/>
          <w:marRight w:val="0"/>
          <w:marTop w:val="0"/>
          <w:marBottom w:val="0"/>
          <w:divBdr>
            <w:top w:val="none" w:sz="0" w:space="0" w:color="auto"/>
            <w:left w:val="none" w:sz="0" w:space="0" w:color="auto"/>
            <w:bottom w:val="none" w:sz="0" w:space="0" w:color="auto"/>
            <w:right w:val="none" w:sz="0" w:space="0" w:color="auto"/>
          </w:divBdr>
        </w:div>
        <w:div w:id="387655930">
          <w:marLeft w:val="0"/>
          <w:marRight w:val="0"/>
          <w:marTop w:val="0"/>
          <w:marBottom w:val="0"/>
          <w:divBdr>
            <w:top w:val="none" w:sz="0" w:space="0" w:color="auto"/>
            <w:left w:val="none" w:sz="0" w:space="0" w:color="auto"/>
            <w:bottom w:val="none" w:sz="0" w:space="0" w:color="auto"/>
            <w:right w:val="none" w:sz="0" w:space="0" w:color="auto"/>
          </w:divBdr>
        </w:div>
        <w:div w:id="484979769">
          <w:marLeft w:val="0"/>
          <w:marRight w:val="0"/>
          <w:marTop w:val="0"/>
          <w:marBottom w:val="0"/>
          <w:divBdr>
            <w:top w:val="none" w:sz="0" w:space="0" w:color="auto"/>
            <w:left w:val="none" w:sz="0" w:space="0" w:color="auto"/>
            <w:bottom w:val="none" w:sz="0" w:space="0" w:color="auto"/>
            <w:right w:val="none" w:sz="0" w:space="0" w:color="auto"/>
          </w:divBdr>
        </w:div>
        <w:div w:id="509370764">
          <w:marLeft w:val="0"/>
          <w:marRight w:val="0"/>
          <w:marTop w:val="0"/>
          <w:marBottom w:val="0"/>
          <w:divBdr>
            <w:top w:val="none" w:sz="0" w:space="0" w:color="auto"/>
            <w:left w:val="none" w:sz="0" w:space="0" w:color="auto"/>
            <w:bottom w:val="none" w:sz="0" w:space="0" w:color="auto"/>
            <w:right w:val="none" w:sz="0" w:space="0" w:color="auto"/>
          </w:divBdr>
        </w:div>
        <w:div w:id="516235015">
          <w:marLeft w:val="0"/>
          <w:marRight w:val="0"/>
          <w:marTop w:val="0"/>
          <w:marBottom w:val="0"/>
          <w:divBdr>
            <w:top w:val="none" w:sz="0" w:space="0" w:color="auto"/>
            <w:left w:val="none" w:sz="0" w:space="0" w:color="auto"/>
            <w:bottom w:val="none" w:sz="0" w:space="0" w:color="auto"/>
            <w:right w:val="none" w:sz="0" w:space="0" w:color="auto"/>
          </w:divBdr>
        </w:div>
        <w:div w:id="578950113">
          <w:marLeft w:val="0"/>
          <w:marRight w:val="0"/>
          <w:marTop w:val="0"/>
          <w:marBottom w:val="0"/>
          <w:divBdr>
            <w:top w:val="none" w:sz="0" w:space="0" w:color="auto"/>
            <w:left w:val="none" w:sz="0" w:space="0" w:color="auto"/>
            <w:bottom w:val="none" w:sz="0" w:space="0" w:color="auto"/>
            <w:right w:val="none" w:sz="0" w:space="0" w:color="auto"/>
          </w:divBdr>
        </w:div>
        <w:div w:id="605041605">
          <w:marLeft w:val="0"/>
          <w:marRight w:val="0"/>
          <w:marTop w:val="0"/>
          <w:marBottom w:val="0"/>
          <w:divBdr>
            <w:top w:val="none" w:sz="0" w:space="0" w:color="auto"/>
            <w:left w:val="none" w:sz="0" w:space="0" w:color="auto"/>
            <w:bottom w:val="none" w:sz="0" w:space="0" w:color="auto"/>
            <w:right w:val="none" w:sz="0" w:space="0" w:color="auto"/>
          </w:divBdr>
        </w:div>
        <w:div w:id="625936503">
          <w:marLeft w:val="0"/>
          <w:marRight w:val="0"/>
          <w:marTop w:val="0"/>
          <w:marBottom w:val="0"/>
          <w:divBdr>
            <w:top w:val="none" w:sz="0" w:space="0" w:color="auto"/>
            <w:left w:val="none" w:sz="0" w:space="0" w:color="auto"/>
            <w:bottom w:val="none" w:sz="0" w:space="0" w:color="auto"/>
            <w:right w:val="none" w:sz="0" w:space="0" w:color="auto"/>
          </w:divBdr>
        </w:div>
        <w:div w:id="626931313">
          <w:marLeft w:val="0"/>
          <w:marRight w:val="0"/>
          <w:marTop w:val="0"/>
          <w:marBottom w:val="0"/>
          <w:divBdr>
            <w:top w:val="none" w:sz="0" w:space="0" w:color="auto"/>
            <w:left w:val="none" w:sz="0" w:space="0" w:color="auto"/>
            <w:bottom w:val="none" w:sz="0" w:space="0" w:color="auto"/>
            <w:right w:val="none" w:sz="0" w:space="0" w:color="auto"/>
          </w:divBdr>
        </w:div>
        <w:div w:id="628586067">
          <w:marLeft w:val="0"/>
          <w:marRight w:val="0"/>
          <w:marTop w:val="0"/>
          <w:marBottom w:val="0"/>
          <w:divBdr>
            <w:top w:val="none" w:sz="0" w:space="0" w:color="auto"/>
            <w:left w:val="none" w:sz="0" w:space="0" w:color="auto"/>
            <w:bottom w:val="none" w:sz="0" w:space="0" w:color="auto"/>
            <w:right w:val="none" w:sz="0" w:space="0" w:color="auto"/>
          </w:divBdr>
        </w:div>
        <w:div w:id="633995488">
          <w:marLeft w:val="0"/>
          <w:marRight w:val="0"/>
          <w:marTop w:val="0"/>
          <w:marBottom w:val="0"/>
          <w:divBdr>
            <w:top w:val="none" w:sz="0" w:space="0" w:color="auto"/>
            <w:left w:val="none" w:sz="0" w:space="0" w:color="auto"/>
            <w:bottom w:val="none" w:sz="0" w:space="0" w:color="auto"/>
            <w:right w:val="none" w:sz="0" w:space="0" w:color="auto"/>
          </w:divBdr>
        </w:div>
        <w:div w:id="654647004">
          <w:marLeft w:val="0"/>
          <w:marRight w:val="0"/>
          <w:marTop w:val="0"/>
          <w:marBottom w:val="0"/>
          <w:divBdr>
            <w:top w:val="none" w:sz="0" w:space="0" w:color="auto"/>
            <w:left w:val="none" w:sz="0" w:space="0" w:color="auto"/>
            <w:bottom w:val="none" w:sz="0" w:space="0" w:color="auto"/>
            <w:right w:val="none" w:sz="0" w:space="0" w:color="auto"/>
          </w:divBdr>
        </w:div>
        <w:div w:id="654917602">
          <w:marLeft w:val="0"/>
          <w:marRight w:val="0"/>
          <w:marTop w:val="0"/>
          <w:marBottom w:val="0"/>
          <w:divBdr>
            <w:top w:val="none" w:sz="0" w:space="0" w:color="auto"/>
            <w:left w:val="none" w:sz="0" w:space="0" w:color="auto"/>
            <w:bottom w:val="none" w:sz="0" w:space="0" w:color="auto"/>
            <w:right w:val="none" w:sz="0" w:space="0" w:color="auto"/>
          </w:divBdr>
        </w:div>
        <w:div w:id="715743035">
          <w:marLeft w:val="0"/>
          <w:marRight w:val="0"/>
          <w:marTop w:val="0"/>
          <w:marBottom w:val="0"/>
          <w:divBdr>
            <w:top w:val="none" w:sz="0" w:space="0" w:color="auto"/>
            <w:left w:val="none" w:sz="0" w:space="0" w:color="auto"/>
            <w:bottom w:val="none" w:sz="0" w:space="0" w:color="auto"/>
            <w:right w:val="none" w:sz="0" w:space="0" w:color="auto"/>
          </w:divBdr>
        </w:div>
        <w:div w:id="717434325">
          <w:marLeft w:val="0"/>
          <w:marRight w:val="0"/>
          <w:marTop w:val="0"/>
          <w:marBottom w:val="0"/>
          <w:divBdr>
            <w:top w:val="none" w:sz="0" w:space="0" w:color="auto"/>
            <w:left w:val="none" w:sz="0" w:space="0" w:color="auto"/>
            <w:bottom w:val="none" w:sz="0" w:space="0" w:color="auto"/>
            <w:right w:val="none" w:sz="0" w:space="0" w:color="auto"/>
          </w:divBdr>
        </w:div>
        <w:div w:id="717584447">
          <w:marLeft w:val="0"/>
          <w:marRight w:val="0"/>
          <w:marTop w:val="0"/>
          <w:marBottom w:val="0"/>
          <w:divBdr>
            <w:top w:val="none" w:sz="0" w:space="0" w:color="auto"/>
            <w:left w:val="none" w:sz="0" w:space="0" w:color="auto"/>
            <w:bottom w:val="none" w:sz="0" w:space="0" w:color="auto"/>
            <w:right w:val="none" w:sz="0" w:space="0" w:color="auto"/>
          </w:divBdr>
        </w:div>
        <w:div w:id="725298779">
          <w:marLeft w:val="0"/>
          <w:marRight w:val="0"/>
          <w:marTop w:val="0"/>
          <w:marBottom w:val="0"/>
          <w:divBdr>
            <w:top w:val="none" w:sz="0" w:space="0" w:color="auto"/>
            <w:left w:val="none" w:sz="0" w:space="0" w:color="auto"/>
            <w:bottom w:val="none" w:sz="0" w:space="0" w:color="auto"/>
            <w:right w:val="none" w:sz="0" w:space="0" w:color="auto"/>
          </w:divBdr>
        </w:div>
        <w:div w:id="733545775">
          <w:marLeft w:val="0"/>
          <w:marRight w:val="0"/>
          <w:marTop w:val="0"/>
          <w:marBottom w:val="0"/>
          <w:divBdr>
            <w:top w:val="none" w:sz="0" w:space="0" w:color="auto"/>
            <w:left w:val="none" w:sz="0" w:space="0" w:color="auto"/>
            <w:bottom w:val="none" w:sz="0" w:space="0" w:color="auto"/>
            <w:right w:val="none" w:sz="0" w:space="0" w:color="auto"/>
          </w:divBdr>
        </w:div>
        <w:div w:id="779226389">
          <w:marLeft w:val="0"/>
          <w:marRight w:val="0"/>
          <w:marTop w:val="0"/>
          <w:marBottom w:val="0"/>
          <w:divBdr>
            <w:top w:val="none" w:sz="0" w:space="0" w:color="auto"/>
            <w:left w:val="none" w:sz="0" w:space="0" w:color="auto"/>
            <w:bottom w:val="none" w:sz="0" w:space="0" w:color="auto"/>
            <w:right w:val="none" w:sz="0" w:space="0" w:color="auto"/>
          </w:divBdr>
        </w:div>
        <w:div w:id="789936071">
          <w:marLeft w:val="0"/>
          <w:marRight w:val="0"/>
          <w:marTop w:val="0"/>
          <w:marBottom w:val="0"/>
          <w:divBdr>
            <w:top w:val="none" w:sz="0" w:space="0" w:color="auto"/>
            <w:left w:val="none" w:sz="0" w:space="0" w:color="auto"/>
            <w:bottom w:val="none" w:sz="0" w:space="0" w:color="auto"/>
            <w:right w:val="none" w:sz="0" w:space="0" w:color="auto"/>
          </w:divBdr>
        </w:div>
        <w:div w:id="799808725">
          <w:marLeft w:val="0"/>
          <w:marRight w:val="0"/>
          <w:marTop w:val="0"/>
          <w:marBottom w:val="0"/>
          <w:divBdr>
            <w:top w:val="none" w:sz="0" w:space="0" w:color="auto"/>
            <w:left w:val="none" w:sz="0" w:space="0" w:color="auto"/>
            <w:bottom w:val="none" w:sz="0" w:space="0" w:color="auto"/>
            <w:right w:val="none" w:sz="0" w:space="0" w:color="auto"/>
          </w:divBdr>
        </w:div>
        <w:div w:id="803545548">
          <w:marLeft w:val="0"/>
          <w:marRight w:val="0"/>
          <w:marTop w:val="0"/>
          <w:marBottom w:val="0"/>
          <w:divBdr>
            <w:top w:val="none" w:sz="0" w:space="0" w:color="auto"/>
            <w:left w:val="none" w:sz="0" w:space="0" w:color="auto"/>
            <w:bottom w:val="none" w:sz="0" w:space="0" w:color="auto"/>
            <w:right w:val="none" w:sz="0" w:space="0" w:color="auto"/>
          </w:divBdr>
        </w:div>
        <w:div w:id="870728471">
          <w:marLeft w:val="0"/>
          <w:marRight w:val="0"/>
          <w:marTop w:val="0"/>
          <w:marBottom w:val="0"/>
          <w:divBdr>
            <w:top w:val="none" w:sz="0" w:space="0" w:color="auto"/>
            <w:left w:val="none" w:sz="0" w:space="0" w:color="auto"/>
            <w:bottom w:val="none" w:sz="0" w:space="0" w:color="auto"/>
            <w:right w:val="none" w:sz="0" w:space="0" w:color="auto"/>
          </w:divBdr>
        </w:div>
        <w:div w:id="873349657">
          <w:marLeft w:val="0"/>
          <w:marRight w:val="0"/>
          <w:marTop w:val="0"/>
          <w:marBottom w:val="0"/>
          <w:divBdr>
            <w:top w:val="none" w:sz="0" w:space="0" w:color="auto"/>
            <w:left w:val="none" w:sz="0" w:space="0" w:color="auto"/>
            <w:bottom w:val="none" w:sz="0" w:space="0" w:color="auto"/>
            <w:right w:val="none" w:sz="0" w:space="0" w:color="auto"/>
          </w:divBdr>
        </w:div>
        <w:div w:id="926037059">
          <w:marLeft w:val="0"/>
          <w:marRight w:val="0"/>
          <w:marTop w:val="0"/>
          <w:marBottom w:val="0"/>
          <w:divBdr>
            <w:top w:val="none" w:sz="0" w:space="0" w:color="auto"/>
            <w:left w:val="none" w:sz="0" w:space="0" w:color="auto"/>
            <w:bottom w:val="none" w:sz="0" w:space="0" w:color="auto"/>
            <w:right w:val="none" w:sz="0" w:space="0" w:color="auto"/>
          </w:divBdr>
        </w:div>
        <w:div w:id="943728152">
          <w:marLeft w:val="0"/>
          <w:marRight w:val="0"/>
          <w:marTop w:val="0"/>
          <w:marBottom w:val="0"/>
          <w:divBdr>
            <w:top w:val="none" w:sz="0" w:space="0" w:color="auto"/>
            <w:left w:val="none" w:sz="0" w:space="0" w:color="auto"/>
            <w:bottom w:val="none" w:sz="0" w:space="0" w:color="auto"/>
            <w:right w:val="none" w:sz="0" w:space="0" w:color="auto"/>
          </w:divBdr>
        </w:div>
        <w:div w:id="951938612">
          <w:marLeft w:val="0"/>
          <w:marRight w:val="0"/>
          <w:marTop w:val="0"/>
          <w:marBottom w:val="0"/>
          <w:divBdr>
            <w:top w:val="none" w:sz="0" w:space="0" w:color="auto"/>
            <w:left w:val="none" w:sz="0" w:space="0" w:color="auto"/>
            <w:bottom w:val="none" w:sz="0" w:space="0" w:color="auto"/>
            <w:right w:val="none" w:sz="0" w:space="0" w:color="auto"/>
          </w:divBdr>
        </w:div>
        <w:div w:id="1058895214">
          <w:marLeft w:val="0"/>
          <w:marRight w:val="0"/>
          <w:marTop w:val="0"/>
          <w:marBottom w:val="0"/>
          <w:divBdr>
            <w:top w:val="none" w:sz="0" w:space="0" w:color="auto"/>
            <w:left w:val="none" w:sz="0" w:space="0" w:color="auto"/>
            <w:bottom w:val="none" w:sz="0" w:space="0" w:color="auto"/>
            <w:right w:val="none" w:sz="0" w:space="0" w:color="auto"/>
          </w:divBdr>
        </w:div>
        <w:div w:id="1112867125">
          <w:marLeft w:val="0"/>
          <w:marRight w:val="0"/>
          <w:marTop w:val="0"/>
          <w:marBottom w:val="0"/>
          <w:divBdr>
            <w:top w:val="none" w:sz="0" w:space="0" w:color="auto"/>
            <w:left w:val="none" w:sz="0" w:space="0" w:color="auto"/>
            <w:bottom w:val="none" w:sz="0" w:space="0" w:color="auto"/>
            <w:right w:val="none" w:sz="0" w:space="0" w:color="auto"/>
          </w:divBdr>
        </w:div>
        <w:div w:id="1317302563">
          <w:marLeft w:val="0"/>
          <w:marRight w:val="0"/>
          <w:marTop w:val="0"/>
          <w:marBottom w:val="0"/>
          <w:divBdr>
            <w:top w:val="none" w:sz="0" w:space="0" w:color="auto"/>
            <w:left w:val="none" w:sz="0" w:space="0" w:color="auto"/>
            <w:bottom w:val="none" w:sz="0" w:space="0" w:color="auto"/>
            <w:right w:val="none" w:sz="0" w:space="0" w:color="auto"/>
          </w:divBdr>
        </w:div>
        <w:div w:id="1335570195">
          <w:marLeft w:val="0"/>
          <w:marRight w:val="0"/>
          <w:marTop w:val="0"/>
          <w:marBottom w:val="0"/>
          <w:divBdr>
            <w:top w:val="none" w:sz="0" w:space="0" w:color="auto"/>
            <w:left w:val="none" w:sz="0" w:space="0" w:color="auto"/>
            <w:bottom w:val="none" w:sz="0" w:space="0" w:color="auto"/>
            <w:right w:val="none" w:sz="0" w:space="0" w:color="auto"/>
          </w:divBdr>
        </w:div>
        <w:div w:id="1336222232">
          <w:marLeft w:val="0"/>
          <w:marRight w:val="0"/>
          <w:marTop w:val="0"/>
          <w:marBottom w:val="0"/>
          <w:divBdr>
            <w:top w:val="none" w:sz="0" w:space="0" w:color="auto"/>
            <w:left w:val="none" w:sz="0" w:space="0" w:color="auto"/>
            <w:bottom w:val="none" w:sz="0" w:space="0" w:color="auto"/>
            <w:right w:val="none" w:sz="0" w:space="0" w:color="auto"/>
          </w:divBdr>
        </w:div>
        <w:div w:id="1392776654">
          <w:marLeft w:val="0"/>
          <w:marRight w:val="0"/>
          <w:marTop w:val="0"/>
          <w:marBottom w:val="0"/>
          <w:divBdr>
            <w:top w:val="none" w:sz="0" w:space="0" w:color="auto"/>
            <w:left w:val="none" w:sz="0" w:space="0" w:color="auto"/>
            <w:bottom w:val="none" w:sz="0" w:space="0" w:color="auto"/>
            <w:right w:val="none" w:sz="0" w:space="0" w:color="auto"/>
          </w:divBdr>
        </w:div>
        <w:div w:id="1429617436">
          <w:marLeft w:val="0"/>
          <w:marRight w:val="0"/>
          <w:marTop w:val="0"/>
          <w:marBottom w:val="0"/>
          <w:divBdr>
            <w:top w:val="none" w:sz="0" w:space="0" w:color="auto"/>
            <w:left w:val="none" w:sz="0" w:space="0" w:color="auto"/>
            <w:bottom w:val="none" w:sz="0" w:space="0" w:color="auto"/>
            <w:right w:val="none" w:sz="0" w:space="0" w:color="auto"/>
          </w:divBdr>
        </w:div>
        <w:div w:id="1434940800">
          <w:marLeft w:val="0"/>
          <w:marRight w:val="0"/>
          <w:marTop w:val="0"/>
          <w:marBottom w:val="0"/>
          <w:divBdr>
            <w:top w:val="none" w:sz="0" w:space="0" w:color="auto"/>
            <w:left w:val="none" w:sz="0" w:space="0" w:color="auto"/>
            <w:bottom w:val="none" w:sz="0" w:space="0" w:color="auto"/>
            <w:right w:val="none" w:sz="0" w:space="0" w:color="auto"/>
          </w:divBdr>
        </w:div>
        <w:div w:id="1436025480">
          <w:marLeft w:val="0"/>
          <w:marRight w:val="0"/>
          <w:marTop w:val="0"/>
          <w:marBottom w:val="0"/>
          <w:divBdr>
            <w:top w:val="none" w:sz="0" w:space="0" w:color="auto"/>
            <w:left w:val="none" w:sz="0" w:space="0" w:color="auto"/>
            <w:bottom w:val="none" w:sz="0" w:space="0" w:color="auto"/>
            <w:right w:val="none" w:sz="0" w:space="0" w:color="auto"/>
          </w:divBdr>
        </w:div>
        <w:div w:id="1480462377">
          <w:marLeft w:val="0"/>
          <w:marRight w:val="0"/>
          <w:marTop w:val="0"/>
          <w:marBottom w:val="0"/>
          <w:divBdr>
            <w:top w:val="none" w:sz="0" w:space="0" w:color="auto"/>
            <w:left w:val="none" w:sz="0" w:space="0" w:color="auto"/>
            <w:bottom w:val="none" w:sz="0" w:space="0" w:color="auto"/>
            <w:right w:val="none" w:sz="0" w:space="0" w:color="auto"/>
          </w:divBdr>
        </w:div>
        <w:div w:id="1532259456">
          <w:marLeft w:val="0"/>
          <w:marRight w:val="0"/>
          <w:marTop w:val="0"/>
          <w:marBottom w:val="0"/>
          <w:divBdr>
            <w:top w:val="none" w:sz="0" w:space="0" w:color="auto"/>
            <w:left w:val="none" w:sz="0" w:space="0" w:color="auto"/>
            <w:bottom w:val="none" w:sz="0" w:space="0" w:color="auto"/>
            <w:right w:val="none" w:sz="0" w:space="0" w:color="auto"/>
          </w:divBdr>
        </w:div>
        <w:div w:id="1615212324">
          <w:marLeft w:val="0"/>
          <w:marRight w:val="0"/>
          <w:marTop w:val="0"/>
          <w:marBottom w:val="0"/>
          <w:divBdr>
            <w:top w:val="none" w:sz="0" w:space="0" w:color="auto"/>
            <w:left w:val="none" w:sz="0" w:space="0" w:color="auto"/>
            <w:bottom w:val="none" w:sz="0" w:space="0" w:color="auto"/>
            <w:right w:val="none" w:sz="0" w:space="0" w:color="auto"/>
          </w:divBdr>
        </w:div>
        <w:div w:id="1738285341">
          <w:marLeft w:val="0"/>
          <w:marRight w:val="0"/>
          <w:marTop w:val="0"/>
          <w:marBottom w:val="0"/>
          <w:divBdr>
            <w:top w:val="none" w:sz="0" w:space="0" w:color="auto"/>
            <w:left w:val="none" w:sz="0" w:space="0" w:color="auto"/>
            <w:bottom w:val="none" w:sz="0" w:space="0" w:color="auto"/>
            <w:right w:val="none" w:sz="0" w:space="0" w:color="auto"/>
          </w:divBdr>
        </w:div>
        <w:div w:id="1741709600">
          <w:marLeft w:val="0"/>
          <w:marRight w:val="0"/>
          <w:marTop w:val="0"/>
          <w:marBottom w:val="0"/>
          <w:divBdr>
            <w:top w:val="none" w:sz="0" w:space="0" w:color="auto"/>
            <w:left w:val="none" w:sz="0" w:space="0" w:color="auto"/>
            <w:bottom w:val="none" w:sz="0" w:space="0" w:color="auto"/>
            <w:right w:val="none" w:sz="0" w:space="0" w:color="auto"/>
          </w:divBdr>
        </w:div>
        <w:div w:id="1742556877">
          <w:marLeft w:val="0"/>
          <w:marRight w:val="0"/>
          <w:marTop w:val="0"/>
          <w:marBottom w:val="0"/>
          <w:divBdr>
            <w:top w:val="none" w:sz="0" w:space="0" w:color="auto"/>
            <w:left w:val="none" w:sz="0" w:space="0" w:color="auto"/>
            <w:bottom w:val="none" w:sz="0" w:space="0" w:color="auto"/>
            <w:right w:val="none" w:sz="0" w:space="0" w:color="auto"/>
          </w:divBdr>
        </w:div>
        <w:div w:id="1744722090">
          <w:marLeft w:val="0"/>
          <w:marRight w:val="0"/>
          <w:marTop w:val="0"/>
          <w:marBottom w:val="0"/>
          <w:divBdr>
            <w:top w:val="none" w:sz="0" w:space="0" w:color="auto"/>
            <w:left w:val="none" w:sz="0" w:space="0" w:color="auto"/>
            <w:bottom w:val="none" w:sz="0" w:space="0" w:color="auto"/>
            <w:right w:val="none" w:sz="0" w:space="0" w:color="auto"/>
          </w:divBdr>
        </w:div>
        <w:div w:id="1771312761">
          <w:marLeft w:val="0"/>
          <w:marRight w:val="0"/>
          <w:marTop w:val="0"/>
          <w:marBottom w:val="0"/>
          <w:divBdr>
            <w:top w:val="none" w:sz="0" w:space="0" w:color="auto"/>
            <w:left w:val="none" w:sz="0" w:space="0" w:color="auto"/>
            <w:bottom w:val="none" w:sz="0" w:space="0" w:color="auto"/>
            <w:right w:val="none" w:sz="0" w:space="0" w:color="auto"/>
          </w:divBdr>
        </w:div>
        <w:div w:id="1798990746">
          <w:marLeft w:val="0"/>
          <w:marRight w:val="0"/>
          <w:marTop w:val="0"/>
          <w:marBottom w:val="0"/>
          <w:divBdr>
            <w:top w:val="none" w:sz="0" w:space="0" w:color="auto"/>
            <w:left w:val="none" w:sz="0" w:space="0" w:color="auto"/>
            <w:bottom w:val="none" w:sz="0" w:space="0" w:color="auto"/>
            <w:right w:val="none" w:sz="0" w:space="0" w:color="auto"/>
          </w:divBdr>
        </w:div>
        <w:div w:id="1832989224">
          <w:marLeft w:val="0"/>
          <w:marRight w:val="0"/>
          <w:marTop w:val="0"/>
          <w:marBottom w:val="0"/>
          <w:divBdr>
            <w:top w:val="none" w:sz="0" w:space="0" w:color="auto"/>
            <w:left w:val="none" w:sz="0" w:space="0" w:color="auto"/>
            <w:bottom w:val="none" w:sz="0" w:space="0" w:color="auto"/>
            <w:right w:val="none" w:sz="0" w:space="0" w:color="auto"/>
          </w:divBdr>
        </w:div>
        <w:div w:id="1835149285">
          <w:marLeft w:val="0"/>
          <w:marRight w:val="0"/>
          <w:marTop w:val="0"/>
          <w:marBottom w:val="0"/>
          <w:divBdr>
            <w:top w:val="none" w:sz="0" w:space="0" w:color="auto"/>
            <w:left w:val="none" w:sz="0" w:space="0" w:color="auto"/>
            <w:bottom w:val="none" w:sz="0" w:space="0" w:color="auto"/>
            <w:right w:val="none" w:sz="0" w:space="0" w:color="auto"/>
          </w:divBdr>
        </w:div>
        <w:div w:id="1845395359">
          <w:marLeft w:val="0"/>
          <w:marRight w:val="0"/>
          <w:marTop w:val="0"/>
          <w:marBottom w:val="0"/>
          <w:divBdr>
            <w:top w:val="none" w:sz="0" w:space="0" w:color="auto"/>
            <w:left w:val="none" w:sz="0" w:space="0" w:color="auto"/>
            <w:bottom w:val="none" w:sz="0" w:space="0" w:color="auto"/>
            <w:right w:val="none" w:sz="0" w:space="0" w:color="auto"/>
          </w:divBdr>
        </w:div>
        <w:div w:id="1871600675">
          <w:marLeft w:val="0"/>
          <w:marRight w:val="0"/>
          <w:marTop w:val="0"/>
          <w:marBottom w:val="0"/>
          <w:divBdr>
            <w:top w:val="none" w:sz="0" w:space="0" w:color="auto"/>
            <w:left w:val="none" w:sz="0" w:space="0" w:color="auto"/>
            <w:bottom w:val="none" w:sz="0" w:space="0" w:color="auto"/>
            <w:right w:val="none" w:sz="0" w:space="0" w:color="auto"/>
          </w:divBdr>
        </w:div>
        <w:div w:id="2005425166">
          <w:marLeft w:val="0"/>
          <w:marRight w:val="0"/>
          <w:marTop w:val="0"/>
          <w:marBottom w:val="0"/>
          <w:divBdr>
            <w:top w:val="none" w:sz="0" w:space="0" w:color="auto"/>
            <w:left w:val="none" w:sz="0" w:space="0" w:color="auto"/>
            <w:bottom w:val="none" w:sz="0" w:space="0" w:color="auto"/>
            <w:right w:val="none" w:sz="0" w:space="0" w:color="auto"/>
          </w:divBdr>
        </w:div>
        <w:div w:id="2019699679">
          <w:marLeft w:val="0"/>
          <w:marRight w:val="0"/>
          <w:marTop w:val="0"/>
          <w:marBottom w:val="0"/>
          <w:divBdr>
            <w:top w:val="none" w:sz="0" w:space="0" w:color="auto"/>
            <w:left w:val="none" w:sz="0" w:space="0" w:color="auto"/>
            <w:bottom w:val="none" w:sz="0" w:space="0" w:color="auto"/>
            <w:right w:val="none" w:sz="0" w:space="0" w:color="auto"/>
          </w:divBdr>
        </w:div>
        <w:div w:id="2036954441">
          <w:marLeft w:val="0"/>
          <w:marRight w:val="0"/>
          <w:marTop w:val="0"/>
          <w:marBottom w:val="0"/>
          <w:divBdr>
            <w:top w:val="none" w:sz="0" w:space="0" w:color="auto"/>
            <w:left w:val="none" w:sz="0" w:space="0" w:color="auto"/>
            <w:bottom w:val="none" w:sz="0" w:space="0" w:color="auto"/>
            <w:right w:val="none" w:sz="0" w:space="0" w:color="auto"/>
          </w:divBdr>
        </w:div>
        <w:div w:id="2060322843">
          <w:marLeft w:val="0"/>
          <w:marRight w:val="0"/>
          <w:marTop w:val="0"/>
          <w:marBottom w:val="0"/>
          <w:divBdr>
            <w:top w:val="none" w:sz="0" w:space="0" w:color="auto"/>
            <w:left w:val="none" w:sz="0" w:space="0" w:color="auto"/>
            <w:bottom w:val="none" w:sz="0" w:space="0" w:color="auto"/>
            <w:right w:val="none" w:sz="0" w:space="0" w:color="auto"/>
          </w:divBdr>
        </w:div>
        <w:div w:id="2066491287">
          <w:marLeft w:val="0"/>
          <w:marRight w:val="0"/>
          <w:marTop w:val="0"/>
          <w:marBottom w:val="0"/>
          <w:divBdr>
            <w:top w:val="none" w:sz="0" w:space="0" w:color="auto"/>
            <w:left w:val="none" w:sz="0" w:space="0" w:color="auto"/>
            <w:bottom w:val="none" w:sz="0" w:space="0" w:color="auto"/>
            <w:right w:val="none" w:sz="0" w:space="0" w:color="auto"/>
          </w:divBdr>
        </w:div>
        <w:div w:id="2070839101">
          <w:marLeft w:val="0"/>
          <w:marRight w:val="0"/>
          <w:marTop w:val="0"/>
          <w:marBottom w:val="0"/>
          <w:divBdr>
            <w:top w:val="none" w:sz="0" w:space="0" w:color="auto"/>
            <w:left w:val="none" w:sz="0" w:space="0" w:color="auto"/>
            <w:bottom w:val="none" w:sz="0" w:space="0" w:color="auto"/>
            <w:right w:val="none" w:sz="0" w:space="0" w:color="auto"/>
          </w:divBdr>
        </w:div>
        <w:div w:id="2072730324">
          <w:marLeft w:val="0"/>
          <w:marRight w:val="0"/>
          <w:marTop w:val="0"/>
          <w:marBottom w:val="0"/>
          <w:divBdr>
            <w:top w:val="none" w:sz="0" w:space="0" w:color="auto"/>
            <w:left w:val="none" w:sz="0" w:space="0" w:color="auto"/>
            <w:bottom w:val="none" w:sz="0" w:space="0" w:color="auto"/>
            <w:right w:val="none" w:sz="0" w:space="0" w:color="auto"/>
          </w:divBdr>
        </w:div>
        <w:div w:id="2140026643">
          <w:marLeft w:val="0"/>
          <w:marRight w:val="0"/>
          <w:marTop w:val="0"/>
          <w:marBottom w:val="0"/>
          <w:divBdr>
            <w:top w:val="none" w:sz="0" w:space="0" w:color="auto"/>
            <w:left w:val="none" w:sz="0" w:space="0" w:color="auto"/>
            <w:bottom w:val="none" w:sz="0" w:space="0" w:color="auto"/>
            <w:right w:val="none" w:sz="0" w:space="0" w:color="auto"/>
          </w:divBdr>
        </w:div>
      </w:divsChild>
    </w:div>
    <w:div w:id="1384527161">
      <w:bodyDiv w:val="1"/>
      <w:marLeft w:val="0"/>
      <w:marRight w:val="0"/>
      <w:marTop w:val="0"/>
      <w:marBottom w:val="0"/>
      <w:divBdr>
        <w:top w:val="none" w:sz="0" w:space="0" w:color="auto"/>
        <w:left w:val="none" w:sz="0" w:space="0" w:color="auto"/>
        <w:bottom w:val="none" w:sz="0" w:space="0" w:color="auto"/>
        <w:right w:val="none" w:sz="0" w:space="0" w:color="auto"/>
      </w:divBdr>
    </w:div>
    <w:div w:id="1388725854">
      <w:bodyDiv w:val="1"/>
      <w:marLeft w:val="0"/>
      <w:marRight w:val="0"/>
      <w:marTop w:val="0"/>
      <w:marBottom w:val="0"/>
      <w:divBdr>
        <w:top w:val="none" w:sz="0" w:space="0" w:color="auto"/>
        <w:left w:val="none" w:sz="0" w:space="0" w:color="auto"/>
        <w:bottom w:val="none" w:sz="0" w:space="0" w:color="auto"/>
        <w:right w:val="none" w:sz="0" w:space="0" w:color="auto"/>
      </w:divBdr>
    </w:div>
    <w:div w:id="1401557988">
      <w:bodyDiv w:val="1"/>
      <w:marLeft w:val="0"/>
      <w:marRight w:val="0"/>
      <w:marTop w:val="0"/>
      <w:marBottom w:val="0"/>
      <w:divBdr>
        <w:top w:val="none" w:sz="0" w:space="0" w:color="auto"/>
        <w:left w:val="none" w:sz="0" w:space="0" w:color="auto"/>
        <w:bottom w:val="none" w:sz="0" w:space="0" w:color="auto"/>
        <w:right w:val="none" w:sz="0" w:space="0" w:color="auto"/>
      </w:divBdr>
    </w:div>
    <w:div w:id="1403136076">
      <w:bodyDiv w:val="1"/>
      <w:marLeft w:val="0"/>
      <w:marRight w:val="0"/>
      <w:marTop w:val="0"/>
      <w:marBottom w:val="0"/>
      <w:divBdr>
        <w:top w:val="none" w:sz="0" w:space="0" w:color="auto"/>
        <w:left w:val="none" w:sz="0" w:space="0" w:color="auto"/>
        <w:bottom w:val="none" w:sz="0" w:space="0" w:color="auto"/>
        <w:right w:val="none" w:sz="0" w:space="0" w:color="auto"/>
      </w:divBdr>
    </w:div>
    <w:div w:id="1421221463">
      <w:bodyDiv w:val="1"/>
      <w:marLeft w:val="0"/>
      <w:marRight w:val="0"/>
      <w:marTop w:val="0"/>
      <w:marBottom w:val="0"/>
      <w:divBdr>
        <w:top w:val="none" w:sz="0" w:space="0" w:color="auto"/>
        <w:left w:val="none" w:sz="0" w:space="0" w:color="auto"/>
        <w:bottom w:val="none" w:sz="0" w:space="0" w:color="auto"/>
        <w:right w:val="none" w:sz="0" w:space="0" w:color="auto"/>
      </w:divBdr>
    </w:div>
    <w:div w:id="1429503606">
      <w:bodyDiv w:val="1"/>
      <w:marLeft w:val="0"/>
      <w:marRight w:val="0"/>
      <w:marTop w:val="0"/>
      <w:marBottom w:val="0"/>
      <w:divBdr>
        <w:top w:val="none" w:sz="0" w:space="0" w:color="auto"/>
        <w:left w:val="none" w:sz="0" w:space="0" w:color="auto"/>
        <w:bottom w:val="none" w:sz="0" w:space="0" w:color="auto"/>
        <w:right w:val="none" w:sz="0" w:space="0" w:color="auto"/>
      </w:divBdr>
    </w:div>
    <w:div w:id="1447193833">
      <w:bodyDiv w:val="1"/>
      <w:marLeft w:val="0"/>
      <w:marRight w:val="0"/>
      <w:marTop w:val="0"/>
      <w:marBottom w:val="0"/>
      <w:divBdr>
        <w:top w:val="none" w:sz="0" w:space="0" w:color="auto"/>
        <w:left w:val="none" w:sz="0" w:space="0" w:color="auto"/>
        <w:bottom w:val="none" w:sz="0" w:space="0" w:color="auto"/>
        <w:right w:val="none" w:sz="0" w:space="0" w:color="auto"/>
      </w:divBdr>
    </w:div>
    <w:div w:id="1464542386">
      <w:bodyDiv w:val="1"/>
      <w:marLeft w:val="0"/>
      <w:marRight w:val="0"/>
      <w:marTop w:val="0"/>
      <w:marBottom w:val="0"/>
      <w:divBdr>
        <w:top w:val="none" w:sz="0" w:space="0" w:color="auto"/>
        <w:left w:val="none" w:sz="0" w:space="0" w:color="auto"/>
        <w:bottom w:val="none" w:sz="0" w:space="0" w:color="auto"/>
        <w:right w:val="none" w:sz="0" w:space="0" w:color="auto"/>
      </w:divBdr>
    </w:div>
    <w:div w:id="1496334895">
      <w:bodyDiv w:val="1"/>
      <w:marLeft w:val="0"/>
      <w:marRight w:val="0"/>
      <w:marTop w:val="0"/>
      <w:marBottom w:val="0"/>
      <w:divBdr>
        <w:top w:val="none" w:sz="0" w:space="0" w:color="auto"/>
        <w:left w:val="none" w:sz="0" w:space="0" w:color="auto"/>
        <w:bottom w:val="none" w:sz="0" w:space="0" w:color="auto"/>
        <w:right w:val="none" w:sz="0" w:space="0" w:color="auto"/>
      </w:divBdr>
      <w:divsChild>
        <w:div w:id="411775145">
          <w:marLeft w:val="0"/>
          <w:marRight w:val="0"/>
          <w:marTop w:val="0"/>
          <w:marBottom w:val="0"/>
          <w:divBdr>
            <w:top w:val="none" w:sz="0" w:space="0" w:color="auto"/>
            <w:left w:val="none" w:sz="0" w:space="0" w:color="auto"/>
            <w:bottom w:val="none" w:sz="0" w:space="0" w:color="auto"/>
            <w:right w:val="none" w:sz="0" w:space="0" w:color="auto"/>
          </w:divBdr>
        </w:div>
        <w:div w:id="428353265">
          <w:marLeft w:val="0"/>
          <w:marRight w:val="0"/>
          <w:marTop w:val="0"/>
          <w:marBottom w:val="0"/>
          <w:divBdr>
            <w:top w:val="none" w:sz="0" w:space="0" w:color="auto"/>
            <w:left w:val="none" w:sz="0" w:space="0" w:color="auto"/>
            <w:bottom w:val="none" w:sz="0" w:space="0" w:color="auto"/>
            <w:right w:val="none" w:sz="0" w:space="0" w:color="auto"/>
          </w:divBdr>
        </w:div>
        <w:div w:id="474223356">
          <w:marLeft w:val="0"/>
          <w:marRight w:val="0"/>
          <w:marTop w:val="0"/>
          <w:marBottom w:val="0"/>
          <w:divBdr>
            <w:top w:val="none" w:sz="0" w:space="0" w:color="auto"/>
            <w:left w:val="none" w:sz="0" w:space="0" w:color="auto"/>
            <w:bottom w:val="none" w:sz="0" w:space="0" w:color="auto"/>
            <w:right w:val="none" w:sz="0" w:space="0" w:color="auto"/>
          </w:divBdr>
        </w:div>
        <w:div w:id="1360203094">
          <w:marLeft w:val="0"/>
          <w:marRight w:val="0"/>
          <w:marTop w:val="0"/>
          <w:marBottom w:val="0"/>
          <w:divBdr>
            <w:top w:val="none" w:sz="0" w:space="0" w:color="auto"/>
            <w:left w:val="none" w:sz="0" w:space="0" w:color="auto"/>
            <w:bottom w:val="none" w:sz="0" w:space="0" w:color="auto"/>
            <w:right w:val="none" w:sz="0" w:space="0" w:color="auto"/>
          </w:divBdr>
        </w:div>
        <w:div w:id="1361586254">
          <w:marLeft w:val="0"/>
          <w:marRight w:val="0"/>
          <w:marTop w:val="0"/>
          <w:marBottom w:val="0"/>
          <w:divBdr>
            <w:top w:val="none" w:sz="0" w:space="0" w:color="auto"/>
            <w:left w:val="none" w:sz="0" w:space="0" w:color="auto"/>
            <w:bottom w:val="none" w:sz="0" w:space="0" w:color="auto"/>
            <w:right w:val="none" w:sz="0" w:space="0" w:color="auto"/>
          </w:divBdr>
        </w:div>
        <w:div w:id="1426995066">
          <w:marLeft w:val="0"/>
          <w:marRight w:val="0"/>
          <w:marTop w:val="0"/>
          <w:marBottom w:val="0"/>
          <w:divBdr>
            <w:top w:val="none" w:sz="0" w:space="0" w:color="auto"/>
            <w:left w:val="none" w:sz="0" w:space="0" w:color="auto"/>
            <w:bottom w:val="none" w:sz="0" w:space="0" w:color="auto"/>
            <w:right w:val="none" w:sz="0" w:space="0" w:color="auto"/>
          </w:divBdr>
        </w:div>
        <w:div w:id="1591889572">
          <w:marLeft w:val="0"/>
          <w:marRight w:val="0"/>
          <w:marTop w:val="0"/>
          <w:marBottom w:val="0"/>
          <w:divBdr>
            <w:top w:val="none" w:sz="0" w:space="0" w:color="auto"/>
            <w:left w:val="none" w:sz="0" w:space="0" w:color="auto"/>
            <w:bottom w:val="none" w:sz="0" w:space="0" w:color="auto"/>
            <w:right w:val="none" w:sz="0" w:space="0" w:color="auto"/>
          </w:divBdr>
        </w:div>
        <w:div w:id="1626959328">
          <w:marLeft w:val="0"/>
          <w:marRight w:val="0"/>
          <w:marTop w:val="0"/>
          <w:marBottom w:val="0"/>
          <w:divBdr>
            <w:top w:val="none" w:sz="0" w:space="0" w:color="auto"/>
            <w:left w:val="none" w:sz="0" w:space="0" w:color="auto"/>
            <w:bottom w:val="none" w:sz="0" w:space="0" w:color="auto"/>
            <w:right w:val="none" w:sz="0" w:space="0" w:color="auto"/>
          </w:divBdr>
        </w:div>
        <w:div w:id="1792482056">
          <w:marLeft w:val="0"/>
          <w:marRight w:val="0"/>
          <w:marTop w:val="0"/>
          <w:marBottom w:val="0"/>
          <w:divBdr>
            <w:top w:val="none" w:sz="0" w:space="0" w:color="auto"/>
            <w:left w:val="none" w:sz="0" w:space="0" w:color="auto"/>
            <w:bottom w:val="none" w:sz="0" w:space="0" w:color="auto"/>
            <w:right w:val="none" w:sz="0" w:space="0" w:color="auto"/>
          </w:divBdr>
        </w:div>
        <w:div w:id="1917321519">
          <w:marLeft w:val="0"/>
          <w:marRight w:val="0"/>
          <w:marTop w:val="0"/>
          <w:marBottom w:val="0"/>
          <w:divBdr>
            <w:top w:val="none" w:sz="0" w:space="0" w:color="auto"/>
            <w:left w:val="none" w:sz="0" w:space="0" w:color="auto"/>
            <w:bottom w:val="none" w:sz="0" w:space="0" w:color="auto"/>
            <w:right w:val="none" w:sz="0" w:space="0" w:color="auto"/>
          </w:divBdr>
        </w:div>
      </w:divsChild>
    </w:div>
    <w:div w:id="1520465390">
      <w:bodyDiv w:val="1"/>
      <w:marLeft w:val="0"/>
      <w:marRight w:val="0"/>
      <w:marTop w:val="0"/>
      <w:marBottom w:val="0"/>
      <w:divBdr>
        <w:top w:val="none" w:sz="0" w:space="0" w:color="auto"/>
        <w:left w:val="none" w:sz="0" w:space="0" w:color="auto"/>
        <w:bottom w:val="none" w:sz="0" w:space="0" w:color="auto"/>
        <w:right w:val="none" w:sz="0" w:space="0" w:color="auto"/>
      </w:divBdr>
    </w:div>
    <w:div w:id="1529172442">
      <w:bodyDiv w:val="1"/>
      <w:marLeft w:val="0"/>
      <w:marRight w:val="0"/>
      <w:marTop w:val="0"/>
      <w:marBottom w:val="0"/>
      <w:divBdr>
        <w:top w:val="none" w:sz="0" w:space="0" w:color="auto"/>
        <w:left w:val="none" w:sz="0" w:space="0" w:color="auto"/>
        <w:bottom w:val="none" w:sz="0" w:space="0" w:color="auto"/>
        <w:right w:val="none" w:sz="0" w:space="0" w:color="auto"/>
      </w:divBdr>
    </w:div>
    <w:div w:id="1536963352">
      <w:bodyDiv w:val="1"/>
      <w:marLeft w:val="0"/>
      <w:marRight w:val="0"/>
      <w:marTop w:val="0"/>
      <w:marBottom w:val="0"/>
      <w:divBdr>
        <w:top w:val="none" w:sz="0" w:space="0" w:color="auto"/>
        <w:left w:val="none" w:sz="0" w:space="0" w:color="auto"/>
        <w:bottom w:val="none" w:sz="0" w:space="0" w:color="auto"/>
        <w:right w:val="none" w:sz="0" w:space="0" w:color="auto"/>
      </w:divBdr>
    </w:div>
    <w:div w:id="1539047942">
      <w:bodyDiv w:val="1"/>
      <w:marLeft w:val="0"/>
      <w:marRight w:val="0"/>
      <w:marTop w:val="0"/>
      <w:marBottom w:val="0"/>
      <w:divBdr>
        <w:top w:val="none" w:sz="0" w:space="0" w:color="auto"/>
        <w:left w:val="none" w:sz="0" w:space="0" w:color="auto"/>
        <w:bottom w:val="none" w:sz="0" w:space="0" w:color="auto"/>
        <w:right w:val="none" w:sz="0" w:space="0" w:color="auto"/>
      </w:divBdr>
      <w:divsChild>
        <w:div w:id="693961662">
          <w:marLeft w:val="0"/>
          <w:marRight w:val="0"/>
          <w:marTop w:val="0"/>
          <w:marBottom w:val="0"/>
          <w:divBdr>
            <w:top w:val="none" w:sz="0" w:space="0" w:color="auto"/>
            <w:left w:val="none" w:sz="0" w:space="0" w:color="auto"/>
            <w:bottom w:val="none" w:sz="0" w:space="0" w:color="auto"/>
            <w:right w:val="none" w:sz="0" w:space="0" w:color="auto"/>
          </w:divBdr>
        </w:div>
        <w:div w:id="709304031">
          <w:marLeft w:val="0"/>
          <w:marRight w:val="0"/>
          <w:marTop w:val="0"/>
          <w:marBottom w:val="0"/>
          <w:divBdr>
            <w:top w:val="none" w:sz="0" w:space="0" w:color="auto"/>
            <w:left w:val="none" w:sz="0" w:space="0" w:color="auto"/>
            <w:bottom w:val="none" w:sz="0" w:space="0" w:color="auto"/>
            <w:right w:val="none" w:sz="0" w:space="0" w:color="auto"/>
          </w:divBdr>
        </w:div>
        <w:div w:id="1645617434">
          <w:marLeft w:val="0"/>
          <w:marRight w:val="0"/>
          <w:marTop w:val="0"/>
          <w:marBottom w:val="0"/>
          <w:divBdr>
            <w:top w:val="none" w:sz="0" w:space="0" w:color="auto"/>
            <w:left w:val="none" w:sz="0" w:space="0" w:color="auto"/>
            <w:bottom w:val="none" w:sz="0" w:space="0" w:color="auto"/>
            <w:right w:val="none" w:sz="0" w:space="0" w:color="auto"/>
          </w:divBdr>
        </w:div>
        <w:div w:id="1775635322">
          <w:marLeft w:val="0"/>
          <w:marRight w:val="0"/>
          <w:marTop w:val="0"/>
          <w:marBottom w:val="0"/>
          <w:divBdr>
            <w:top w:val="none" w:sz="0" w:space="0" w:color="auto"/>
            <w:left w:val="none" w:sz="0" w:space="0" w:color="auto"/>
            <w:bottom w:val="none" w:sz="0" w:space="0" w:color="auto"/>
            <w:right w:val="none" w:sz="0" w:space="0" w:color="auto"/>
          </w:divBdr>
        </w:div>
        <w:div w:id="1784348700">
          <w:marLeft w:val="0"/>
          <w:marRight w:val="0"/>
          <w:marTop w:val="0"/>
          <w:marBottom w:val="0"/>
          <w:divBdr>
            <w:top w:val="none" w:sz="0" w:space="0" w:color="auto"/>
            <w:left w:val="none" w:sz="0" w:space="0" w:color="auto"/>
            <w:bottom w:val="none" w:sz="0" w:space="0" w:color="auto"/>
            <w:right w:val="none" w:sz="0" w:space="0" w:color="auto"/>
          </w:divBdr>
        </w:div>
      </w:divsChild>
    </w:div>
    <w:div w:id="1541160547">
      <w:bodyDiv w:val="1"/>
      <w:marLeft w:val="0"/>
      <w:marRight w:val="0"/>
      <w:marTop w:val="0"/>
      <w:marBottom w:val="0"/>
      <w:divBdr>
        <w:top w:val="none" w:sz="0" w:space="0" w:color="auto"/>
        <w:left w:val="none" w:sz="0" w:space="0" w:color="auto"/>
        <w:bottom w:val="none" w:sz="0" w:space="0" w:color="auto"/>
        <w:right w:val="none" w:sz="0" w:space="0" w:color="auto"/>
      </w:divBdr>
    </w:div>
    <w:div w:id="1547140785">
      <w:bodyDiv w:val="1"/>
      <w:marLeft w:val="0"/>
      <w:marRight w:val="0"/>
      <w:marTop w:val="0"/>
      <w:marBottom w:val="0"/>
      <w:divBdr>
        <w:top w:val="none" w:sz="0" w:space="0" w:color="auto"/>
        <w:left w:val="none" w:sz="0" w:space="0" w:color="auto"/>
        <w:bottom w:val="none" w:sz="0" w:space="0" w:color="auto"/>
        <w:right w:val="none" w:sz="0" w:space="0" w:color="auto"/>
      </w:divBdr>
    </w:div>
    <w:div w:id="1559393169">
      <w:bodyDiv w:val="1"/>
      <w:marLeft w:val="0"/>
      <w:marRight w:val="0"/>
      <w:marTop w:val="0"/>
      <w:marBottom w:val="0"/>
      <w:divBdr>
        <w:top w:val="none" w:sz="0" w:space="0" w:color="auto"/>
        <w:left w:val="none" w:sz="0" w:space="0" w:color="auto"/>
        <w:bottom w:val="none" w:sz="0" w:space="0" w:color="auto"/>
        <w:right w:val="none" w:sz="0" w:space="0" w:color="auto"/>
      </w:divBdr>
    </w:div>
    <w:div w:id="1573539338">
      <w:bodyDiv w:val="1"/>
      <w:marLeft w:val="0"/>
      <w:marRight w:val="0"/>
      <w:marTop w:val="0"/>
      <w:marBottom w:val="0"/>
      <w:divBdr>
        <w:top w:val="none" w:sz="0" w:space="0" w:color="auto"/>
        <w:left w:val="none" w:sz="0" w:space="0" w:color="auto"/>
        <w:bottom w:val="none" w:sz="0" w:space="0" w:color="auto"/>
        <w:right w:val="none" w:sz="0" w:space="0" w:color="auto"/>
      </w:divBdr>
      <w:divsChild>
        <w:div w:id="119766946">
          <w:marLeft w:val="0"/>
          <w:marRight w:val="0"/>
          <w:marTop w:val="0"/>
          <w:marBottom w:val="0"/>
          <w:divBdr>
            <w:top w:val="none" w:sz="0" w:space="0" w:color="auto"/>
            <w:left w:val="none" w:sz="0" w:space="0" w:color="auto"/>
            <w:bottom w:val="none" w:sz="0" w:space="0" w:color="auto"/>
            <w:right w:val="none" w:sz="0" w:space="0" w:color="auto"/>
          </w:divBdr>
        </w:div>
        <w:div w:id="265775844">
          <w:marLeft w:val="0"/>
          <w:marRight w:val="0"/>
          <w:marTop w:val="0"/>
          <w:marBottom w:val="0"/>
          <w:divBdr>
            <w:top w:val="none" w:sz="0" w:space="0" w:color="auto"/>
            <w:left w:val="none" w:sz="0" w:space="0" w:color="auto"/>
            <w:bottom w:val="none" w:sz="0" w:space="0" w:color="auto"/>
            <w:right w:val="none" w:sz="0" w:space="0" w:color="auto"/>
          </w:divBdr>
        </w:div>
        <w:div w:id="370808497">
          <w:marLeft w:val="0"/>
          <w:marRight w:val="0"/>
          <w:marTop w:val="0"/>
          <w:marBottom w:val="0"/>
          <w:divBdr>
            <w:top w:val="none" w:sz="0" w:space="0" w:color="auto"/>
            <w:left w:val="none" w:sz="0" w:space="0" w:color="auto"/>
            <w:bottom w:val="none" w:sz="0" w:space="0" w:color="auto"/>
            <w:right w:val="none" w:sz="0" w:space="0" w:color="auto"/>
          </w:divBdr>
        </w:div>
        <w:div w:id="436606364">
          <w:marLeft w:val="0"/>
          <w:marRight w:val="0"/>
          <w:marTop w:val="0"/>
          <w:marBottom w:val="0"/>
          <w:divBdr>
            <w:top w:val="none" w:sz="0" w:space="0" w:color="auto"/>
            <w:left w:val="none" w:sz="0" w:space="0" w:color="auto"/>
            <w:bottom w:val="none" w:sz="0" w:space="0" w:color="auto"/>
            <w:right w:val="none" w:sz="0" w:space="0" w:color="auto"/>
          </w:divBdr>
        </w:div>
        <w:div w:id="545216058">
          <w:marLeft w:val="0"/>
          <w:marRight w:val="0"/>
          <w:marTop w:val="0"/>
          <w:marBottom w:val="0"/>
          <w:divBdr>
            <w:top w:val="none" w:sz="0" w:space="0" w:color="auto"/>
            <w:left w:val="none" w:sz="0" w:space="0" w:color="auto"/>
            <w:bottom w:val="none" w:sz="0" w:space="0" w:color="auto"/>
            <w:right w:val="none" w:sz="0" w:space="0" w:color="auto"/>
          </w:divBdr>
        </w:div>
        <w:div w:id="623003912">
          <w:marLeft w:val="0"/>
          <w:marRight w:val="0"/>
          <w:marTop w:val="0"/>
          <w:marBottom w:val="0"/>
          <w:divBdr>
            <w:top w:val="none" w:sz="0" w:space="0" w:color="auto"/>
            <w:left w:val="none" w:sz="0" w:space="0" w:color="auto"/>
            <w:bottom w:val="none" w:sz="0" w:space="0" w:color="auto"/>
            <w:right w:val="none" w:sz="0" w:space="0" w:color="auto"/>
          </w:divBdr>
        </w:div>
        <w:div w:id="766074942">
          <w:marLeft w:val="0"/>
          <w:marRight w:val="0"/>
          <w:marTop w:val="0"/>
          <w:marBottom w:val="0"/>
          <w:divBdr>
            <w:top w:val="none" w:sz="0" w:space="0" w:color="auto"/>
            <w:left w:val="none" w:sz="0" w:space="0" w:color="auto"/>
            <w:bottom w:val="none" w:sz="0" w:space="0" w:color="auto"/>
            <w:right w:val="none" w:sz="0" w:space="0" w:color="auto"/>
          </w:divBdr>
        </w:div>
        <w:div w:id="993342002">
          <w:marLeft w:val="0"/>
          <w:marRight w:val="0"/>
          <w:marTop w:val="0"/>
          <w:marBottom w:val="0"/>
          <w:divBdr>
            <w:top w:val="none" w:sz="0" w:space="0" w:color="auto"/>
            <w:left w:val="none" w:sz="0" w:space="0" w:color="auto"/>
            <w:bottom w:val="none" w:sz="0" w:space="0" w:color="auto"/>
            <w:right w:val="none" w:sz="0" w:space="0" w:color="auto"/>
          </w:divBdr>
        </w:div>
        <w:div w:id="1112163475">
          <w:marLeft w:val="0"/>
          <w:marRight w:val="0"/>
          <w:marTop w:val="0"/>
          <w:marBottom w:val="0"/>
          <w:divBdr>
            <w:top w:val="none" w:sz="0" w:space="0" w:color="auto"/>
            <w:left w:val="none" w:sz="0" w:space="0" w:color="auto"/>
            <w:bottom w:val="none" w:sz="0" w:space="0" w:color="auto"/>
            <w:right w:val="none" w:sz="0" w:space="0" w:color="auto"/>
          </w:divBdr>
        </w:div>
        <w:div w:id="1313829004">
          <w:marLeft w:val="0"/>
          <w:marRight w:val="0"/>
          <w:marTop w:val="0"/>
          <w:marBottom w:val="0"/>
          <w:divBdr>
            <w:top w:val="none" w:sz="0" w:space="0" w:color="auto"/>
            <w:left w:val="none" w:sz="0" w:space="0" w:color="auto"/>
            <w:bottom w:val="none" w:sz="0" w:space="0" w:color="auto"/>
            <w:right w:val="none" w:sz="0" w:space="0" w:color="auto"/>
          </w:divBdr>
        </w:div>
        <w:div w:id="1439715813">
          <w:marLeft w:val="0"/>
          <w:marRight w:val="0"/>
          <w:marTop w:val="0"/>
          <w:marBottom w:val="0"/>
          <w:divBdr>
            <w:top w:val="none" w:sz="0" w:space="0" w:color="auto"/>
            <w:left w:val="none" w:sz="0" w:space="0" w:color="auto"/>
            <w:bottom w:val="none" w:sz="0" w:space="0" w:color="auto"/>
            <w:right w:val="none" w:sz="0" w:space="0" w:color="auto"/>
          </w:divBdr>
        </w:div>
        <w:div w:id="1449202736">
          <w:marLeft w:val="0"/>
          <w:marRight w:val="0"/>
          <w:marTop w:val="0"/>
          <w:marBottom w:val="0"/>
          <w:divBdr>
            <w:top w:val="none" w:sz="0" w:space="0" w:color="auto"/>
            <w:left w:val="none" w:sz="0" w:space="0" w:color="auto"/>
            <w:bottom w:val="none" w:sz="0" w:space="0" w:color="auto"/>
            <w:right w:val="none" w:sz="0" w:space="0" w:color="auto"/>
          </w:divBdr>
        </w:div>
        <w:div w:id="1696224319">
          <w:marLeft w:val="0"/>
          <w:marRight w:val="0"/>
          <w:marTop w:val="0"/>
          <w:marBottom w:val="0"/>
          <w:divBdr>
            <w:top w:val="none" w:sz="0" w:space="0" w:color="auto"/>
            <w:left w:val="none" w:sz="0" w:space="0" w:color="auto"/>
            <w:bottom w:val="none" w:sz="0" w:space="0" w:color="auto"/>
            <w:right w:val="none" w:sz="0" w:space="0" w:color="auto"/>
          </w:divBdr>
        </w:div>
        <w:div w:id="1719891848">
          <w:marLeft w:val="0"/>
          <w:marRight w:val="0"/>
          <w:marTop w:val="0"/>
          <w:marBottom w:val="0"/>
          <w:divBdr>
            <w:top w:val="none" w:sz="0" w:space="0" w:color="auto"/>
            <w:left w:val="none" w:sz="0" w:space="0" w:color="auto"/>
            <w:bottom w:val="none" w:sz="0" w:space="0" w:color="auto"/>
            <w:right w:val="none" w:sz="0" w:space="0" w:color="auto"/>
          </w:divBdr>
        </w:div>
        <w:div w:id="2115787071">
          <w:marLeft w:val="0"/>
          <w:marRight w:val="0"/>
          <w:marTop w:val="0"/>
          <w:marBottom w:val="0"/>
          <w:divBdr>
            <w:top w:val="none" w:sz="0" w:space="0" w:color="auto"/>
            <w:left w:val="none" w:sz="0" w:space="0" w:color="auto"/>
            <w:bottom w:val="none" w:sz="0" w:space="0" w:color="auto"/>
            <w:right w:val="none" w:sz="0" w:space="0" w:color="auto"/>
          </w:divBdr>
        </w:div>
      </w:divsChild>
    </w:div>
    <w:div w:id="1574007203">
      <w:bodyDiv w:val="1"/>
      <w:marLeft w:val="0"/>
      <w:marRight w:val="0"/>
      <w:marTop w:val="0"/>
      <w:marBottom w:val="0"/>
      <w:divBdr>
        <w:top w:val="none" w:sz="0" w:space="0" w:color="auto"/>
        <w:left w:val="none" w:sz="0" w:space="0" w:color="auto"/>
        <w:bottom w:val="none" w:sz="0" w:space="0" w:color="auto"/>
        <w:right w:val="none" w:sz="0" w:space="0" w:color="auto"/>
      </w:divBdr>
    </w:div>
    <w:div w:id="1574850567">
      <w:bodyDiv w:val="1"/>
      <w:marLeft w:val="0"/>
      <w:marRight w:val="0"/>
      <w:marTop w:val="0"/>
      <w:marBottom w:val="0"/>
      <w:divBdr>
        <w:top w:val="none" w:sz="0" w:space="0" w:color="auto"/>
        <w:left w:val="none" w:sz="0" w:space="0" w:color="auto"/>
        <w:bottom w:val="none" w:sz="0" w:space="0" w:color="auto"/>
        <w:right w:val="none" w:sz="0" w:space="0" w:color="auto"/>
      </w:divBdr>
    </w:div>
    <w:div w:id="1579628604">
      <w:bodyDiv w:val="1"/>
      <w:marLeft w:val="0"/>
      <w:marRight w:val="0"/>
      <w:marTop w:val="0"/>
      <w:marBottom w:val="0"/>
      <w:divBdr>
        <w:top w:val="none" w:sz="0" w:space="0" w:color="auto"/>
        <w:left w:val="none" w:sz="0" w:space="0" w:color="auto"/>
        <w:bottom w:val="none" w:sz="0" w:space="0" w:color="auto"/>
        <w:right w:val="none" w:sz="0" w:space="0" w:color="auto"/>
      </w:divBdr>
    </w:div>
    <w:div w:id="1579973511">
      <w:bodyDiv w:val="1"/>
      <w:marLeft w:val="0"/>
      <w:marRight w:val="0"/>
      <w:marTop w:val="0"/>
      <w:marBottom w:val="0"/>
      <w:divBdr>
        <w:top w:val="none" w:sz="0" w:space="0" w:color="auto"/>
        <w:left w:val="none" w:sz="0" w:space="0" w:color="auto"/>
        <w:bottom w:val="none" w:sz="0" w:space="0" w:color="auto"/>
        <w:right w:val="none" w:sz="0" w:space="0" w:color="auto"/>
      </w:divBdr>
    </w:div>
    <w:div w:id="1587609708">
      <w:bodyDiv w:val="1"/>
      <w:marLeft w:val="0"/>
      <w:marRight w:val="0"/>
      <w:marTop w:val="0"/>
      <w:marBottom w:val="0"/>
      <w:divBdr>
        <w:top w:val="none" w:sz="0" w:space="0" w:color="auto"/>
        <w:left w:val="none" w:sz="0" w:space="0" w:color="auto"/>
        <w:bottom w:val="none" w:sz="0" w:space="0" w:color="auto"/>
        <w:right w:val="none" w:sz="0" w:space="0" w:color="auto"/>
      </w:divBdr>
    </w:div>
    <w:div w:id="1599826516">
      <w:bodyDiv w:val="1"/>
      <w:marLeft w:val="0"/>
      <w:marRight w:val="0"/>
      <w:marTop w:val="0"/>
      <w:marBottom w:val="0"/>
      <w:divBdr>
        <w:top w:val="none" w:sz="0" w:space="0" w:color="auto"/>
        <w:left w:val="none" w:sz="0" w:space="0" w:color="auto"/>
        <w:bottom w:val="none" w:sz="0" w:space="0" w:color="auto"/>
        <w:right w:val="none" w:sz="0" w:space="0" w:color="auto"/>
      </w:divBdr>
    </w:div>
    <w:div w:id="1600411880">
      <w:bodyDiv w:val="1"/>
      <w:marLeft w:val="0"/>
      <w:marRight w:val="0"/>
      <w:marTop w:val="0"/>
      <w:marBottom w:val="0"/>
      <w:divBdr>
        <w:top w:val="none" w:sz="0" w:space="0" w:color="auto"/>
        <w:left w:val="none" w:sz="0" w:space="0" w:color="auto"/>
        <w:bottom w:val="none" w:sz="0" w:space="0" w:color="auto"/>
        <w:right w:val="none" w:sz="0" w:space="0" w:color="auto"/>
      </w:divBdr>
    </w:div>
    <w:div w:id="1606300839">
      <w:bodyDiv w:val="1"/>
      <w:marLeft w:val="0"/>
      <w:marRight w:val="0"/>
      <w:marTop w:val="0"/>
      <w:marBottom w:val="0"/>
      <w:divBdr>
        <w:top w:val="none" w:sz="0" w:space="0" w:color="auto"/>
        <w:left w:val="none" w:sz="0" w:space="0" w:color="auto"/>
        <w:bottom w:val="none" w:sz="0" w:space="0" w:color="auto"/>
        <w:right w:val="none" w:sz="0" w:space="0" w:color="auto"/>
      </w:divBdr>
    </w:div>
    <w:div w:id="1609921944">
      <w:bodyDiv w:val="1"/>
      <w:marLeft w:val="0"/>
      <w:marRight w:val="0"/>
      <w:marTop w:val="0"/>
      <w:marBottom w:val="0"/>
      <w:divBdr>
        <w:top w:val="none" w:sz="0" w:space="0" w:color="auto"/>
        <w:left w:val="none" w:sz="0" w:space="0" w:color="auto"/>
        <w:bottom w:val="none" w:sz="0" w:space="0" w:color="auto"/>
        <w:right w:val="none" w:sz="0" w:space="0" w:color="auto"/>
      </w:divBdr>
    </w:div>
    <w:div w:id="1612980621">
      <w:bodyDiv w:val="1"/>
      <w:marLeft w:val="0"/>
      <w:marRight w:val="0"/>
      <w:marTop w:val="0"/>
      <w:marBottom w:val="0"/>
      <w:divBdr>
        <w:top w:val="none" w:sz="0" w:space="0" w:color="auto"/>
        <w:left w:val="none" w:sz="0" w:space="0" w:color="auto"/>
        <w:bottom w:val="none" w:sz="0" w:space="0" w:color="auto"/>
        <w:right w:val="none" w:sz="0" w:space="0" w:color="auto"/>
      </w:divBdr>
    </w:div>
    <w:div w:id="1636522751">
      <w:bodyDiv w:val="1"/>
      <w:marLeft w:val="0"/>
      <w:marRight w:val="0"/>
      <w:marTop w:val="0"/>
      <w:marBottom w:val="0"/>
      <w:divBdr>
        <w:top w:val="none" w:sz="0" w:space="0" w:color="auto"/>
        <w:left w:val="none" w:sz="0" w:space="0" w:color="auto"/>
        <w:bottom w:val="none" w:sz="0" w:space="0" w:color="auto"/>
        <w:right w:val="none" w:sz="0" w:space="0" w:color="auto"/>
      </w:divBdr>
    </w:div>
    <w:div w:id="1639453636">
      <w:bodyDiv w:val="1"/>
      <w:marLeft w:val="0"/>
      <w:marRight w:val="0"/>
      <w:marTop w:val="0"/>
      <w:marBottom w:val="0"/>
      <w:divBdr>
        <w:top w:val="none" w:sz="0" w:space="0" w:color="auto"/>
        <w:left w:val="none" w:sz="0" w:space="0" w:color="auto"/>
        <w:bottom w:val="none" w:sz="0" w:space="0" w:color="auto"/>
        <w:right w:val="none" w:sz="0" w:space="0" w:color="auto"/>
      </w:divBdr>
      <w:divsChild>
        <w:div w:id="200364026">
          <w:marLeft w:val="0"/>
          <w:marRight w:val="0"/>
          <w:marTop w:val="0"/>
          <w:marBottom w:val="0"/>
          <w:divBdr>
            <w:top w:val="none" w:sz="0" w:space="0" w:color="auto"/>
            <w:left w:val="none" w:sz="0" w:space="0" w:color="auto"/>
            <w:bottom w:val="none" w:sz="0" w:space="0" w:color="auto"/>
            <w:right w:val="none" w:sz="0" w:space="0" w:color="auto"/>
          </w:divBdr>
        </w:div>
        <w:div w:id="225381526">
          <w:marLeft w:val="0"/>
          <w:marRight w:val="0"/>
          <w:marTop w:val="0"/>
          <w:marBottom w:val="0"/>
          <w:divBdr>
            <w:top w:val="none" w:sz="0" w:space="0" w:color="auto"/>
            <w:left w:val="none" w:sz="0" w:space="0" w:color="auto"/>
            <w:bottom w:val="none" w:sz="0" w:space="0" w:color="auto"/>
            <w:right w:val="none" w:sz="0" w:space="0" w:color="auto"/>
          </w:divBdr>
        </w:div>
        <w:div w:id="520972519">
          <w:marLeft w:val="0"/>
          <w:marRight w:val="0"/>
          <w:marTop w:val="0"/>
          <w:marBottom w:val="0"/>
          <w:divBdr>
            <w:top w:val="none" w:sz="0" w:space="0" w:color="auto"/>
            <w:left w:val="none" w:sz="0" w:space="0" w:color="auto"/>
            <w:bottom w:val="none" w:sz="0" w:space="0" w:color="auto"/>
            <w:right w:val="none" w:sz="0" w:space="0" w:color="auto"/>
          </w:divBdr>
        </w:div>
        <w:div w:id="1028334238">
          <w:marLeft w:val="0"/>
          <w:marRight w:val="0"/>
          <w:marTop w:val="0"/>
          <w:marBottom w:val="0"/>
          <w:divBdr>
            <w:top w:val="none" w:sz="0" w:space="0" w:color="auto"/>
            <w:left w:val="none" w:sz="0" w:space="0" w:color="auto"/>
            <w:bottom w:val="none" w:sz="0" w:space="0" w:color="auto"/>
            <w:right w:val="none" w:sz="0" w:space="0" w:color="auto"/>
          </w:divBdr>
        </w:div>
        <w:div w:id="1036002154">
          <w:marLeft w:val="0"/>
          <w:marRight w:val="0"/>
          <w:marTop w:val="0"/>
          <w:marBottom w:val="0"/>
          <w:divBdr>
            <w:top w:val="none" w:sz="0" w:space="0" w:color="auto"/>
            <w:left w:val="none" w:sz="0" w:space="0" w:color="auto"/>
            <w:bottom w:val="none" w:sz="0" w:space="0" w:color="auto"/>
            <w:right w:val="none" w:sz="0" w:space="0" w:color="auto"/>
          </w:divBdr>
        </w:div>
        <w:div w:id="1070082676">
          <w:marLeft w:val="0"/>
          <w:marRight w:val="0"/>
          <w:marTop w:val="0"/>
          <w:marBottom w:val="0"/>
          <w:divBdr>
            <w:top w:val="none" w:sz="0" w:space="0" w:color="auto"/>
            <w:left w:val="none" w:sz="0" w:space="0" w:color="auto"/>
            <w:bottom w:val="none" w:sz="0" w:space="0" w:color="auto"/>
            <w:right w:val="none" w:sz="0" w:space="0" w:color="auto"/>
          </w:divBdr>
        </w:div>
        <w:div w:id="1204514651">
          <w:marLeft w:val="0"/>
          <w:marRight w:val="0"/>
          <w:marTop w:val="0"/>
          <w:marBottom w:val="0"/>
          <w:divBdr>
            <w:top w:val="none" w:sz="0" w:space="0" w:color="auto"/>
            <w:left w:val="none" w:sz="0" w:space="0" w:color="auto"/>
            <w:bottom w:val="none" w:sz="0" w:space="0" w:color="auto"/>
            <w:right w:val="none" w:sz="0" w:space="0" w:color="auto"/>
          </w:divBdr>
        </w:div>
      </w:divsChild>
    </w:div>
    <w:div w:id="1648197573">
      <w:bodyDiv w:val="1"/>
      <w:marLeft w:val="0"/>
      <w:marRight w:val="0"/>
      <w:marTop w:val="0"/>
      <w:marBottom w:val="0"/>
      <w:divBdr>
        <w:top w:val="none" w:sz="0" w:space="0" w:color="auto"/>
        <w:left w:val="none" w:sz="0" w:space="0" w:color="auto"/>
        <w:bottom w:val="none" w:sz="0" w:space="0" w:color="auto"/>
        <w:right w:val="none" w:sz="0" w:space="0" w:color="auto"/>
      </w:divBdr>
    </w:div>
    <w:div w:id="1650791324">
      <w:bodyDiv w:val="1"/>
      <w:marLeft w:val="0"/>
      <w:marRight w:val="0"/>
      <w:marTop w:val="0"/>
      <w:marBottom w:val="0"/>
      <w:divBdr>
        <w:top w:val="none" w:sz="0" w:space="0" w:color="auto"/>
        <w:left w:val="none" w:sz="0" w:space="0" w:color="auto"/>
        <w:bottom w:val="none" w:sz="0" w:space="0" w:color="auto"/>
        <w:right w:val="none" w:sz="0" w:space="0" w:color="auto"/>
      </w:divBdr>
    </w:div>
    <w:div w:id="1652715328">
      <w:bodyDiv w:val="1"/>
      <w:marLeft w:val="0"/>
      <w:marRight w:val="0"/>
      <w:marTop w:val="0"/>
      <w:marBottom w:val="0"/>
      <w:divBdr>
        <w:top w:val="none" w:sz="0" w:space="0" w:color="auto"/>
        <w:left w:val="none" w:sz="0" w:space="0" w:color="auto"/>
        <w:bottom w:val="none" w:sz="0" w:space="0" w:color="auto"/>
        <w:right w:val="none" w:sz="0" w:space="0" w:color="auto"/>
      </w:divBdr>
      <w:divsChild>
        <w:div w:id="1158229345">
          <w:marLeft w:val="0"/>
          <w:marRight w:val="0"/>
          <w:marTop w:val="0"/>
          <w:marBottom w:val="0"/>
          <w:divBdr>
            <w:top w:val="none" w:sz="0" w:space="0" w:color="auto"/>
            <w:left w:val="none" w:sz="0" w:space="0" w:color="auto"/>
            <w:bottom w:val="none" w:sz="0" w:space="0" w:color="auto"/>
            <w:right w:val="none" w:sz="0" w:space="0" w:color="auto"/>
          </w:divBdr>
        </w:div>
        <w:div w:id="1158812339">
          <w:marLeft w:val="0"/>
          <w:marRight w:val="0"/>
          <w:marTop w:val="0"/>
          <w:marBottom w:val="0"/>
          <w:divBdr>
            <w:top w:val="none" w:sz="0" w:space="0" w:color="auto"/>
            <w:left w:val="none" w:sz="0" w:space="0" w:color="auto"/>
            <w:bottom w:val="none" w:sz="0" w:space="0" w:color="auto"/>
            <w:right w:val="none" w:sz="0" w:space="0" w:color="auto"/>
          </w:divBdr>
        </w:div>
        <w:div w:id="1220943590">
          <w:marLeft w:val="0"/>
          <w:marRight w:val="0"/>
          <w:marTop w:val="0"/>
          <w:marBottom w:val="0"/>
          <w:divBdr>
            <w:top w:val="none" w:sz="0" w:space="0" w:color="auto"/>
            <w:left w:val="none" w:sz="0" w:space="0" w:color="auto"/>
            <w:bottom w:val="none" w:sz="0" w:space="0" w:color="auto"/>
            <w:right w:val="none" w:sz="0" w:space="0" w:color="auto"/>
          </w:divBdr>
        </w:div>
        <w:div w:id="1252079378">
          <w:marLeft w:val="0"/>
          <w:marRight w:val="0"/>
          <w:marTop w:val="0"/>
          <w:marBottom w:val="0"/>
          <w:divBdr>
            <w:top w:val="none" w:sz="0" w:space="0" w:color="auto"/>
            <w:left w:val="none" w:sz="0" w:space="0" w:color="auto"/>
            <w:bottom w:val="none" w:sz="0" w:space="0" w:color="auto"/>
            <w:right w:val="none" w:sz="0" w:space="0" w:color="auto"/>
          </w:divBdr>
        </w:div>
        <w:div w:id="1285773640">
          <w:marLeft w:val="0"/>
          <w:marRight w:val="0"/>
          <w:marTop w:val="0"/>
          <w:marBottom w:val="0"/>
          <w:divBdr>
            <w:top w:val="none" w:sz="0" w:space="0" w:color="auto"/>
            <w:left w:val="none" w:sz="0" w:space="0" w:color="auto"/>
            <w:bottom w:val="none" w:sz="0" w:space="0" w:color="auto"/>
            <w:right w:val="none" w:sz="0" w:space="0" w:color="auto"/>
          </w:divBdr>
        </w:div>
        <w:div w:id="1566338365">
          <w:marLeft w:val="0"/>
          <w:marRight w:val="0"/>
          <w:marTop w:val="0"/>
          <w:marBottom w:val="0"/>
          <w:divBdr>
            <w:top w:val="none" w:sz="0" w:space="0" w:color="auto"/>
            <w:left w:val="none" w:sz="0" w:space="0" w:color="auto"/>
            <w:bottom w:val="none" w:sz="0" w:space="0" w:color="auto"/>
            <w:right w:val="none" w:sz="0" w:space="0" w:color="auto"/>
          </w:divBdr>
        </w:div>
        <w:div w:id="1674185227">
          <w:marLeft w:val="0"/>
          <w:marRight w:val="0"/>
          <w:marTop w:val="0"/>
          <w:marBottom w:val="0"/>
          <w:divBdr>
            <w:top w:val="none" w:sz="0" w:space="0" w:color="auto"/>
            <w:left w:val="none" w:sz="0" w:space="0" w:color="auto"/>
            <w:bottom w:val="none" w:sz="0" w:space="0" w:color="auto"/>
            <w:right w:val="none" w:sz="0" w:space="0" w:color="auto"/>
          </w:divBdr>
        </w:div>
        <w:div w:id="1836846910">
          <w:marLeft w:val="0"/>
          <w:marRight w:val="0"/>
          <w:marTop w:val="0"/>
          <w:marBottom w:val="0"/>
          <w:divBdr>
            <w:top w:val="none" w:sz="0" w:space="0" w:color="auto"/>
            <w:left w:val="none" w:sz="0" w:space="0" w:color="auto"/>
            <w:bottom w:val="none" w:sz="0" w:space="0" w:color="auto"/>
            <w:right w:val="none" w:sz="0" w:space="0" w:color="auto"/>
          </w:divBdr>
        </w:div>
        <w:div w:id="2094937480">
          <w:marLeft w:val="0"/>
          <w:marRight w:val="0"/>
          <w:marTop w:val="0"/>
          <w:marBottom w:val="0"/>
          <w:divBdr>
            <w:top w:val="none" w:sz="0" w:space="0" w:color="auto"/>
            <w:left w:val="none" w:sz="0" w:space="0" w:color="auto"/>
            <w:bottom w:val="none" w:sz="0" w:space="0" w:color="auto"/>
            <w:right w:val="none" w:sz="0" w:space="0" w:color="auto"/>
          </w:divBdr>
        </w:div>
      </w:divsChild>
    </w:div>
    <w:div w:id="1660766291">
      <w:bodyDiv w:val="1"/>
      <w:marLeft w:val="0"/>
      <w:marRight w:val="0"/>
      <w:marTop w:val="0"/>
      <w:marBottom w:val="0"/>
      <w:divBdr>
        <w:top w:val="none" w:sz="0" w:space="0" w:color="auto"/>
        <w:left w:val="none" w:sz="0" w:space="0" w:color="auto"/>
        <w:bottom w:val="none" w:sz="0" w:space="0" w:color="auto"/>
        <w:right w:val="none" w:sz="0" w:space="0" w:color="auto"/>
      </w:divBdr>
    </w:div>
    <w:div w:id="1661497366">
      <w:bodyDiv w:val="1"/>
      <w:marLeft w:val="0"/>
      <w:marRight w:val="0"/>
      <w:marTop w:val="0"/>
      <w:marBottom w:val="0"/>
      <w:divBdr>
        <w:top w:val="none" w:sz="0" w:space="0" w:color="auto"/>
        <w:left w:val="none" w:sz="0" w:space="0" w:color="auto"/>
        <w:bottom w:val="none" w:sz="0" w:space="0" w:color="auto"/>
        <w:right w:val="none" w:sz="0" w:space="0" w:color="auto"/>
      </w:divBdr>
    </w:div>
    <w:div w:id="1664695257">
      <w:bodyDiv w:val="1"/>
      <w:marLeft w:val="0"/>
      <w:marRight w:val="0"/>
      <w:marTop w:val="0"/>
      <w:marBottom w:val="0"/>
      <w:divBdr>
        <w:top w:val="none" w:sz="0" w:space="0" w:color="auto"/>
        <w:left w:val="none" w:sz="0" w:space="0" w:color="auto"/>
        <w:bottom w:val="none" w:sz="0" w:space="0" w:color="auto"/>
        <w:right w:val="none" w:sz="0" w:space="0" w:color="auto"/>
      </w:divBdr>
      <w:divsChild>
        <w:div w:id="129177637">
          <w:marLeft w:val="0"/>
          <w:marRight w:val="0"/>
          <w:marTop w:val="0"/>
          <w:marBottom w:val="0"/>
          <w:divBdr>
            <w:top w:val="none" w:sz="0" w:space="0" w:color="auto"/>
            <w:left w:val="none" w:sz="0" w:space="0" w:color="auto"/>
            <w:bottom w:val="none" w:sz="0" w:space="0" w:color="auto"/>
            <w:right w:val="none" w:sz="0" w:space="0" w:color="auto"/>
          </w:divBdr>
        </w:div>
        <w:div w:id="167910406">
          <w:marLeft w:val="0"/>
          <w:marRight w:val="0"/>
          <w:marTop w:val="0"/>
          <w:marBottom w:val="0"/>
          <w:divBdr>
            <w:top w:val="none" w:sz="0" w:space="0" w:color="auto"/>
            <w:left w:val="none" w:sz="0" w:space="0" w:color="auto"/>
            <w:bottom w:val="none" w:sz="0" w:space="0" w:color="auto"/>
            <w:right w:val="none" w:sz="0" w:space="0" w:color="auto"/>
          </w:divBdr>
        </w:div>
        <w:div w:id="231089405">
          <w:marLeft w:val="0"/>
          <w:marRight w:val="0"/>
          <w:marTop w:val="0"/>
          <w:marBottom w:val="0"/>
          <w:divBdr>
            <w:top w:val="none" w:sz="0" w:space="0" w:color="auto"/>
            <w:left w:val="none" w:sz="0" w:space="0" w:color="auto"/>
            <w:bottom w:val="none" w:sz="0" w:space="0" w:color="auto"/>
            <w:right w:val="none" w:sz="0" w:space="0" w:color="auto"/>
          </w:divBdr>
        </w:div>
        <w:div w:id="274364103">
          <w:marLeft w:val="0"/>
          <w:marRight w:val="0"/>
          <w:marTop w:val="0"/>
          <w:marBottom w:val="0"/>
          <w:divBdr>
            <w:top w:val="none" w:sz="0" w:space="0" w:color="auto"/>
            <w:left w:val="none" w:sz="0" w:space="0" w:color="auto"/>
            <w:bottom w:val="none" w:sz="0" w:space="0" w:color="auto"/>
            <w:right w:val="none" w:sz="0" w:space="0" w:color="auto"/>
          </w:divBdr>
        </w:div>
        <w:div w:id="315455366">
          <w:marLeft w:val="0"/>
          <w:marRight w:val="0"/>
          <w:marTop w:val="0"/>
          <w:marBottom w:val="0"/>
          <w:divBdr>
            <w:top w:val="none" w:sz="0" w:space="0" w:color="auto"/>
            <w:left w:val="none" w:sz="0" w:space="0" w:color="auto"/>
            <w:bottom w:val="none" w:sz="0" w:space="0" w:color="auto"/>
            <w:right w:val="none" w:sz="0" w:space="0" w:color="auto"/>
          </w:divBdr>
        </w:div>
        <w:div w:id="423459236">
          <w:marLeft w:val="0"/>
          <w:marRight w:val="0"/>
          <w:marTop w:val="0"/>
          <w:marBottom w:val="0"/>
          <w:divBdr>
            <w:top w:val="none" w:sz="0" w:space="0" w:color="auto"/>
            <w:left w:val="none" w:sz="0" w:space="0" w:color="auto"/>
            <w:bottom w:val="none" w:sz="0" w:space="0" w:color="auto"/>
            <w:right w:val="none" w:sz="0" w:space="0" w:color="auto"/>
          </w:divBdr>
        </w:div>
        <w:div w:id="524100296">
          <w:marLeft w:val="0"/>
          <w:marRight w:val="0"/>
          <w:marTop w:val="0"/>
          <w:marBottom w:val="0"/>
          <w:divBdr>
            <w:top w:val="none" w:sz="0" w:space="0" w:color="auto"/>
            <w:left w:val="none" w:sz="0" w:space="0" w:color="auto"/>
            <w:bottom w:val="none" w:sz="0" w:space="0" w:color="auto"/>
            <w:right w:val="none" w:sz="0" w:space="0" w:color="auto"/>
          </w:divBdr>
        </w:div>
        <w:div w:id="768156477">
          <w:marLeft w:val="0"/>
          <w:marRight w:val="0"/>
          <w:marTop w:val="0"/>
          <w:marBottom w:val="0"/>
          <w:divBdr>
            <w:top w:val="none" w:sz="0" w:space="0" w:color="auto"/>
            <w:left w:val="none" w:sz="0" w:space="0" w:color="auto"/>
            <w:bottom w:val="none" w:sz="0" w:space="0" w:color="auto"/>
            <w:right w:val="none" w:sz="0" w:space="0" w:color="auto"/>
          </w:divBdr>
        </w:div>
        <w:div w:id="833490177">
          <w:marLeft w:val="0"/>
          <w:marRight w:val="0"/>
          <w:marTop w:val="0"/>
          <w:marBottom w:val="0"/>
          <w:divBdr>
            <w:top w:val="none" w:sz="0" w:space="0" w:color="auto"/>
            <w:left w:val="none" w:sz="0" w:space="0" w:color="auto"/>
            <w:bottom w:val="none" w:sz="0" w:space="0" w:color="auto"/>
            <w:right w:val="none" w:sz="0" w:space="0" w:color="auto"/>
          </w:divBdr>
        </w:div>
        <w:div w:id="865218439">
          <w:marLeft w:val="0"/>
          <w:marRight w:val="0"/>
          <w:marTop w:val="0"/>
          <w:marBottom w:val="0"/>
          <w:divBdr>
            <w:top w:val="none" w:sz="0" w:space="0" w:color="auto"/>
            <w:left w:val="none" w:sz="0" w:space="0" w:color="auto"/>
            <w:bottom w:val="none" w:sz="0" w:space="0" w:color="auto"/>
            <w:right w:val="none" w:sz="0" w:space="0" w:color="auto"/>
          </w:divBdr>
        </w:div>
        <w:div w:id="1080716217">
          <w:marLeft w:val="0"/>
          <w:marRight w:val="0"/>
          <w:marTop w:val="0"/>
          <w:marBottom w:val="0"/>
          <w:divBdr>
            <w:top w:val="none" w:sz="0" w:space="0" w:color="auto"/>
            <w:left w:val="none" w:sz="0" w:space="0" w:color="auto"/>
            <w:bottom w:val="none" w:sz="0" w:space="0" w:color="auto"/>
            <w:right w:val="none" w:sz="0" w:space="0" w:color="auto"/>
          </w:divBdr>
        </w:div>
        <w:div w:id="1272201248">
          <w:marLeft w:val="0"/>
          <w:marRight w:val="0"/>
          <w:marTop w:val="0"/>
          <w:marBottom w:val="0"/>
          <w:divBdr>
            <w:top w:val="none" w:sz="0" w:space="0" w:color="auto"/>
            <w:left w:val="none" w:sz="0" w:space="0" w:color="auto"/>
            <w:bottom w:val="none" w:sz="0" w:space="0" w:color="auto"/>
            <w:right w:val="none" w:sz="0" w:space="0" w:color="auto"/>
          </w:divBdr>
        </w:div>
        <w:div w:id="1297444105">
          <w:marLeft w:val="0"/>
          <w:marRight w:val="0"/>
          <w:marTop w:val="0"/>
          <w:marBottom w:val="0"/>
          <w:divBdr>
            <w:top w:val="none" w:sz="0" w:space="0" w:color="auto"/>
            <w:left w:val="none" w:sz="0" w:space="0" w:color="auto"/>
            <w:bottom w:val="none" w:sz="0" w:space="0" w:color="auto"/>
            <w:right w:val="none" w:sz="0" w:space="0" w:color="auto"/>
          </w:divBdr>
        </w:div>
        <w:div w:id="1359894334">
          <w:marLeft w:val="0"/>
          <w:marRight w:val="0"/>
          <w:marTop w:val="0"/>
          <w:marBottom w:val="0"/>
          <w:divBdr>
            <w:top w:val="none" w:sz="0" w:space="0" w:color="auto"/>
            <w:left w:val="none" w:sz="0" w:space="0" w:color="auto"/>
            <w:bottom w:val="none" w:sz="0" w:space="0" w:color="auto"/>
            <w:right w:val="none" w:sz="0" w:space="0" w:color="auto"/>
          </w:divBdr>
        </w:div>
        <w:div w:id="1527791412">
          <w:marLeft w:val="0"/>
          <w:marRight w:val="0"/>
          <w:marTop w:val="0"/>
          <w:marBottom w:val="0"/>
          <w:divBdr>
            <w:top w:val="none" w:sz="0" w:space="0" w:color="auto"/>
            <w:left w:val="none" w:sz="0" w:space="0" w:color="auto"/>
            <w:bottom w:val="none" w:sz="0" w:space="0" w:color="auto"/>
            <w:right w:val="none" w:sz="0" w:space="0" w:color="auto"/>
          </w:divBdr>
        </w:div>
        <w:div w:id="1596399640">
          <w:marLeft w:val="0"/>
          <w:marRight w:val="0"/>
          <w:marTop w:val="0"/>
          <w:marBottom w:val="0"/>
          <w:divBdr>
            <w:top w:val="none" w:sz="0" w:space="0" w:color="auto"/>
            <w:left w:val="none" w:sz="0" w:space="0" w:color="auto"/>
            <w:bottom w:val="none" w:sz="0" w:space="0" w:color="auto"/>
            <w:right w:val="none" w:sz="0" w:space="0" w:color="auto"/>
          </w:divBdr>
        </w:div>
        <w:div w:id="1664778094">
          <w:marLeft w:val="0"/>
          <w:marRight w:val="0"/>
          <w:marTop w:val="0"/>
          <w:marBottom w:val="0"/>
          <w:divBdr>
            <w:top w:val="none" w:sz="0" w:space="0" w:color="auto"/>
            <w:left w:val="none" w:sz="0" w:space="0" w:color="auto"/>
            <w:bottom w:val="none" w:sz="0" w:space="0" w:color="auto"/>
            <w:right w:val="none" w:sz="0" w:space="0" w:color="auto"/>
          </w:divBdr>
        </w:div>
        <w:div w:id="1884049685">
          <w:marLeft w:val="0"/>
          <w:marRight w:val="0"/>
          <w:marTop w:val="0"/>
          <w:marBottom w:val="0"/>
          <w:divBdr>
            <w:top w:val="none" w:sz="0" w:space="0" w:color="auto"/>
            <w:left w:val="none" w:sz="0" w:space="0" w:color="auto"/>
            <w:bottom w:val="none" w:sz="0" w:space="0" w:color="auto"/>
            <w:right w:val="none" w:sz="0" w:space="0" w:color="auto"/>
          </w:divBdr>
        </w:div>
        <w:div w:id="1888646149">
          <w:marLeft w:val="0"/>
          <w:marRight w:val="0"/>
          <w:marTop w:val="0"/>
          <w:marBottom w:val="0"/>
          <w:divBdr>
            <w:top w:val="none" w:sz="0" w:space="0" w:color="auto"/>
            <w:left w:val="none" w:sz="0" w:space="0" w:color="auto"/>
            <w:bottom w:val="none" w:sz="0" w:space="0" w:color="auto"/>
            <w:right w:val="none" w:sz="0" w:space="0" w:color="auto"/>
          </w:divBdr>
        </w:div>
        <w:div w:id="1892888671">
          <w:marLeft w:val="0"/>
          <w:marRight w:val="0"/>
          <w:marTop w:val="0"/>
          <w:marBottom w:val="0"/>
          <w:divBdr>
            <w:top w:val="none" w:sz="0" w:space="0" w:color="auto"/>
            <w:left w:val="none" w:sz="0" w:space="0" w:color="auto"/>
            <w:bottom w:val="none" w:sz="0" w:space="0" w:color="auto"/>
            <w:right w:val="none" w:sz="0" w:space="0" w:color="auto"/>
          </w:divBdr>
        </w:div>
      </w:divsChild>
    </w:div>
    <w:div w:id="1684162405">
      <w:bodyDiv w:val="1"/>
      <w:marLeft w:val="0"/>
      <w:marRight w:val="0"/>
      <w:marTop w:val="0"/>
      <w:marBottom w:val="0"/>
      <w:divBdr>
        <w:top w:val="none" w:sz="0" w:space="0" w:color="auto"/>
        <w:left w:val="none" w:sz="0" w:space="0" w:color="auto"/>
        <w:bottom w:val="none" w:sz="0" w:space="0" w:color="auto"/>
        <w:right w:val="none" w:sz="0" w:space="0" w:color="auto"/>
      </w:divBdr>
    </w:div>
    <w:div w:id="1685783158">
      <w:bodyDiv w:val="1"/>
      <w:marLeft w:val="0"/>
      <w:marRight w:val="0"/>
      <w:marTop w:val="0"/>
      <w:marBottom w:val="0"/>
      <w:divBdr>
        <w:top w:val="none" w:sz="0" w:space="0" w:color="auto"/>
        <w:left w:val="none" w:sz="0" w:space="0" w:color="auto"/>
        <w:bottom w:val="none" w:sz="0" w:space="0" w:color="auto"/>
        <w:right w:val="none" w:sz="0" w:space="0" w:color="auto"/>
      </w:divBdr>
    </w:div>
    <w:div w:id="1695769770">
      <w:bodyDiv w:val="1"/>
      <w:marLeft w:val="0"/>
      <w:marRight w:val="0"/>
      <w:marTop w:val="0"/>
      <w:marBottom w:val="0"/>
      <w:divBdr>
        <w:top w:val="none" w:sz="0" w:space="0" w:color="auto"/>
        <w:left w:val="none" w:sz="0" w:space="0" w:color="auto"/>
        <w:bottom w:val="none" w:sz="0" w:space="0" w:color="auto"/>
        <w:right w:val="none" w:sz="0" w:space="0" w:color="auto"/>
      </w:divBdr>
    </w:div>
    <w:div w:id="1702242355">
      <w:bodyDiv w:val="1"/>
      <w:marLeft w:val="0"/>
      <w:marRight w:val="0"/>
      <w:marTop w:val="0"/>
      <w:marBottom w:val="0"/>
      <w:divBdr>
        <w:top w:val="none" w:sz="0" w:space="0" w:color="auto"/>
        <w:left w:val="none" w:sz="0" w:space="0" w:color="auto"/>
        <w:bottom w:val="none" w:sz="0" w:space="0" w:color="auto"/>
        <w:right w:val="none" w:sz="0" w:space="0" w:color="auto"/>
      </w:divBdr>
    </w:div>
    <w:div w:id="1708484909">
      <w:bodyDiv w:val="1"/>
      <w:marLeft w:val="0"/>
      <w:marRight w:val="0"/>
      <w:marTop w:val="0"/>
      <w:marBottom w:val="0"/>
      <w:divBdr>
        <w:top w:val="none" w:sz="0" w:space="0" w:color="auto"/>
        <w:left w:val="none" w:sz="0" w:space="0" w:color="auto"/>
        <w:bottom w:val="none" w:sz="0" w:space="0" w:color="auto"/>
        <w:right w:val="none" w:sz="0" w:space="0" w:color="auto"/>
      </w:divBdr>
    </w:div>
    <w:div w:id="1714572995">
      <w:bodyDiv w:val="1"/>
      <w:marLeft w:val="0"/>
      <w:marRight w:val="0"/>
      <w:marTop w:val="0"/>
      <w:marBottom w:val="0"/>
      <w:divBdr>
        <w:top w:val="none" w:sz="0" w:space="0" w:color="auto"/>
        <w:left w:val="none" w:sz="0" w:space="0" w:color="auto"/>
        <w:bottom w:val="none" w:sz="0" w:space="0" w:color="auto"/>
        <w:right w:val="none" w:sz="0" w:space="0" w:color="auto"/>
      </w:divBdr>
      <w:divsChild>
        <w:div w:id="96143046">
          <w:marLeft w:val="0"/>
          <w:marRight w:val="0"/>
          <w:marTop w:val="0"/>
          <w:marBottom w:val="0"/>
          <w:divBdr>
            <w:top w:val="none" w:sz="0" w:space="0" w:color="auto"/>
            <w:left w:val="none" w:sz="0" w:space="0" w:color="auto"/>
            <w:bottom w:val="none" w:sz="0" w:space="0" w:color="auto"/>
            <w:right w:val="none" w:sz="0" w:space="0" w:color="auto"/>
          </w:divBdr>
        </w:div>
        <w:div w:id="551118417">
          <w:marLeft w:val="0"/>
          <w:marRight w:val="0"/>
          <w:marTop w:val="0"/>
          <w:marBottom w:val="0"/>
          <w:divBdr>
            <w:top w:val="none" w:sz="0" w:space="0" w:color="auto"/>
            <w:left w:val="none" w:sz="0" w:space="0" w:color="auto"/>
            <w:bottom w:val="none" w:sz="0" w:space="0" w:color="auto"/>
            <w:right w:val="none" w:sz="0" w:space="0" w:color="auto"/>
          </w:divBdr>
        </w:div>
        <w:div w:id="916403611">
          <w:marLeft w:val="0"/>
          <w:marRight w:val="0"/>
          <w:marTop w:val="0"/>
          <w:marBottom w:val="0"/>
          <w:divBdr>
            <w:top w:val="none" w:sz="0" w:space="0" w:color="auto"/>
            <w:left w:val="none" w:sz="0" w:space="0" w:color="auto"/>
            <w:bottom w:val="none" w:sz="0" w:space="0" w:color="auto"/>
            <w:right w:val="none" w:sz="0" w:space="0" w:color="auto"/>
          </w:divBdr>
        </w:div>
        <w:div w:id="1192185176">
          <w:marLeft w:val="0"/>
          <w:marRight w:val="0"/>
          <w:marTop w:val="0"/>
          <w:marBottom w:val="0"/>
          <w:divBdr>
            <w:top w:val="none" w:sz="0" w:space="0" w:color="auto"/>
            <w:left w:val="none" w:sz="0" w:space="0" w:color="auto"/>
            <w:bottom w:val="none" w:sz="0" w:space="0" w:color="auto"/>
            <w:right w:val="none" w:sz="0" w:space="0" w:color="auto"/>
          </w:divBdr>
        </w:div>
        <w:div w:id="1464538915">
          <w:marLeft w:val="0"/>
          <w:marRight w:val="0"/>
          <w:marTop w:val="0"/>
          <w:marBottom w:val="0"/>
          <w:divBdr>
            <w:top w:val="none" w:sz="0" w:space="0" w:color="auto"/>
            <w:left w:val="none" w:sz="0" w:space="0" w:color="auto"/>
            <w:bottom w:val="none" w:sz="0" w:space="0" w:color="auto"/>
            <w:right w:val="none" w:sz="0" w:space="0" w:color="auto"/>
          </w:divBdr>
        </w:div>
      </w:divsChild>
    </w:div>
    <w:div w:id="1739403380">
      <w:bodyDiv w:val="1"/>
      <w:marLeft w:val="0"/>
      <w:marRight w:val="0"/>
      <w:marTop w:val="0"/>
      <w:marBottom w:val="0"/>
      <w:divBdr>
        <w:top w:val="none" w:sz="0" w:space="0" w:color="auto"/>
        <w:left w:val="none" w:sz="0" w:space="0" w:color="auto"/>
        <w:bottom w:val="none" w:sz="0" w:space="0" w:color="auto"/>
        <w:right w:val="none" w:sz="0" w:space="0" w:color="auto"/>
      </w:divBdr>
    </w:div>
    <w:div w:id="1753889478">
      <w:bodyDiv w:val="1"/>
      <w:marLeft w:val="0"/>
      <w:marRight w:val="0"/>
      <w:marTop w:val="0"/>
      <w:marBottom w:val="0"/>
      <w:divBdr>
        <w:top w:val="none" w:sz="0" w:space="0" w:color="auto"/>
        <w:left w:val="none" w:sz="0" w:space="0" w:color="auto"/>
        <w:bottom w:val="none" w:sz="0" w:space="0" w:color="auto"/>
        <w:right w:val="none" w:sz="0" w:space="0" w:color="auto"/>
      </w:divBdr>
    </w:div>
    <w:div w:id="1759015234">
      <w:bodyDiv w:val="1"/>
      <w:marLeft w:val="0"/>
      <w:marRight w:val="0"/>
      <w:marTop w:val="0"/>
      <w:marBottom w:val="0"/>
      <w:divBdr>
        <w:top w:val="none" w:sz="0" w:space="0" w:color="auto"/>
        <w:left w:val="none" w:sz="0" w:space="0" w:color="auto"/>
        <w:bottom w:val="none" w:sz="0" w:space="0" w:color="auto"/>
        <w:right w:val="none" w:sz="0" w:space="0" w:color="auto"/>
      </w:divBdr>
    </w:div>
    <w:div w:id="1771779698">
      <w:bodyDiv w:val="1"/>
      <w:marLeft w:val="0"/>
      <w:marRight w:val="0"/>
      <w:marTop w:val="0"/>
      <w:marBottom w:val="0"/>
      <w:divBdr>
        <w:top w:val="none" w:sz="0" w:space="0" w:color="auto"/>
        <w:left w:val="none" w:sz="0" w:space="0" w:color="auto"/>
        <w:bottom w:val="none" w:sz="0" w:space="0" w:color="auto"/>
        <w:right w:val="none" w:sz="0" w:space="0" w:color="auto"/>
      </w:divBdr>
    </w:div>
    <w:div w:id="1776514798">
      <w:bodyDiv w:val="1"/>
      <w:marLeft w:val="0"/>
      <w:marRight w:val="0"/>
      <w:marTop w:val="0"/>
      <w:marBottom w:val="0"/>
      <w:divBdr>
        <w:top w:val="none" w:sz="0" w:space="0" w:color="auto"/>
        <w:left w:val="none" w:sz="0" w:space="0" w:color="auto"/>
        <w:bottom w:val="none" w:sz="0" w:space="0" w:color="auto"/>
        <w:right w:val="none" w:sz="0" w:space="0" w:color="auto"/>
      </w:divBdr>
    </w:div>
    <w:div w:id="1808160850">
      <w:bodyDiv w:val="1"/>
      <w:marLeft w:val="0"/>
      <w:marRight w:val="0"/>
      <w:marTop w:val="0"/>
      <w:marBottom w:val="0"/>
      <w:divBdr>
        <w:top w:val="none" w:sz="0" w:space="0" w:color="auto"/>
        <w:left w:val="none" w:sz="0" w:space="0" w:color="auto"/>
        <w:bottom w:val="none" w:sz="0" w:space="0" w:color="auto"/>
        <w:right w:val="none" w:sz="0" w:space="0" w:color="auto"/>
      </w:divBdr>
      <w:divsChild>
        <w:div w:id="3098196">
          <w:marLeft w:val="0"/>
          <w:marRight w:val="0"/>
          <w:marTop w:val="0"/>
          <w:marBottom w:val="0"/>
          <w:divBdr>
            <w:top w:val="none" w:sz="0" w:space="0" w:color="auto"/>
            <w:left w:val="none" w:sz="0" w:space="0" w:color="auto"/>
            <w:bottom w:val="none" w:sz="0" w:space="0" w:color="auto"/>
            <w:right w:val="none" w:sz="0" w:space="0" w:color="auto"/>
          </w:divBdr>
        </w:div>
        <w:div w:id="50807499">
          <w:marLeft w:val="0"/>
          <w:marRight w:val="0"/>
          <w:marTop w:val="0"/>
          <w:marBottom w:val="0"/>
          <w:divBdr>
            <w:top w:val="none" w:sz="0" w:space="0" w:color="auto"/>
            <w:left w:val="none" w:sz="0" w:space="0" w:color="auto"/>
            <w:bottom w:val="none" w:sz="0" w:space="0" w:color="auto"/>
            <w:right w:val="none" w:sz="0" w:space="0" w:color="auto"/>
          </w:divBdr>
        </w:div>
        <w:div w:id="54548685">
          <w:marLeft w:val="0"/>
          <w:marRight w:val="0"/>
          <w:marTop w:val="0"/>
          <w:marBottom w:val="0"/>
          <w:divBdr>
            <w:top w:val="none" w:sz="0" w:space="0" w:color="auto"/>
            <w:left w:val="none" w:sz="0" w:space="0" w:color="auto"/>
            <w:bottom w:val="none" w:sz="0" w:space="0" w:color="auto"/>
            <w:right w:val="none" w:sz="0" w:space="0" w:color="auto"/>
          </w:divBdr>
        </w:div>
        <w:div w:id="72510509">
          <w:marLeft w:val="0"/>
          <w:marRight w:val="0"/>
          <w:marTop w:val="0"/>
          <w:marBottom w:val="0"/>
          <w:divBdr>
            <w:top w:val="none" w:sz="0" w:space="0" w:color="auto"/>
            <w:left w:val="none" w:sz="0" w:space="0" w:color="auto"/>
            <w:bottom w:val="none" w:sz="0" w:space="0" w:color="auto"/>
            <w:right w:val="none" w:sz="0" w:space="0" w:color="auto"/>
          </w:divBdr>
        </w:div>
        <w:div w:id="76247584">
          <w:marLeft w:val="0"/>
          <w:marRight w:val="0"/>
          <w:marTop w:val="0"/>
          <w:marBottom w:val="0"/>
          <w:divBdr>
            <w:top w:val="none" w:sz="0" w:space="0" w:color="auto"/>
            <w:left w:val="none" w:sz="0" w:space="0" w:color="auto"/>
            <w:bottom w:val="none" w:sz="0" w:space="0" w:color="auto"/>
            <w:right w:val="none" w:sz="0" w:space="0" w:color="auto"/>
          </w:divBdr>
        </w:div>
        <w:div w:id="95685053">
          <w:marLeft w:val="0"/>
          <w:marRight w:val="0"/>
          <w:marTop w:val="0"/>
          <w:marBottom w:val="0"/>
          <w:divBdr>
            <w:top w:val="none" w:sz="0" w:space="0" w:color="auto"/>
            <w:left w:val="none" w:sz="0" w:space="0" w:color="auto"/>
            <w:bottom w:val="none" w:sz="0" w:space="0" w:color="auto"/>
            <w:right w:val="none" w:sz="0" w:space="0" w:color="auto"/>
          </w:divBdr>
        </w:div>
        <w:div w:id="124930436">
          <w:marLeft w:val="0"/>
          <w:marRight w:val="0"/>
          <w:marTop w:val="0"/>
          <w:marBottom w:val="0"/>
          <w:divBdr>
            <w:top w:val="none" w:sz="0" w:space="0" w:color="auto"/>
            <w:left w:val="none" w:sz="0" w:space="0" w:color="auto"/>
            <w:bottom w:val="none" w:sz="0" w:space="0" w:color="auto"/>
            <w:right w:val="none" w:sz="0" w:space="0" w:color="auto"/>
          </w:divBdr>
        </w:div>
        <w:div w:id="147745673">
          <w:marLeft w:val="0"/>
          <w:marRight w:val="0"/>
          <w:marTop w:val="0"/>
          <w:marBottom w:val="0"/>
          <w:divBdr>
            <w:top w:val="none" w:sz="0" w:space="0" w:color="auto"/>
            <w:left w:val="none" w:sz="0" w:space="0" w:color="auto"/>
            <w:bottom w:val="none" w:sz="0" w:space="0" w:color="auto"/>
            <w:right w:val="none" w:sz="0" w:space="0" w:color="auto"/>
          </w:divBdr>
        </w:div>
        <w:div w:id="207256878">
          <w:marLeft w:val="0"/>
          <w:marRight w:val="0"/>
          <w:marTop w:val="0"/>
          <w:marBottom w:val="0"/>
          <w:divBdr>
            <w:top w:val="none" w:sz="0" w:space="0" w:color="auto"/>
            <w:left w:val="none" w:sz="0" w:space="0" w:color="auto"/>
            <w:bottom w:val="none" w:sz="0" w:space="0" w:color="auto"/>
            <w:right w:val="none" w:sz="0" w:space="0" w:color="auto"/>
          </w:divBdr>
        </w:div>
        <w:div w:id="243925214">
          <w:marLeft w:val="0"/>
          <w:marRight w:val="0"/>
          <w:marTop w:val="0"/>
          <w:marBottom w:val="0"/>
          <w:divBdr>
            <w:top w:val="none" w:sz="0" w:space="0" w:color="auto"/>
            <w:left w:val="none" w:sz="0" w:space="0" w:color="auto"/>
            <w:bottom w:val="none" w:sz="0" w:space="0" w:color="auto"/>
            <w:right w:val="none" w:sz="0" w:space="0" w:color="auto"/>
          </w:divBdr>
        </w:div>
        <w:div w:id="247151991">
          <w:marLeft w:val="0"/>
          <w:marRight w:val="0"/>
          <w:marTop w:val="0"/>
          <w:marBottom w:val="0"/>
          <w:divBdr>
            <w:top w:val="none" w:sz="0" w:space="0" w:color="auto"/>
            <w:left w:val="none" w:sz="0" w:space="0" w:color="auto"/>
            <w:bottom w:val="none" w:sz="0" w:space="0" w:color="auto"/>
            <w:right w:val="none" w:sz="0" w:space="0" w:color="auto"/>
          </w:divBdr>
        </w:div>
        <w:div w:id="253562754">
          <w:marLeft w:val="0"/>
          <w:marRight w:val="0"/>
          <w:marTop w:val="0"/>
          <w:marBottom w:val="0"/>
          <w:divBdr>
            <w:top w:val="none" w:sz="0" w:space="0" w:color="auto"/>
            <w:left w:val="none" w:sz="0" w:space="0" w:color="auto"/>
            <w:bottom w:val="none" w:sz="0" w:space="0" w:color="auto"/>
            <w:right w:val="none" w:sz="0" w:space="0" w:color="auto"/>
          </w:divBdr>
        </w:div>
        <w:div w:id="255672558">
          <w:marLeft w:val="0"/>
          <w:marRight w:val="0"/>
          <w:marTop w:val="0"/>
          <w:marBottom w:val="0"/>
          <w:divBdr>
            <w:top w:val="none" w:sz="0" w:space="0" w:color="auto"/>
            <w:left w:val="none" w:sz="0" w:space="0" w:color="auto"/>
            <w:bottom w:val="none" w:sz="0" w:space="0" w:color="auto"/>
            <w:right w:val="none" w:sz="0" w:space="0" w:color="auto"/>
          </w:divBdr>
        </w:div>
        <w:div w:id="258222558">
          <w:marLeft w:val="0"/>
          <w:marRight w:val="0"/>
          <w:marTop w:val="0"/>
          <w:marBottom w:val="0"/>
          <w:divBdr>
            <w:top w:val="none" w:sz="0" w:space="0" w:color="auto"/>
            <w:left w:val="none" w:sz="0" w:space="0" w:color="auto"/>
            <w:bottom w:val="none" w:sz="0" w:space="0" w:color="auto"/>
            <w:right w:val="none" w:sz="0" w:space="0" w:color="auto"/>
          </w:divBdr>
        </w:div>
        <w:div w:id="296450407">
          <w:marLeft w:val="0"/>
          <w:marRight w:val="0"/>
          <w:marTop w:val="0"/>
          <w:marBottom w:val="0"/>
          <w:divBdr>
            <w:top w:val="none" w:sz="0" w:space="0" w:color="auto"/>
            <w:left w:val="none" w:sz="0" w:space="0" w:color="auto"/>
            <w:bottom w:val="none" w:sz="0" w:space="0" w:color="auto"/>
            <w:right w:val="none" w:sz="0" w:space="0" w:color="auto"/>
          </w:divBdr>
        </w:div>
        <w:div w:id="315500257">
          <w:marLeft w:val="0"/>
          <w:marRight w:val="0"/>
          <w:marTop w:val="0"/>
          <w:marBottom w:val="0"/>
          <w:divBdr>
            <w:top w:val="none" w:sz="0" w:space="0" w:color="auto"/>
            <w:left w:val="none" w:sz="0" w:space="0" w:color="auto"/>
            <w:bottom w:val="none" w:sz="0" w:space="0" w:color="auto"/>
            <w:right w:val="none" w:sz="0" w:space="0" w:color="auto"/>
          </w:divBdr>
        </w:div>
        <w:div w:id="318466334">
          <w:marLeft w:val="0"/>
          <w:marRight w:val="0"/>
          <w:marTop w:val="0"/>
          <w:marBottom w:val="0"/>
          <w:divBdr>
            <w:top w:val="none" w:sz="0" w:space="0" w:color="auto"/>
            <w:left w:val="none" w:sz="0" w:space="0" w:color="auto"/>
            <w:bottom w:val="none" w:sz="0" w:space="0" w:color="auto"/>
            <w:right w:val="none" w:sz="0" w:space="0" w:color="auto"/>
          </w:divBdr>
        </w:div>
        <w:div w:id="391121698">
          <w:marLeft w:val="0"/>
          <w:marRight w:val="0"/>
          <w:marTop w:val="0"/>
          <w:marBottom w:val="0"/>
          <w:divBdr>
            <w:top w:val="none" w:sz="0" w:space="0" w:color="auto"/>
            <w:left w:val="none" w:sz="0" w:space="0" w:color="auto"/>
            <w:bottom w:val="none" w:sz="0" w:space="0" w:color="auto"/>
            <w:right w:val="none" w:sz="0" w:space="0" w:color="auto"/>
          </w:divBdr>
        </w:div>
        <w:div w:id="452796052">
          <w:marLeft w:val="0"/>
          <w:marRight w:val="0"/>
          <w:marTop w:val="0"/>
          <w:marBottom w:val="0"/>
          <w:divBdr>
            <w:top w:val="none" w:sz="0" w:space="0" w:color="auto"/>
            <w:left w:val="none" w:sz="0" w:space="0" w:color="auto"/>
            <w:bottom w:val="none" w:sz="0" w:space="0" w:color="auto"/>
            <w:right w:val="none" w:sz="0" w:space="0" w:color="auto"/>
          </w:divBdr>
        </w:div>
        <w:div w:id="465927912">
          <w:marLeft w:val="0"/>
          <w:marRight w:val="0"/>
          <w:marTop w:val="0"/>
          <w:marBottom w:val="0"/>
          <w:divBdr>
            <w:top w:val="none" w:sz="0" w:space="0" w:color="auto"/>
            <w:left w:val="none" w:sz="0" w:space="0" w:color="auto"/>
            <w:bottom w:val="none" w:sz="0" w:space="0" w:color="auto"/>
            <w:right w:val="none" w:sz="0" w:space="0" w:color="auto"/>
          </w:divBdr>
        </w:div>
        <w:div w:id="468938605">
          <w:marLeft w:val="0"/>
          <w:marRight w:val="0"/>
          <w:marTop w:val="0"/>
          <w:marBottom w:val="0"/>
          <w:divBdr>
            <w:top w:val="none" w:sz="0" w:space="0" w:color="auto"/>
            <w:left w:val="none" w:sz="0" w:space="0" w:color="auto"/>
            <w:bottom w:val="none" w:sz="0" w:space="0" w:color="auto"/>
            <w:right w:val="none" w:sz="0" w:space="0" w:color="auto"/>
          </w:divBdr>
        </w:div>
        <w:div w:id="470755120">
          <w:marLeft w:val="0"/>
          <w:marRight w:val="0"/>
          <w:marTop w:val="0"/>
          <w:marBottom w:val="0"/>
          <w:divBdr>
            <w:top w:val="none" w:sz="0" w:space="0" w:color="auto"/>
            <w:left w:val="none" w:sz="0" w:space="0" w:color="auto"/>
            <w:bottom w:val="none" w:sz="0" w:space="0" w:color="auto"/>
            <w:right w:val="none" w:sz="0" w:space="0" w:color="auto"/>
          </w:divBdr>
        </w:div>
        <w:div w:id="496727693">
          <w:marLeft w:val="0"/>
          <w:marRight w:val="0"/>
          <w:marTop w:val="0"/>
          <w:marBottom w:val="0"/>
          <w:divBdr>
            <w:top w:val="none" w:sz="0" w:space="0" w:color="auto"/>
            <w:left w:val="none" w:sz="0" w:space="0" w:color="auto"/>
            <w:bottom w:val="none" w:sz="0" w:space="0" w:color="auto"/>
            <w:right w:val="none" w:sz="0" w:space="0" w:color="auto"/>
          </w:divBdr>
        </w:div>
        <w:div w:id="505098715">
          <w:marLeft w:val="0"/>
          <w:marRight w:val="0"/>
          <w:marTop w:val="0"/>
          <w:marBottom w:val="0"/>
          <w:divBdr>
            <w:top w:val="none" w:sz="0" w:space="0" w:color="auto"/>
            <w:left w:val="none" w:sz="0" w:space="0" w:color="auto"/>
            <w:bottom w:val="none" w:sz="0" w:space="0" w:color="auto"/>
            <w:right w:val="none" w:sz="0" w:space="0" w:color="auto"/>
          </w:divBdr>
        </w:div>
        <w:div w:id="516769404">
          <w:marLeft w:val="0"/>
          <w:marRight w:val="0"/>
          <w:marTop w:val="0"/>
          <w:marBottom w:val="0"/>
          <w:divBdr>
            <w:top w:val="none" w:sz="0" w:space="0" w:color="auto"/>
            <w:left w:val="none" w:sz="0" w:space="0" w:color="auto"/>
            <w:bottom w:val="none" w:sz="0" w:space="0" w:color="auto"/>
            <w:right w:val="none" w:sz="0" w:space="0" w:color="auto"/>
          </w:divBdr>
        </w:div>
        <w:div w:id="537205082">
          <w:marLeft w:val="0"/>
          <w:marRight w:val="0"/>
          <w:marTop w:val="0"/>
          <w:marBottom w:val="0"/>
          <w:divBdr>
            <w:top w:val="none" w:sz="0" w:space="0" w:color="auto"/>
            <w:left w:val="none" w:sz="0" w:space="0" w:color="auto"/>
            <w:bottom w:val="none" w:sz="0" w:space="0" w:color="auto"/>
            <w:right w:val="none" w:sz="0" w:space="0" w:color="auto"/>
          </w:divBdr>
        </w:div>
        <w:div w:id="537397163">
          <w:marLeft w:val="0"/>
          <w:marRight w:val="0"/>
          <w:marTop w:val="0"/>
          <w:marBottom w:val="0"/>
          <w:divBdr>
            <w:top w:val="none" w:sz="0" w:space="0" w:color="auto"/>
            <w:left w:val="none" w:sz="0" w:space="0" w:color="auto"/>
            <w:bottom w:val="none" w:sz="0" w:space="0" w:color="auto"/>
            <w:right w:val="none" w:sz="0" w:space="0" w:color="auto"/>
          </w:divBdr>
        </w:div>
        <w:div w:id="561253210">
          <w:marLeft w:val="0"/>
          <w:marRight w:val="0"/>
          <w:marTop w:val="0"/>
          <w:marBottom w:val="0"/>
          <w:divBdr>
            <w:top w:val="none" w:sz="0" w:space="0" w:color="auto"/>
            <w:left w:val="none" w:sz="0" w:space="0" w:color="auto"/>
            <w:bottom w:val="none" w:sz="0" w:space="0" w:color="auto"/>
            <w:right w:val="none" w:sz="0" w:space="0" w:color="auto"/>
          </w:divBdr>
        </w:div>
        <w:div w:id="575553317">
          <w:marLeft w:val="0"/>
          <w:marRight w:val="0"/>
          <w:marTop w:val="0"/>
          <w:marBottom w:val="0"/>
          <w:divBdr>
            <w:top w:val="none" w:sz="0" w:space="0" w:color="auto"/>
            <w:left w:val="none" w:sz="0" w:space="0" w:color="auto"/>
            <w:bottom w:val="none" w:sz="0" w:space="0" w:color="auto"/>
            <w:right w:val="none" w:sz="0" w:space="0" w:color="auto"/>
          </w:divBdr>
        </w:div>
        <w:div w:id="581792941">
          <w:marLeft w:val="0"/>
          <w:marRight w:val="0"/>
          <w:marTop w:val="0"/>
          <w:marBottom w:val="0"/>
          <w:divBdr>
            <w:top w:val="none" w:sz="0" w:space="0" w:color="auto"/>
            <w:left w:val="none" w:sz="0" w:space="0" w:color="auto"/>
            <w:bottom w:val="none" w:sz="0" w:space="0" w:color="auto"/>
            <w:right w:val="none" w:sz="0" w:space="0" w:color="auto"/>
          </w:divBdr>
        </w:div>
        <w:div w:id="590435463">
          <w:marLeft w:val="0"/>
          <w:marRight w:val="0"/>
          <w:marTop w:val="0"/>
          <w:marBottom w:val="0"/>
          <w:divBdr>
            <w:top w:val="none" w:sz="0" w:space="0" w:color="auto"/>
            <w:left w:val="none" w:sz="0" w:space="0" w:color="auto"/>
            <w:bottom w:val="none" w:sz="0" w:space="0" w:color="auto"/>
            <w:right w:val="none" w:sz="0" w:space="0" w:color="auto"/>
          </w:divBdr>
        </w:div>
        <w:div w:id="611935081">
          <w:marLeft w:val="0"/>
          <w:marRight w:val="0"/>
          <w:marTop w:val="0"/>
          <w:marBottom w:val="0"/>
          <w:divBdr>
            <w:top w:val="none" w:sz="0" w:space="0" w:color="auto"/>
            <w:left w:val="none" w:sz="0" w:space="0" w:color="auto"/>
            <w:bottom w:val="none" w:sz="0" w:space="0" w:color="auto"/>
            <w:right w:val="none" w:sz="0" w:space="0" w:color="auto"/>
          </w:divBdr>
        </w:div>
        <w:div w:id="621301630">
          <w:marLeft w:val="0"/>
          <w:marRight w:val="0"/>
          <w:marTop w:val="0"/>
          <w:marBottom w:val="0"/>
          <w:divBdr>
            <w:top w:val="none" w:sz="0" w:space="0" w:color="auto"/>
            <w:left w:val="none" w:sz="0" w:space="0" w:color="auto"/>
            <w:bottom w:val="none" w:sz="0" w:space="0" w:color="auto"/>
            <w:right w:val="none" w:sz="0" w:space="0" w:color="auto"/>
          </w:divBdr>
        </w:div>
        <w:div w:id="625891894">
          <w:marLeft w:val="0"/>
          <w:marRight w:val="0"/>
          <w:marTop w:val="0"/>
          <w:marBottom w:val="0"/>
          <w:divBdr>
            <w:top w:val="none" w:sz="0" w:space="0" w:color="auto"/>
            <w:left w:val="none" w:sz="0" w:space="0" w:color="auto"/>
            <w:bottom w:val="none" w:sz="0" w:space="0" w:color="auto"/>
            <w:right w:val="none" w:sz="0" w:space="0" w:color="auto"/>
          </w:divBdr>
        </w:div>
        <w:div w:id="657268412">
          <w:marLeft w:val="0"/>
          <w:marRight w:val="0"/>
          <w:marTop w:val="0"/>
          <w:marBottom w:val="0"/>
          <w:divBdr>
            <w:top w:val="none" w:sz="0" w:space="0" w:color="auto"/>
            <w:left w:val="none" w:sz="0" w:space="0" w:color="auto"/>
            <w:bottom w:val="none" w:sz="0" w:space="0" w:color="auto"/>
            <w:right w:val="none" w:sz="0" w:space="0" w:color="auto"/>
          </w:divBdr>
        </w:div>
        <w:div w:id="675427361">
          <w:marLeft w:val="0"/>
          <w:marRight w:val="0"/>
          <w:marTop w:val="0"/>
          <w:marBottom w:val="0"/>
          <w:divBdr>
            <w:top w:val="none" w:sz="0" w:space="0" w:color="auto"/>
            <w:left w:val="none" w:sz="0" w:space="0" w:color="auto"/>
            <w:bottom w:val="none" w:sz="0" w:space="0" w:color="auto"/>
            <w:right w:val="none" w:sz="0" w:space="0" w:color="auto"/>
          </w:divBdr>
        </w:div>
        <w:div w:id="679165696">
          <w:marLeft w:val="0"/>
          <w:marRight w:val="0"/>
          <w:marTop w:val="0"/>
          <w:marBottom w:val="0"/>
          <w:divBdr>
            <w:top w:val="none" w:sz="0" w:space="0" w:color="auto"/>
            <w:left w:val="none" w:sz="0" w:space="0" w:color="auto"/>
            <w:bottom w:val="none" w:sz="0" w:space="0" w:color="auto"/>
            <w:right w:val="none" w:sz="0" w:space="0" w:color="auto"/>
          </w:divBdr>
        </w:div>
        <w:div w:id="683827944">
          <w:marLeft w:val="0"/>
          <w:marRight w:val="0"/>
          <w:marTop w:val="0"/>
          <w:marBottom w:val="0"/>
          <w:divBdr>
            <w:top w:val="none" w:sz="0" w:space="0" w:color="auto"/>
            <w:left w:val="none" w:sz="0" w:space="0" w:color="auto"/>
            <w:bottom w:val="none" w:sz="0" w:space="0" w:color="auto"/>
            <w:right w:val="none" w:sz="0" w:space="0" w:color="auto"/>
          </w:divBdr>
        </w:div>
        <w:div w:id="686558946">
          <w:marLeft w:val="0"/>
          <w:marRight w:val="0"/>
          <w:marTop w:val="0"/>
          <w:marBottom w:val="0"/>
          <w:divBdr>
            <w:top w:val="none" w:sz="0" w:space="0" w:color="auto"/>
            <w:left w:val="none" w:sz="0" w:space="0" w:color="auto"/>
            <w:bottom w:val="none" w:sz="0" w:space="0" w:color="auto"/>
            <w:right w:val="none" w:sz="0" w:space="0" w:color="auto"/>
          </w:divBdr>
        </w:div>
        <w:div w:id="703791547">
          <w:marLeft w:val="0"/>
          <w:marRight w:val="0"/>
          <w:marTop w:val="0"/>
          <w:marBottom w:val="0"/>
          <w:divBdr>
            <w:top w:val="none" w:sz="0" w:space="0" w:color="auto"/>
            <w:left w:val="none" w:sz="0" w:space="0" w:color="auto"/>
            <w:bottom w:val="none" w:sz="0" w:space="0" w:color="auto"/>
            <w:right w:val="none" w:sz="0" w:space="0" w:color="auto"/>
          </w:divBdr>
        </w:div>
        <w:div w:id="727191321">
          <w:marLeft w:val="0"/>
          <w:marRight w:val="0"/>
          <w:marTop w:val="0"/>
          <w:marBottom w:val="0"/>
          <w:divBdr>
            <w:top w:val="none" w:sz="0" w:space="0" w:color="auto"/>
            <w:left w:val="none" w:sz="0" w:space="0" w:color="auto"/>
            <w:bottom w:val="none" w:sz="0" w:space="0" w:color="auto"/>
            <w:right w:val="none" w:sz="0" w:space="0" w:color="auto"/>
          </w:divBdr>
        </w:div>
        <w:div w:id="729498971">
          <w:marLeft w:val="0"/>
          <w:marRight w:val="0"/>
          <w:marTop w:val="0"/>
          <w:marBottom w:val="0"/>
          <w:divBdr>
            <w:top w:val="none" w:sz="0" w:space="0" w:color="auto"/>
            <w:left w:val="none" w:sz="0" w:space="0" w:color="auto"/>
            <w:bottom w:val="none" w:sz="0" w:space="0" w:color="auto"/>
            <w:right w:val="none" w:sz="0" w:space="0" w:color="auto"/>
          </w:divBdr>
        </w:div>
        <w:div w:id="758138830">
          <w:marLeft w:val="0"/>
          <w:marRight w:val="0"/>
          <w:marTop w:val="0"/>
          <w:marBottom w:val="0"/>
          <w:divBdr>
            <w:top w:val="none" w:sz="0" w:space="0" w:color="auto"/>
            <w:left w:val="none" w:sz="0" w:space="0" w:color="auto"/>
            <w:bottom w:val="none" w:sz="0" w:space="0" w:color="auto"/>
            <w:right w:val="none" w:sz="0" w:space="0" w:color="auto"/>
          </w:divBdr>
        </w:div>
        <w:div w:id="764569360">
          <w:marLeft w:val="0"/>
          <w:marRight w:val="0"/>
          <w:marTop w:val="0"/>
          <w:marBottom w:val="0"/>
          <w:divBdr>
            <w:top w:val="none" w:sz="0" w:space="0" w:color="auto"/>
            <w:left w:val="none" w:sz="0" w:space="0" w:color="auto"/>
            <w:bottom w:val="none" w:sz="0" w:space="0" w:color="auto"/>
            <w:right w:val="none" w:sz="0" w:space="0" w:color="auto"/>
          </w:divBdr>
        </w:div>
        <w:div w:id="816652942">
          <w:marLeft w:val="0"/>
          <w:marRight w:val="0"/>
          <w:marTop w:val="0"/>
          <w:marBottom w:val="0"/>
          <w:divBdr>
            <w:top w:val="none" w:sz="0" w:space="0" w:color="auto"/>
            <w:left w:val="none" w:sz="0" w:space="0" w:color="auto"/>
            <w:bottom w:val="none" w:sz="0" w:space="0" w:color="auto"/>
            <w:right w:val="none" w:sz="0" w:space="0" w:color="auto"/>
          </w:divBdr>
        </w:div>
        <w:div w:id="858737802">
          <w:marLeft w:val="0"/>
          <w:marRight w:val="0"/>
          <w:marTop w:val="0"/>
          <w:marBottom w:val="0"/>
          <w:divBdr>
            <w:top w:val="none" w:sz="0" w:space="0" w:color="auto"/>
            <w:left w:val="none" w:sz="0" w:space="0" w:color="auto"/>
            <w:bottom w:val="none" w:sz="0" w:space="0" w:color="auto"/>
            <w:right w:val="none" w:sz="0" w:space="0" w:color="auto"/>
          </w:divBdr>
        </w:div>
        <w:div w:id="890926748">
          <w:marLeft w:val="0"/>
          <w:marRight w:val="0"/>
          <w:marTop w:val="0"/>
          <w:marBottom w:val="0"/>
          <w:divBdr>
            <w:top w:val="none" w:sz="0" w:space="0" w:color="auto"/>
            <w:left w:val="none" w:sz="0" w:space="0" w:color="auto"/>
            <w:bottom w:val="none" w:sz="0" w:space="0" w:color="auto"/>
            <w:right w:val="none" w:sz="0" w:space="0" w:color="auto"/>
          </w:divBdr>
        </w:div>
        <w:div w:id="958419013">
          <w:marLeft w:val="0"/>
          <w:marRight w:val="0"/>
          <w:marTop w:val="0"/>
          <w:marBottom w:val="0"/>
          <w:divBdr>
            <w:top w:val="none" w:sz="0" w:space="0" w:color="auto"/>
            <w:left w:val="none" w:sz="0" w:space="0" w:color="auto"/>
            <w:bottom w:val="none" w:sz="0" w:space="0" w:color="auto"/>
            <w:right w:val="none" w:sz="0" w:space="0" w:color="auto"/>
          </w:divBdr>
        </w:div>
        <w:div w:id="963534225">
          <w:marLeft w:val="0"/>
          <w:marRight w:val="0"/>
          <w:marTop w:val="0"/>
          <w:marBottom w:val="0"/>
          <w:divBdr>
            <w:top w:val="none" w:sz="0" w:space="0" w:color="auto"/>
            <w:left w:val="none" w:sz="0" w:space="0" w:color="auto"/>
            <w:bottom w:val="none" w:sz="0" w:space="0" w:color="auto"/>
            <w:right w:val="none" w:sz="0" w:space="0" w:color="auto"/>
          </w:divBdr>
        </w:div>
        <w:div w:id="1003820237">
          <w:marLeft w:val="0"/>
          <w:marRight w:val="0"/>
          <w:marTop w:val="0"/>
          <w:marBottom w:val="0"/>
          <w:divBdr>
            <w:top w:val="none" w:sz="0" w:space="0" w:color="auto"/>
            <w:left w:val="none" w:sz="0" w:space="0" w:color="auto"/>
            <w:bottom w:val="none" w:sz="0" w:space="0" w:color="auto"/>
            <w:right w:val="none" w:sz="0" w:space="0" w:color="auto"/>
          </w:divBdr>
        </w:div>
        <w:div w:id="1032926666">
          <w:marLeft w:val="0"/>
          <w:marRight w:val="0"/>
          <w:marTop w:val="0"/>
          <w:marBottom w:val="0"/>
          <w:divBdr>
            <w:top w:val="none" w:sz="0" w:space="0" w:color="auto"/>
            <w:left w:val="none" w:sz="0" w:space="0" w:color="auto"/>
            <w:bottom w:val="none" w:sz="0" w:space="0" w:color="auto"/>
            <w:right w:val="none" w:sz="0" w:space="0" w:color="auto"/>
          </w:divBdr>
        </w:div>
        <w:div w:id="1073088125">
          <w:marLeft w:val="0"/>
          <w:marRight w:val="0"/>
          <w:marTop w:val="0"/>
          <w:marBottom w:val="0"/>
          <w:divBdr>
            <w:top w:val="none" w:sz="0" w:space="0" w:color="auto"/>
            <w:left w:val="none" w:sz="0" w:space="0" w:color="auto"/>
            <w:bottom w:val="none" w:sz="0" w:space="0" w:color="auto"/>
            <w:right w:val="none" w:sz="0" w:space="0" w:color="auto"/>
          </w:divBdr>
        </w:div>
        <w:div w:id="1079329719">
          <w:marLeft w:val="0"/>
          <w:marRight w:val="0"/>
          <w:marTop w:val="0"/>
          <w:marBottom w:val="0"/>
          <w:divBdr>
            <w:top w:val="none" w:sz="0" w:space="0" w:color="auto"/>
            <w:left w:val="none" w:sz="0" w:space="0" w:color="auto"/>
            <w:bottom w:val="none" w:sz="0" w:space="0" w:color="auto"/>
            <w:right w:val="none" w:sz="0" w:space="0" w:color="auto"/>
          </w:divBdr>
        </w:div>
        <w:div w:id="1100568829">
          <w:marLeft w:val="0"/>
          <w:marRight w:val="0"/>
          <w:marTop w:val="0"/>
          <w:marBottom w:val="0"/>
          <w:divBdr>
            <w:top w:val="none" w:sz="0" w:space="0" w:color="auto"/>
            <w:left w:val="none" w:sz="0" w:space="0" w:color="auto"/>
            <w:bottom w:val="none" w:sz="0" w:space="0" w:color="auto"/>
            <w:right w:val="none" w:sz="0" w:space="0" w:color="auto"/>
          </w:divBdr>
        </w:div>
        <w:div w:id="1118717544">
          <w:marLeft w:val="0"/>
          <w:marRight w:val="0"/>
          <w:marTop w:val="0"/>
          <w:marBottom w:val="0"/>
          <w:divBdr>
            <w:top w:val="none" w:sz="0" w:space="0" w:color="auto"/>
            <w:left w:val="none" w:sz="0" w:space="0" w:color="auto"/>
            <w:bottom w:val="none" w:sz="0" w:space="0" w:color="auto"/>
            <w:right w:val="none" w:sz="0" w:space="0" w:color="auto"/>
          </w:divBdr>
        </w:div>
        <w:div w:id="1123187739">
          <w:marLeft w:val="0"/>
          <w:marRight w:val="0"/>
          <w:marTop w:val="0"/>
          <w:marBottom w:val="0"/>
          <w:divBdr>
            <w:top w:val="none" w:sz="0" w:space="0" w:color="auto"/>
            <w:left w:val="none" w:sz="0" w:space="0" w:color="auto"/>
            <w:bottom w:val="none" w:sz="0" w:space="0" w:color="auto"/>
            <w:right w:val="none" w:sz="0" w:space="0" w:color="auto"/>
          </w:divBdr>
        </w:div>
        <w:div w:id="1138229449">
          <w:marLeft w:val="0"/>
          <w:marRight w:val="0"/>
          <w:marTop w:val="0"/>
          <w:marBottom w:val="0"/>
          <w:divBdr>
            <w:top w:val="none" w:sz="0" w:space="0" w:color="auto"/>
            <w:left w:val="none" w:sz="0" w:space="0" w:color="auto"/>
            <w:bottom w:val="none" w:sz="0" w:space="0" w:color="auto"/>
            <w:right w:val="none" w:sz="0" w:space="0" w:color="auto"/>
          </w:divBdr>
        </w:div>
        <w:div w:id="1162157923">
          <w:marLeft w:val="0"/>
          <w:marRight w:val="0"/>
          <w:marTop w:val="0"/>
          <w:marBottom w:val="0"/>
          <w:divBdr>
            <w:top w:val="none" w:sz="0" w:space="0" w:color="auto"/>
            <w:left w:val="none" w:sz="0" w:space="0" w:color="auto"/>
            <w:bottom w:val="none" w:sz="0" w:space="0" w:color="auto"/>
            <w:right w:val="none" w:sz="0" w:space="0" w:color="auto"/>
          </w:divBdr>
        </w:div>
        <w:div w:id="1179154580">
          <w:marLeft w:val="0"/>
          <w:marRight w:val="0"/>
          <w:marTop w:val="0"/>
          <w:marBottom w:val="0"/>
          <w:divBdr>
            <w:top w:val="none" w:sz="0" w:space="0" w:color="auto"/>
            <w:left w:val="none" w:sz="0" w:space="0" w:color="auto"/>
            <w:bottom w:val="none" w:sz="0" w:space="0" w:color="auto"/>
            <w:right w:val="none" w:sz="0" w:space="0" w:color="auto"/>
          </w:divBdr>
        </w:div>
        <w:div w:id="1207524887">
          <w:marLeft w:val="0"/>
          <w:marRight w:val="0"/>
          <w:marTop w:val="0"/>
          <w:marBottom w:val="0"/>
          <w:divBdr>
            <w:top w:val="none" w:sz="0" w:space="0" w:color="auto"/>
            <w:left w:val="none" w:sz="0" w:space="0" w:color="auto"/>
            <w:bottom w:val="none" w:sz="0" w:space="0" w:color="auto"/>
            <w:right w:val="none" w:sz="0" w:space="0" w:color="auto"/>
          </w:divBdr>
        </w:div>
        <w:div w:id="1233152091">
          <w:marLeft w:val="0"/>
          <w:marRight w:val="0"/>
          <w:marTop w:val="0"/>
          <w:marBottom w:val="0"/>
          <w:divBdr>
            <w:top w:val="none" w:sz="0" w:space="0" w:color="auto"/>
            <w:left w:val="none" w:sz="0" w:space="0" w:color="auto"/>
            <w:bottom w:val="none" w:sz="0" w:space="0" w:color="auto"/>
            <w:right w:val="none" w:sz="0" w:space="0" w:color="auto"/>
          </w:divBdr>
        </w:div>
        <w:div w:id="1236358959">
          <w:marLeft w:val="0"/>
          <w:marRight w:val="0"/>
          <w:marTop w:val="0"/>
          <w:marBottom w:val="0"/>
          <w:divBdr>
            <w:top w:val="none" w:sz="0" w:space="0" w:color="auto"/>
            <w:left w:val="none" w:sz="0" w:space="0" w:color="auto"/>
            <w:bottom w:val="none" w:sz="0" w:space="0" w:color="auto"/>
            <w:right w:val="none" w:sz="0" w:space="0" w:color="auto"/>
          </w:divBdr>
        </w:div>
        <w:div w:id="1269657957">
          <w:marLeft w:val="0"/>
          <w:marRight w:val="0"/>
          <w:marTop w:val="0"/>
          <w:marBottom w:val="0"/>
          <w:divBdr>
            <w:top w:val="none" w:sz="0" w:space="0" w:color="auto"/>
            <w:left w:val="none" w:sz="0" w:space="0" w:color="auto"/>
            <w:bottom w:val="none" w:sz="0" w:space="0" w:color="auto"/>
            <w:right w:val="none" w:sz="0" w:space="0" w:color="auto"/>
          </w:divBdr>
        </w:div>
        <w:div w:id="1269894622">
          <w:marLeft w:val="0"/>
          <w:marRight w:val="0"/>
          <w:marTop w:val="0"/>
          <w:marBottom w:val="0"/>
          <w:divBdr>
            <w:top w:val="none" w:sz="0" w:space="0" w:color="auto"/>
            <w:left w:val="none" w:sz="0" w:space="0" w:color="auto"/>
            <w:bottom w:val="none" w:sz="0" w:space="0" w:color="auto"/>
            <w:right w:val="none" w:sz="0" w:space="0" w:color="auto"/>
          </w:divBdr>
        </w:div>
        <w:div w:id="1273511243">
          <w:marLeft w:val="0"/>
          <w:marRight w:val="0"/>
          <w:marTop w:val="0"/>
          <w:marBottom w:val="0"/>
          <w:divBdr>
            <w:top w:val="none" w:sz="0" w:space="0" w:color="auto"/>
            <w:left w:val="none" w:sz="0" w:space="0" w:color="auto"/>
            <w:bottom w:val="none" w:sz="0" w:space="0" w:color="auto"/>
            <w:right w:val="none" w:sz="0" w:space="0" w:color="auto"/>
          </w:divBdr>
        </w:div>
        <w:div w:id="1287275110">
          <w:marLeft w:val="0"/>
          <w:marRight w:val="0"/>
          <w:marTop w:val="0"/>
          <w:marBottom w:val="0"/>
          <w:divBdr>
            <w:top w:val="none" w:sz="0" w:space="0" w:color="auto"/>
            <w:left w:val="none" w:sz="0" w:space="0" w:color="auto"/>
            <w:bottom w:val="none" w:sz="0" w:space="0" w:color="auto"/>
            <w:right w:val="none" w:sz="0" w:space="0" w:color="auto"/>
          </w:divBdr>
        </w:div>
        <w:div w:id="1317219264">
          <w:marLeft w:val="0"/>
          <w:marRight w:val="0"/>
          <w:marTop w:val="0"/>
          <w:marBottom w:val="0"/>
          <w:divBdr>
            <w:top w:val="none" w:sz="0" w:space="0" w:color="auto"/>
            <w:left w:val="none" w:sz="0" w:space="0" w:color="auto"/>
            <w:bottom w:val="none" w:sz="0" w:space="0" w:color="auto"/>
            <w:right w:val="none" w:sz="0" w:space="0" w:color="auto"/>
          </w:divBdr>
        </w:div>
        <w:div w:id="1350137656">
          <w:marLeft w:val="0"/>
          <w:marRight w:val="0"/>
          <w:marTop w:val="0"/>
          <w:marBottom w:val="0"/>
          <w:divBdr>
            <w:top w:val="none" w:sz="0" w:space="0" w:color="auto"/>
            <w:left w:val="none" w:sz="0" w:space="0" w:color="auto"/>
            <w:bottom w:val="none" w:sz="0" w:space="0" w:color="auto"/>
            <w:right w:val="none" w:sz="0" w:space="0" w:color="auto"/>
          </w:divBdr>
        </w:div>
        <w:div w:id="1352683806">
          <w:marLeft w:val="0"/>
          <w:marRight w:val="0"/>
          <w:marTop w:val="0"/>
          <w:marBottom w:val="0"/>
          <w:divBdr>
            <w:top w:val="none" w:sz="0" w:space="0" w:color="auto"/>
            <w:left w:val="none" w:sz="0" w:space="0" w:color="auto"/>
            <w:bottom w:val="none" w:sz="0" w:space="0" w:color="auto"/>
            <w:right w:val="none" w:sz="0" w:space="0" w:color="auto"/>
          </w:divBdr>
        </w:div>
        <w:div w:id="1355696057">
          <w:marLeft w:val="0"/>
          <w:marRight w:val="0"/>
          <w:marTop w:val="0"/>
          <w:marBottom w:val="0"/>
          <w:divBdr>
            <w:top w:val="none" w:sz="0" w:space="0" w:color="auto"/>
            <w:left w:val="none" w:sz="0" w:space="0" w:color="auto"/>
            <w:bottom w:val="none" w:sz="0" w:space="0" w:color="auto"/>
            <w:right w:val="none" w:sz="0" w:space="0" w:color="auto"/>
          </w:divBdr>
        </w:div>
        <w:div w:id="1439523014">
          <w:marLeft w:val="0"/>
          <w:marRight w:val="0"/>
          <w:marTop w:val="0"/>
          <w:marBottom w:val="0"/>
          <w:divBdr>
            <w:top w:val="none" w:sz="0" w:space="0" w:color="auto"/>
            <w:left w:val="none" w:sz="0" w:space="0" w:color="auto"/>
            <w:bottom w:val="none" w:sz="0" w:space="0" w:color="auto"/>
            <w:right w:val="none" w:sz="0" w:space="0" w:color="auto"/>
          </w:divBdr>
        </w:div>
        <w:div w:id="1486504721">
          <w:marLeft w:val="0"/>
          <w:marRight w:val="0"/>
          <w:marTop w:val="0"/>
          <w:marBottom w:val="0"/>
          <w:divBdr>
            <w:top w:val="none" w:sz="0" w:space="0" w:color="auto"/>
            <w:left w:val="none" w:sz="0" w:space="0" w:color="auto"/>
            <w:bottom w:val="none" w:sz="0" w:space="0" w:color="auto"/>
            <w:right w:val="none" w:sz="0" w:space="0" w:color="auto"/>
          </w:divBdr>
        </w:div>
        <w:div w:id="1488478655">
          <w:marLeft w:val="0"/>
          <w:marRight w:val="0"/>
          <w:marTop w:val="0"/>
          <w:marBottom w:val="0"/>
          <w:divBdr>
            <w:top w:val="none" w:sz="0" w:space="0" w:color="auto"/>
            <w:left w:val="none" w:sz="0" w:space="0" w:color="auto"/>
            <w:bottom w:val="none" w:sz="0" w:space="0" w:color="auto"/>
            <w:right w:val="none" w:sz="0" w:space="0" w:color="auto"/>
          </w:divBdr>
        </w:div>
        <w:div w:id="1512141023">
          <w:marLeft w:val="0"/>
          <w:marRight w:val="0"/>
          <w:marTop w:val="0"/>
          <w:marBottom w:val="0"/>
          <w:divBdr>
            <w:top w:val="none" w:sz="0" w:space="0" w:color="auto"/>
            <w:left w:val="none" w:sz="0" w:space="0" w:color="auto"/>
            <w:bottom w:val="none" w:sz="0" w:space="0" w:color="auto"/>
            <w:right w:val="none" w:sz="0" w:space="0" w:color="auto"/>
          </w:divBdr>
        </w:div>
        <w:div w:id="1513375053">
          <w:marLeft w:val="0"/>
          <w:marRight w:val="0"/>
          <w:marTop w:val="0"/>
          <w:marBottom w:val="0"/>
          <w:divBdr>
            <w:top w:val="none" w:sz="0" w:space="0" w:color="auto"/>
            <w:left w:val="none" w:sz="0" w:space="0" w:color="auto"/>
            <w:bottom w:val="none" w:sz="0" w:space="0" w:color="auto"/>
            <w:right w:val="none" w:sz="0" w:space="0" w:color="auto"/>
          </w:divBdr>
        </w:div>
        <w:div w:id="1515193675">
          <w:marLeft w:val="0"/>
          <w:marRight w:val="0"/>
          <w:marTop w:val="0"/>
          <w:marBottom w:val="0"/>
          <w:divBdr>
            <w:top w:val="none" w:sz="0" w:space="0" w:color="auto"/>
            <w:left w:val="none" w:sz="0" w:space="0" w:color="auto"/>
            <w:bottom w:val="none" w:sz="0" w:space="0" w:color="auto"/>
            <w:right w:val="none" w:sz="0" w:space="0" w:color="auto"/>
          </w:divBdr>
        </w:div>
        <w:div w:id="1534541715">
          <w:marLeft w:val="0"/>
          <w:marRight w:val="0"/>
          <w:marTop w:val="0"/>
          <w:marBottom w:val="0"/>
          <w:divBdr>
            <w:top w:val="none" w:sz="0" w:space="0" w:color="auto"/>
            <w:left w:val="none" w:sz="0" w:space="0" w:color="auto"/>
            <w:bottom w:val="none" w:sz="0" w:space="0" w:color="auto"/>
            <w:right w:val="none" w:sz="0" w:space="0" w:color="auto"/>
          </w:divBdr>
        </w:div>
        <w:div w:id="1543859289">
          <w:marLeft w:val="0"/>
          <w:marRight w:val="0"/>
          <w:marTop w:val="0"/>
          <w:marBottom w:val="0"/>
          <w:divBdr>
            <w:top w:val="none" w:sz="0" w:space="0" w:color="auto"/>
            <w:left w:val="none" w:sz="0" w:space="0" w:color="auto"/>
            <w:bottom w:val="none" w:sz="0" w:space="0" w:color="auto"/>
            <w:right w:val="none" w:sz="0" w:space="0" w:color="auto"/>
          </w:divBdr>
        </w:div>
        <w:div w:id="1612126399">
          <w:marLeft w:val="0"/>
          <w:marRight w:val="0"/>
          <w:marTop w:val="0"/>
          <w:marBottom w:val="0"/>
          <w:divBdr>
            <w:top w:val="none" w:sz="0" w:space="0" w:color="auto"/>
            <w:left w:val="none" w:sz="0" w:space="0" w:color="auto"/>
            <w:bottom w:val="none" w:sz="0" w:space="0" w:color="auto"/>
            <w:right w:val="none" w:sz="0" w:space="0" w:color="auto"/>
          </w:divBdr>
        </w:div>
        <w:div w:id="1621957353">
          <w:marLeft w:val="0"/>
          <w:marRight w:val="0"/>
          <w:marTop w:val="0"/>
          <w:marBottom w:val="0"/>
          <w:divBdr>
            <w:top w:val="none" w:sz="0" w:space="0" w:color="auto"/>
            <w:left w:val="none" w:sz="0" w:space="0" w:color="auto"/>
            <w:bottom w:val="none" w:sz="0" w:space="0" w:color="auto"/>
            <w:right w:val="none" w:sz="0" w:space="0" w:color="auto"/>
          </w:divBdr>
        </w:div>
        <w:div w:id="1640837137">
          <w:marLeft w:val="0"/>
          <w:marRight w:val="0"/>
          <w:marTop w:val="0"/>
          <w:marBottom w:val="0"/>
          <w:divBdr>
            <w:top w:val="none" w:sz="0" w:space="0" w:color="auto"/>
            <w:left w:val="none" w:sz="0" w:space="0" w:color="auto"/>
            <w:bottom w:val="none" w:sz="0" w:space="0" w:color="auto"/>
            <w:right w:val="none" w:sz="0" w:space="0" w:color="auto"/>
          </w:divBdr>
        </w:div>
        <w:div w:id="1661419010">
          <w:marLeft w:val="0"/>
          <w:marRight w:val="0"/>
          <w:marTop w:val="0"/>
          <w:marBottom w:val="0"/>
          <w:divBdr>
            <w:top w:val="none" w:sz="0" w:space="0" w:color="auto"/>
            <w:left w:val="none" w:sz="0" w:space="0" w:color="auto"/>
            <w:bottom w:val="none" w:sz="0" w:space="0" w:color="auto"/>
            <w:right w:val="none" w:sz="0" w:space="0" w:color="auto"/>
          </w:divBdr>
        </w:div>
        <w:div w:id="1679654730">
          <w:marLeft w:val="0"/>
          <w:marRight w:val="0"/>
          <w:marTop w:val="0"/>
          <w:marBottom w:val="0"/>
          <w:divBdr>
            <w:top w:val="none" w:sz="0" w:space="0" w:color="auto"/>
            <w:left w:val="none" w:sz="0" w:space="0" w:color="auto"/>
            <w:bottom w:val="none" w:sz="0" w:space="0" w:color="auto"/>
            <w:right w:val="none" w:sz="0" w:space="0" w:color="auto"/>
          </w:divBdr>
        </w:div>
        <w:div w:id="1685477959">
          <w:marLeft w:val="0"/>
          <w:marRight w:val="0"/>
          <w:marTop w:val="0"/>
          <w:marBottom w:val="0"/>
          <w:divBdr>
            <w:top w:val="none" w:sz="0" w:space="0" w:color="auto"/>
            <w:left w:val="none" w:sz="0" w:space="0" w:color="auto"/>
            <w:bottom w:val="none" w:sz="0" w:space="0" w:color="auto"/>
            <w:right w:val="none" w:sz="0" w:space="0" w:color="auto"/>
          </w:divBdr>
        </w:div>
        <w:div w:id="1697194693">
          <w:marLeft w:val="0"/>
          <w:marRight w:val="0"/>
          <w:marTop w:val="0"/>
          <w:marBottom w:val="0"/>
          <w:divBdr>
            <w:top w:val="none" w:sz="0" w:space="0" w:color="auto"/>
            <w:left w:val="none" w:sz="0" w:space="0" w:color="auto"/>
            <w:bottom w:val="none" w:sz="0" w:space="0" w:color="auto"/>
            <w:right w:val="none" w:sz="0" w:space="0" w:color="auto"/>
          </w:divBdr>
        </w:div>
        <w:div w:id="1718161901">
          <w:marLeft w:val="0"/>
          <w:marRight w:val="0"/>
          <w:marTop w:val="0"/>
          <w:marBottom w:val="0"/>
          <w:divBdr>
            <w:top w:val="none" w:sz="0" w:space="0" w:color="auto"/>
            <w:left w:val="none" w:sz="0" w:space="0" w:color="auto"/>
            <w:bottom w:val="none" w:sz="0" w:space="0" w:color="auto"/>
            <w:right w:val="none" w:sz="0" w:space="0" w:color="auto"/>
          </w:divBdr>
        </w:div>
        <w:div w:id="1719623921">
          <w:marLeft w:val="0"/>
          <w:marRight w:val="0"/>
          <w:marTop w:val="0"/>
          <w:marBottom w:val="0"/>
          <w:divBdr>
            <w:top w:val="none" w:sz="0" w:space="0" w:color="auto"/>
            <w:left w:val="none" w:sz="0" w:space="0" w:color="auto"/>
            <w:bottom w:val="none" w:sz="0" w:space="0" w:color="auto"/>
            <w:right w:val="none" w:sz="0" w:space="0" w:color="auto"/>
          </w:divBdr>
        </w:div>
        <w:div w:id="1753619210">
          <w:marLeft w:val="0"/>
          <w:marRight w:val="0"/>
          <w:marTop w:val="0"/>
          <w:marBottom w:val="0"/>
          <w:divBdr>
            <w:top w:val="none" w:sz="0" w:space="0" w:color="auto"/>
            <w:left w:val="none" w:sz="0" w:space="0" w:color="auto"/>
            <w:bottom w:val="none" w:sz="0" w:space="0" w:color="auto"/>
            <w:right w:val="none" w:sz="0" w:space="0" w:color="auto"/>
          </w:divBdr>
        </w:div>
        <w:div w:id="1799293760">
          <w:marLeft w:val="0"/>
          <w:marRight w:val="0"/>
          <w:marTop w:val="0"/>
          <w:marBottom w:val="0"/>
          <w:divBdr>
            <w:top w:val="none" w:sz="0" w:space="0" w:color="auto"/>
            <w:left w:val="none" w:sz="0" w:space="0" w:color="auto"/>
            <w:bottom w:val="none" w:sz="0" w:space="0" w:color="auto"/>
            <w:right w:val="none" w:sz="0" w:space="0" w:color="auto"/>
          </w:divBdr>
        </w:div>
        <w:div w:id="1821850238">
          <w:marLeft w:val="0"/>
          <w:marRight w:val="0"/>
          <w:marTop w:val="0"/>
          <w:marBottom w:val="0"/>
          <w:divBdr>
            <w:top w:val="none" w:sz="0" w:space="0" w:color="auto"/>
            <w:left w:val="none" w:sz="0" w:space="0" w:color="auto"/>
            <w:bottom w:val="none" w:sz="0" w:space="0" w:color="auto"/>
            <w:right w:val="none" w:sz="0" w:space="0" w:color="auto"/>
          </w:divBdr>
        </w:div>
        <w:div w:id="1835223752">
          <w:marLeft w:val="0"/>
          <w:marRight w:val="0"/>
          <w:marTop w:val="0"/>
          <w:marBottom w:val="0"/>
          <w:divBdr>
            <w:top w:val="none" w:sz="0" w:space="0" w:color="auto"/>
            <w:left w:val="none" w:sz="0" w:space="0" w:color="auto"/>
            <w:bottom w:val="none" w:sz="0" w:space="0" w:color="auto"/>
            <w:right w:val="none" w:sz="0" w:space="0" w:color="auto"/>
          </w:divBdr>
        </w:div>
        <w:div w:id="1840844480">
          <w:marLeft w:val="0"/>
          <w:marRight w:val="0"/>
          <w:marTop w:val="0"/>
          <w:marBottom w:val="0"/>
          <w:divBdr>
            <w:top w:val="none" w:sz="0" w:space="0" w:color="auto"/>
            <w:left w:val="none" w:sz="0" w:space="0" w:color="auto"/>
            <w:bottom w:val="none" w:sz="0" w:space="0" w:color="auto"/>
            <w:right w:val="none" w:sz="0" w:space="0" w:color="auto"/>
          </w:divBdr>
        </w:div>
        <w:div w:id="1859733466">
          <w:marLeft w:val="0"/>
          <w:marRight w:val="0"/>
          <w:marTop w:val="0"/>
          <w:marBottom w:val="0"/>
          <w:divBdr>
            <w:top w:val="none" w:sz="0" w:space="0" w:color="auto"/>
            <w:left w:val="none" w:sz="0" w:space="0" w:color="auto"/>
            <w:bottom w:val="none" w:sz="0" w:space="0" w:color="auto"/>
            <w:right w:val="none" w:sz="0" w:space="0" w:color="auto"/>
          </w:divBdr>
        </w:div>
        <w:div w:id="1871647583">
          <w:marLeft w:val="0"/>
          <w:marRight w:val="0"/>
          <w:marTop w:val="0"/>
          <w:marBottom w:val="0"/>
          <w:divBdr>
            <w:top w:val="none" w:sz="0" w:space="0" w:color="auto"/>
            <w:left w:val="none" w:sz="0" w:space="0" w:color="auto"/>
            <w:bottom w:val="none" w:sz="0" w:space="0" w:color="auto"/>
            <w:right w:val="none" w:sz="0" w:space="0" w:color="auto"/>
          </w:divBdr>
        </w:div>
        <w:div w:id="1902250235">
          <w:marLeft w:val="0"/>
          <w:marRight w:val="0"/>
          <w:marTop w:val="0"/>
          <w:marBottom w:val="0"/>
          <w:divBdr>
            <w:top w:val="none" w:sz="0" w:space="0" w:color="auto"/>
            <w:left w:val="none" w:sz="0" w:space="0" w:color="auto"/>
            <w:bottom w:val="none" w:sz="0" w:space="0" w:color="auto"/>
            <w:right w:val="none" w:sz="0" w:space="0" w:color="auto"/>
          </w:divBdr>
        </w:div>
        <w:div w:id="1903714621">
          <w:marLeft w:val="0"/>
          <w:marRight w:val="0"/>
          <w:marTop w:val="0"/>
          <w:marBottom w:val="0"/>
          <w:divBdr>
            <w:top w:val="none" w:sz="0" w:space="0" w:color="auto"/>
            <w:left w:val="none" w:sz="0" w:space="0" w:color="auto"/>
            <w:bottom w:val="none" w:sz="0" w:space="0" w:color="auto"/>
            <w:right w:val="none" w:sz="0" w:space="0" w:color="auto"/>
          </w:divBdr>
        </w:div>
        <w:div w:id="1912696599">
          <w:marLeft w:val="0"/>
          <w:marRight w:val="0"/>
          <w:marTop w:val="0"/>
          <w:marBottom w:val="0"/>
          <w:divBdr>
            <w:top w:val="none" w:sz="0" w:space="0" w:color="auto"/>
            <w:left w:val="none" w:sz="0" w:space="0" w:color="auto"/>
            <w:bottom w:val="none" w:sz="0" w:space="0" w:color="auto"/>
            <w:right w:val="none" w:sz="0" w:space="0" w:color="auto"/>
          </w:divBdr>
        </w:div>
        <w:div w:id="1936396600">
          <w:marLeft w:val="0"/>
          <w:marRight w:val="0"/>
          <w:marTop w:val="0"/>
          <w:marBottom w:val="0"/>
          <w:divBdr>
            <w:top w:val="none" w:sz="0" w:space="0" w:color="auto"/>
            <w:left w:val="none" w:sz="0" w:space="0" w:color="auto"/>
            <w:bottom w:val="none" w:sz="0" w:space="0" w:color="auto"/>
            <w:right w:val="none" w:sz="0" w:space="0" w:color="auto"/>
          </w:divBdr>
        </w:div>
        <w:div w:id="1942906582">
          <w:marLeft w:val="0"/>
          <w:marRight w:val="0"/>
          <w:marTop w:val="0"/>
          <w:marBottom w:val="0"/>
          <w:divBdr>
            <w:top w:val="none" w:sz="0" w:space="0" w:color="auto"/>
            <w:left w:val="none" w:sz="0" w:space="0" w:color="auto"/>
            <w:bottom w:val="none" w:sz="0" w:space="0" w:color="auto"/>
            <w:right w:val="none" w:sz="0" w:space="0" w:color="auto"/>
          </w:divBdr>
        </w:div>
        <w:div w:id="1968852174">
          <w:marLeft w:val="0"/>
          <w:marRight w:val="0"/>
          <w:marTop w:val="0"/>
          <w:marBottom w:val="0"/>
          <w:divBdr>
            <w:top w:val="none" w:sz="0" w:space="0" w:color="auto"/>
            <w:left w:val="none" w:sz="0" w:space="0" w:color="auto"/>
            <w:bottom w:val="none" w:sz="0" w:space="0" w:color="auto"/>
            <w:right w:val="none" w:sz="0" w:space="0" w:color="auto"/>
          </w:divBdr>
        </w:div>
        <w:div w:id="1968970419">
          <w:marLeft w:val="0"/>
          <w:marRight w:val="0"/>
          <w:marTop w:val="0"/>
          <w:marBottom w:val="0"/>
          <w:divBdr>
            <w:top w:val="none" w:sz="0" w:space="0" w:color="auto"/>
            <w:left w:val="none" w:sz="0" w:space="0" w:color="auto"/>
            <w:bottom w:val="none" w:sz="0" w:space="0" w:color="auto"/>
            <w:right w:val="none" w:sz="0" w:space="0" w:color="auto"/>
          </w:divBdr>
        </w:div>
        <w:div w:id="2037189351">
          <w:marLeft w:val="0"/>
          <w:marRight w:val="0"/>
          <w:marTop w:val="0"/>
          <w:marBottom w:val="0"/>
          <w:divBdr>
            <w:top w:val="none" w:sz="0" w:space="0" w:color="auto"/>
            <w:left w:val="none" w:sz="0" w:space="0" w:color="auto"/>
            <w:bottom w:val="none" w:sz="0" w:space="0" w:color="auto"/>
            <w:right w:val="none" w:sz="0" w:space="0" w:color="auto"/>
          </w:divBdr>
        </w:div>
        <w:div w:id="2080974459">
          <w:marLeft w:val="0"/>
          <w:marRight w:val="0"/>
          <w:marTop w:val="0"/>
          <w:marBottom w:val="0"/>
          <w:divBdr>
            <w:top w:val="none" w:sz="0" w:space="0" w:color="auto"/>
            <w:left w:val="none" w:sz="0" w:space="0" w:color="auto"/>
            <w:bottom w:val="none" w:sz="0" w:space="0" w:color="auto"/>
            <w:right w:val="none" w:sz="0" w:space="0" w:color="auto"/>
          </w:divBdr>
        </w:div>
        <w:div w:id="2083092084">
          <w:marLeft w:val="0"/>
          <w:marRight w:val="0"/>
          <w:marTop w:val="0"/>
          <w:marBottom w:val="0"/>
          <w:divBdr>
            <w:top w:val="none" w:sz="0" w:space="0" w:color="auto"/>
            <w:left w:val="none" w:sz="0" w:space="0" w:color="auto"/>
            <w:bottom w:val="none" w:sz="0" w:space="0" w:color="auto"/>
            <w:right w:val="none" w:sz="0" w:space="0" w:color="auto"/>
          </w:divBdr>
        </w:div>
        <w:div w:id="2087144693">
          <w:marLeft w:val="0"/>
          <w:marRight w:val="0"/>
          <w:marTop w:val="0"/>
          <w:marBottom w:val="0"/>
          <w:divBdr>
            <w:top w:val="none" w:sz="0" w:space="0" w:color="auto"/>
            <w:left w:val="none" w:sz="0" w:space="0" w:color="auto"/>
            <w:bottom w:val="none" w:sz="0" w:space="0" w:color="auto"/>
            <w:right w:val="none" w:sz="0" w:space="0" w:color="auto"/>
          </w:divBdr>
        </w:div>
        <w:div w:id="2098476685">
          <w:marLeft w:val="0"/>
          <w:marRight w:val="0"/>
          <w:marTop w:val="0"/>
          <w:marBottom w:val="0"/>
          <w:divBdr>
            <w:top w:val="none" w:sz="0" w:space="0" w:color="auto"/>
            <w:left w:val="none" w:sz="0" w:space="0" w:color="auto"/>
            <w:bottom w:val="none" w:sz="0" w:space="0" w:color="auto"/>
            <w:right w:val="none" w:sz="0" w:space="0" w:color="auto"/>
          </w:divBdr>
        </w:div>
        <w:div w:id="2101367051">
          <w:marLeft w:val="0"/>
          <w:marRight w:val="0"/>
          <w:marTop w:val="0"/>
          <w:marBottom w:val="0"/>
          <w:divBdr>
            <w:top w:val="none" w:sz="0" w:space="0" w:color="auto"/>
            <w:left w:val="none" w:sz="0" w:space="0" w:color="auto"/>
            <w:bottom w:val="none" w:sz="0" w:space="0" w:color="auto"/>
            <w:right w:val="none" w:sz="0" w:space="0" w:color="auto"/>
          </w:divBdr>
        </w:div>
        <w:div w:id="2117674253">
          <w:marLeft w:val="0"/>
          <w:marRight w:val="0"/>
          <w:marTop w:val="0"/>
          <w:marBottom w:val="0"/>
          <w:divBdr>
            <w:top w:val="none" w:sz="0" w:space="0" w:color="auto"/>
            <w:left w:val="none" w:sz="0" w:space="0" w:color="auto"/>
            <w:bottom w:val="none" w:sz="0" w:space="0" w:color="auto"/>
            <w:right w:val="none" w:sz="0" w:space="0" w:color="auto"/>
          </w:divBdr>
        </w:div>
        <w:div w:id="2139881653">
          <w:marLeft w:val="0"/>
          <w:marRight w:val="0"/>
          <w:marTop w:val="0"/>
          <w:marBottom w:val="0"/>
          <w:divBdr>
            <w:top w:val="none" w:sz="0" w:space="0" w:color="auto"/>
            <w:left w:val="none" w:sz="0" w:space="0" w:color="auto"/>
            <w:bottom w:val="none" w:sz="0" w:space="0" w:color="auto"/>
            <w:right w:val="none" w:sz="0" w:space="0" w:color="auto"/>
          </w:divBdr>
        </w:div>
        <w:div w:id="2146191638">
          <w:marLeft w:val="0"/>
          <w:marRight w:val="0"/>
          <w:marTop w:val="0"/>
          <w:marBottom w:val="0"/>
          <w:divBdr>
            <w:top w:val="none" w:sz="0" w:space="0" w:color="auto"/>
            <w:left w:val="none" w:sz="0" w:space="0" w:color="auto"/>
            <w:bottom w:val="none" w:sz="0" w:space="0" w:color="auto"/>
            <w:right w:val="none" w:sz="0" w:space="0" w:color="auto"/>
          </w:divBdr>
        </w:div>
      </w:divsChild>
    </w:div>
    <w:div w:id="1815372825">
      <w:bodyDiv w:val="1"/>
      <w:marLeft w:val="0"/>
      <w:marRight w:val="0"/>
      <w:marTop w:val="0"/>
      <w:marBottom w:val="0"/>
      <w:divBdr>
        <w:top w:val="none" w:sz="0" w:space="0" w:color="auto"/>
        <w:left w:val="none" w:sz="0" w:space="0" w:color="auto"/>
        <w:bottom w:val="none" w:sz="0" w:space="0" w:color="auto"/>
        <w:right w:val="none" w:sz="0" w:space="0" w:color="auto"/>
      </w:divBdr>
    </w:div>
    <w:div w:id="1837762913">
      <w:bodyDiv w:val="1"/>
      <w:marLeft w:val="0"/>
      <w:marRight w:val="0"/>
      <w:marTop w:val="0"/>
      <w:marBottom w:val="0"/>
      <w:divBdr>
        <w:top w:val="none" w:sz="0" w:space="0" w:color="auto"/>
        <w:left w:val="none" w:sz="0" w:space="0" w:color="auto"/>
        <w:bottom w:val="none" w:sz="0" w:space="0" w:color="auto"/>
        <w:right w:val="none" w:sz="0" w:space="0" w:color="auto"/>
      </w:divBdr>
    </w:div>
    <w:div w:id="1849708527">
      <w:bodyDiv w:val="1"/>
      <w:marLeft w:val="0"/>
      <w:marRight w:val="0"/>
      <w:marTop w:val="0"/>
      <w:marBottom w:val="0"/>
      <w:divBdr>
        <w:top w:val="none" w:sz="0" w:space="0" w:color="auto"/>
        <w:left w:val="none" w:sz="0" w:space="0" w:color="auto"/>
        <w:bottom w:val="none" w:sz="0" w:space="0" w:color="auto"/>
        <w:right w:val="none" w:sz="0" w:space="0" w:color="auto"/>
      </w:divBdr>
      <w:divsChild>
        <w:div w:id="49883702">
          <w:marLeft w:val="0"/>
          <w:marRight w:val="0"/>
          <w:marTop w:val="0"/>
          <w:marBottom w:val="0"/>
          <w:divBdr>
            <w:top w:val="none" w:sz="0" w:space="0" w:color="auto"/>
            <w:left w:val="none" w:sz="0" w:space="0" w:color="auto"/>
            <w:bottom w:val="none" w:sz="0" w:space="0" w:color="auto"/>
            <w:right w:val="none" w:sz="0" w:space="0" w:color="auto"/>
          </w:divBdr>
        </w:div>
        <w:div w:id="424959022">
          <w:marLeft w:val="0"/>
          <w:marRight w:val="0"/>
          <w:marTop w:val="0"/>
          <w:marBottom w:val="0"/>
          <w:divBdr>
            <w:top w:val="none" w:sz="0" w:space="0" w:color="auto"/>
            <w:left w:val="none" w:sz="0" w:space="0" w:color="auto"/>
            <w:bottom w:val="none" w:sz="0" w:space="0" w:color="auto"/>
            <w:right w:val="none" w:sz="0" w:space="0" w:color="auto"/>
          </w:divBdr>
        </w:div>
        <w:div w:id="494300611">
          <w:marLeft w:val="0"/>
          <w:marRight w:val="0"/>
          <w:marTop w:val="0"/>
          <w:marBottom w:val="0"/>
          <w:divBdr>
            <w:top w:val="none" w:sz="0" w:space="0" w:color="auto"/>
            <w:left w:val="none" w:sz="0" w:space="0" w:color="auto"/>
            <w:bottom w:val="none" w:sz="0" w:space="0" w:color="auto"/>
            <w:right w:val="none" w:sz="0" w:space="0" w:color="auto"/>
          </w:divBdr>
        </w:div>
        <w:div w:id="576135359">
          <w:marLeft w:val="0"/>
          <w:marRight w:val="0"/>
          <w:marTop w:val="0"/>
          <w:marBottom w:val="0"/>
          <w:divBdr>
            <w:top w:val="none" w:sz="0" w:space="0" w:color="auto"/>
            <w:left w:val="none" w:sz="0" w:space="0" w:color="auto"/>
            <w:bottom w:val="none" w:sz="0" w:space="0" w:color="auto"/>
            <w:right w:val="none" w:sz="0" w:space="0" w:color="auto"/>
          </w:divBdr>
        </w:div>
        <w:div w:id="1058818896">
          <w:marLeft w:val="0"/>
          <w:marRight w:val="0"/>
          <w:marTop w:val="0"/>
          <w:marBottom w:val="0"/>
          <w:divBdr>
            <w:top w:val="none" w:sz="0" w:space="0" w:color="auto"/>
            <w:left w:val="none" w:sz="0" w:space="0" w:color="auto"/>
            <w:bottom w:val="none" w:sz="0" w:space="0" w:color="auto"/>
            <w:right w:val="none" w:sz="0" w:space="0" w:color="auto"/>
          </w:divBdr>
        </w:div>
        <w:div w:id="1286307258">
          <w:marLeft w:val="0"/>
          <w:marRight w:val="0"/>
          <w:marTop w:val="0"/>
          <w:marBottom w:val="0"/>
          <w:divBdr>
            <w:top w:val="none" w:sz="0" w:space="0" w:color="auto"/>
            <w:left w:val="none" w:sz="0" w:space="0" w:color="auto"/>
            <w:bottom w:val="none" w:sz="0" w:space="0" w:color="auto"/>
            <w:right w:val="none" w:sz="0" w:space="0" w:color="auto"/>
          </w:divBdr>
        </w:div>
        <w:div w:id="1594893458">
          <w:marLeft w:val="0"/>
          <w:marRight w:val="0"/>
          <w:marTop w:val="0"/>
          <w:marBottom w:val="0"/>
          <w:divBdr>
            <w:top w:val="none" w:sz="0" w:space="0" w:color="auto"/>
            <w:left w:val="none" w:sz="0" w:space="0" w:color="auto"/>
            <w:bottom w:val="none" w:sz="0" w:space="0" w:color="auto"/>
            <w:right w:val="none" w:sz="0" w:space="0" w:color="auto"/>
          </w:divBdr>
        </w:div>
        <w:div w:id="1749645597">
          <w:marLeft w:val="0"/>
          <w:marRight w:val="0"/>
          <w:marTop w:val="0"/>
          <w:marBottom w:val="0"/>
          <w:divBdr>
            <w:top w:val="none" w:sz="0" w:space="0" w:color="auto"/>
            <w:left w:val="none" w:sz="0" w:space="0" w:color="auto"/>
            <w:bottom w:val="none" w:sz="0" w:space="0" w:color="auto"/>
            <w:right w:val="none" w:sz="0" w:space="0" w:color="auto"/>
          </w:divBdr>
        </w:div>
        <w:div w:id="1750930529">
          <w:marLeft w:val="0"/>
          <w:marRight w:val="0"/>
          <w:marTop w:val="0"/>
          <w:marBottom w:val="0"/>
          <w:divBdr>
            <w:top w:val="none" w:sz="0" w:space="0" w:color="auto"/>
            <w:left w:val="none" w:sz="0" w:space="0" w:color="auto"/>
            <w:bottom w:val="none" w:sz="0" w:space="0" w:color="auto"/>
            <w:right w:val="none" w:sz="0" w:space="0" w:color="auto"/>
          </w:divBdr>
        </w:div>
        <w:div w:id="1762140125">
          <w:marLeft w:val="0"/>
          <w:marRight w:val="0"/>
          <w:marTop w:val="0"/>
          <w:marBottom w:val="0"/>
          <w:divBdr>
            <w:top w:val="none" w:sz="0" w:space="0" w:color="auto"/>
            <w:left w:val="none" w:sz="0" w:space="0" w:color="auto"/>
            <w:bottom w:val="none" w:sz="0" w:space="0" w:color="auto"/>
            <w:right w:val="none" w:sz="0" w:space="0" w:color="auto"/>
          </w:divBdr>
        </w:div>
        <w:div w:id="1785614879">
          <w:marLeft w:val="0"/>
          <w:marRight w:val="0"/>
          <w:marTop w:val="0"/>
          <w:marBottom w:val="0"/>
          <w:divBdr>
            <w:top w:val="none" w:sz="0" w:space="0" w:color="auto"/>
            <w:left w:val="none" w:sz="0" w:space="0" w:color="auto"/>
            <w:bottom w:val="none" w:sz="0" w:space="0" w:color="auto"/>
            <w:right w:val="none" w:sz="0" w:space="0" w:color="auto"/>
          </w:divBdr>
        </w:div>
        <w:div w:id="1821652455">
          <w:marLeft w:val="0"/>
          <w:marRight w:val="0"/>
          <w:marTop w:val="0"/>
          <w:marBottom w:val="0"/>
          <w:divBdr>
            <w:top w:val="none" w:sz="0" w:space="0" w:color="auto"/>
            <w:left w:val="none" w:sz="0" w:space="0" w:color="auto"/>
            <w:bottom w:val="none" w:sz="0" w:space="0" w:color="auto"/>
            <w:right w:val="none" w:sz="0" w:space="0" w:color="auto"/>
          </w:divBdr>
        </w:div>
        <w:div w:id="1866092397">
          <w:marLeft w:val="0"/>
          <w:marRight w:val="0"/>
          <w:marTop w:val="0"/>
          <w:marBottom w:val="0"/>
          <w:divBdr>
            <w:top w:val="none" w:sz="0" w:space="0" w:color="auto"/>
            <w:left w:val="none" w:sz="0" w:space="0" w:color="auto"/>
            <w:bottom w:val="none" w:sz="0" w:space="0" w:color="auto"/>
            <w:right w:val="none" w:sz="0" w:space="0" w:color="auto"/>
          </w:divBdr>
        </w:div>
        <w:div w:id="1956280432">
          <w:marLeft w:val="0"/>
          <w:marRight w:val="0"/>
          <w:marTop w:val="0"/>
          <w:marBottom w:val="0"/>
          <w:divBdr>
            <w:top w:val="none" w:sz="0" w:space="0" w:color="auto"/>
            <w:left w:val="none" w:sz="0" w:space="0" w:color="auto"/>
            <w:bottom w:val="none" w:sz="0" w:space="0" w:color="auto"/>
            <w:right w:val="none" w:sz="0" w:space="0" w:color="auto"/>
          </w:divBdr>
        </w:div>
      </w:divsChild>
    </w:div>
    <w:div w:id="1850946056">
      <w:bodyDiv w:val="1"/>
      <w:marLeft w:val="0"/>
      <w:marRight w:val="0"/>
      <w:marTop w:val="0"/>
      <w:marBottom w:val="0"/>
      <w:divBdr>
        <w:top w:val="none" w:sz="0" w:space="0" w:color="auto"/>
        <w:left w:val="none" w:sz="0" w:space="0" w:color="auto"/>
        <w:bottom w:val="none" w:sz="0" w:space="0" w:color="auto"/>
        <w:right w:val="none" w:sz="0" w:space="0" w:color="auto"/>
      </w:divBdr>
    </w:div>
    <w:div w:id="1905871050">
      <w:bodyDiv w:val="1"/>
      <w:marLeft w:val="0"/>
      <w:marRight w:val="0"/>
      <w:marTop w:val="0"/>
      <w:marBottom w:val="0"/>
      <w:divBdr>
        <w:top w:val="none" w:sz="0" w:space="0" w:color="auto"/>
        <w:left w:val="none" w:sz="0" w:space="0" w:color="auto"/>
        <w:bottom w:val="none" w:sz="0" w:space="0" w:color="auto"/>
        <w:right w:val="none" w:sz="0" w:space="0" w:color="auto"/>
      </w:divBdr>
    </w:div>
    <w:div w:id="1928924571">
      <w:bodyDiv w:val="1"/>
      <w:marLeft w:val="0"/>
      <w:marRight w:val="0"/>
      <w:marTop w:val="0"/>
      <w:marBottom w:val="0"/>
      <w:divBdr>
        <w:top w:val="none" w:sz="0" w:space="0" w:color="auto"/>
        <w:left w:val="none" w:sz="0" w:space="0" w:color="auto"/>
        <w:bottom w:val="none" w:sz="0" w:space="0" w:color="auto"/>
        <w:right w:val="none" w:sz="0" w:space="0" w:color="auto"/>
      </w:divBdr>
    </w:div>
    <w:div w:id="1934584393">
      <w:bodyDiv w:val="1"/>
      <w:marLeft w:val="0"/>
      <w:marRight w:val="0"/>
      <w:marTop w:val="0"/>
      <w:marBottom w:val="0"/>
      <w:divBdr>
        <w:top w:val="none" w:sz="0" w:space="0" w:color="auto"/>
        <w:left w:val="none" w:sz="0" w:space="0" w:color="auto"/>
        <w:bottom w:val="none" w:sz="0" w:space="0" w:color="auto"/>
        <w:right w:val="none" w:sz="0" w:space="0" w:color="auto"/>
      </w:divBdr>
    </w:div>
    <w:div w:id="1950816323">
      <w:bodyDiv w:val="1"/>
      <w:marLeft w:val="0"/>
      <w:marRight w:val="0"/>
      <w:marTop w:val="0"/>
      <w:marBottom w:val="0"/>
      <w:divBdr>
        <w:top w:val="none" w:sz="0" w:space="0" w:color="auto"/>
        <w:left w:val="none" w:sz="0" w:space="0" w:color="auto"/>
        <w:bottom w:val="none" w:sz="0" w:space="0" w:color="auto"/>
        <w:right w:val="none" w:sz="0" w:space="0" w:color="auto"/>
      </w:divBdr>
    </w:div>
    <w:div w:id="1952587088">
      <w:bodyDiv w:val="1"/>
      <w:marLeft w:val="0"/>
      <w:marRight w:val="0"/>
      <w:marTop w:val="0"/>
      <w:marBottom w:val="0"/>
      <w:divBdr>
        <w:top w:val="none" w:sz="0" w:space="0" w:color="auto"/>
        <w:left w:val="none" w:sz="0" w:space="0" w:color="auto"/>
        <w:bottom w:val="none" w:sz="0" w:space="0" w:color="auto"/>
        <w:right w:val="none" w:sz="0" w:space="0" w:color="auto"/>
      </w:divBdr>
    </w:div>
    <w:div w:id="1957909819">
      <w:bodyDiv w:val="1"/>
      <w:marLeft w:val="0"/>
      <w:marRight w:val="0"/>
      <w:marTop w:val="0"/>
      <w:marBottom w:val="0"/>
      <w:divBdr>
        <w:top w:val="none" w:sz="0" w:space="0" w:color="auto"/>
        <w:left w:val="none" w:sz="0" w:space="0" w:color="auto"/>
        <w:bottom w:val="none" w:sz="0" w:space="0" w:color="auto"/>
        <w:right w:val="none" w:sz="0" w:space="0" w:color="auto"/>
      </w:divBdr>
    </w:div>
    <w:div w:id="1960184946">
      <w:bodyDiv w:val="1"/>
      <w:marLeft w:val="0"/>
      <w:marRight w:val="0"/>
      <w:marTop w:val="0"/>
      <w:marBottom w:val="0"/>
      <w:divBdr>
        <w:top w:val="none" w:sz="0" w:space="0" w:color="auto"/>
        <w:left w:val="none" w:sz="0" w:space="0" w:color="auto"/>
        <w:bottom w:val="none" w:sz="0" w:space="0" w:color="auto"/>
        <w:right w:val="none" w:sz="0" w:space="0" w:color="auto"/>
      </w:divBdr>
    </w:div>
    <w:div w:id="1971667637">
      <w:bodyDiv w:val="1"/>
      <w:marLeft w:val="0"/>
      <w:marRight w:val="0"/>
      <w:marTop w:val="0"/>
      <w:marBottom w:val="0"/>
      <w:divBdr>
        <w:top w:val="none" w:sz="0" w:space="0" w:color="auto"/>
        <w:left w:val="none" w:sz="0" w:space="0" w:color="auto"/>
        <w:bottom w:val="none" w:sz="0" w:space="0" w:color="auto"/>
        <w:right w:val="none" w:sz="0" w:space="0" w:color="auto"/>
      </w:divBdr>
      <w:divsChild>
        <w:div w:id="227882686">
          <w:marLeft w:val="0"/>
          <w:marRight w:val="0"/>
          <w:marTop w:val="0"/>
          <w:marBottom w:val="0"/>
          <w:divBdr>
            <w:top w:val="none" w:sz="0" w:space="0" w:color="auto"/>
            <w:left w:val="none" w:sz="0" w:space="0" w:color="auto"/>
            <w:bottom w:val="none" w:sz="0" w:space="0" w:color="auto"/>
            <w:right w:val="none" w:sz="0" w:space="0" w:color="auto"/>
          </w:divBdr>
        </w:div>
        <w:div w:id="241840726">
          <w:marLeft w:val="0"/>
          <w:marRight w:val="0"/>
          <w:marTop w:val="0"/>
          <w:marBottom w:val="0"/>
          <w:divBdr>
            <w:top w:val="none" w:sz="0" w:space="0" w:color="auto"/>
            <w:left w:val="none" w:sz="0" w:space="0" w:color="auto"/>
            <w:bottom w:val="none" w:sz="0" w:space="0" w:color="auto"/>
            <w:right w:val="none" w:sz="0" w:space="0" w:color="auto"/>
          </w:divBdr>
        </w:div>
        <w:div w:id="265238148">
          <w:marLeft w:val="0"/>
          <w:marRight w:val="0"/>
          <w:marTop w:val="0"/>
          <w:marBottom w:val="0"/>
          <w:divBdr>
            <w:top w:val="none" w:sz="0" w:space="0" w:color="auto"/>
            <w:left w:val="none" w:sz="0" w:space="0" w:color="auto"/>
            <w:bottom w:val="none" w:sz="0" w:space="0" w:color="auto"/>
            <w:right w:val="none" w:sz="0" w:space="0" w:color="auto"/>
          </w:divBdr>
        </w:div>
        <w:div w:id="278493533">
          <w:marLeft w:val="0"/>
          <w:marRight w:val="0"/>
          <w:marTop w:val="0"/>
          <w:marBottom w:val="0"/>
          <w:divBdr>
            <w:top w:val="none" w:sz="0" w:space="0" w:color="auto"/>
            <w:left w:val="none" w:sz="0" w:space="0" w:color="auto"/>
            <w:bottom w:val="none" w:sz="0" w:space="0" w:color="auto"/>
            <w:right w:val="none" w:sz="0" w:space="0" w:color="auto"/>
          </w:divBdr>
        </w:div>
        <w:div w:id="751396785">
          <w:marLeft w:val="0"/>
          <w:marRight w:val="0"/>
          <w:marTop w:val="0"/>
          <w:marBottom w:val="0"/>
          <w:divBdr>
            <w:top w:val="none" w:sz="0" w:space="0" w:color="auto"/>
            <w:left w:val="none" w:sz="0" w:space="0" w:color="auto"/>
            <w:bottom w:val="none" w:sz="0" w:space="0" w:color="auto"/>
            <w:right w:val="none" w:sz="0" w:space="0" w:color="auto"/>
          </w:divBdr>
        </w:div>
        <w:div w:id="1036849810">
          <w:marLeft w:val="0"/>
          <w:marRight w:val="0"/>
          <w:marTop w:val="0"/>
          <w:marBottom w:val="0"/>
          <w:divBdr>
            <w:top w:val="none" w:sz="0" w:space="0" w:color="auto"/>
            <w:left w:val="none" w:sz="0" w:space="0" w:color="auto"/>
            <w:bottom w:val="none" w:sz="0" w:space="0" w:color="auto"/>
            <w:right w:val="none" w:sz="0" w:space="0" w:color="auto"/>
          </w:divBdr>
        </w:div>
        <w:div w:id="2126071653">
          <w:marLeft w:val="0"/>
          <w:marRight w:val="0"/>
          <w:marTop w:val="0"/>
          <w:marBottom w:val="0"/>
          <w:divBdr>
            <w:top w:val="none" w:sz="0" w:space="0" w:color="auto"/>
            <w:left w:val="none" w:sz="0" w:space="0" w:color="auto"/>
            <w:bottom w:val="none" w:sz="0" w:space="0" w:color="auto"/>
            <w:right w:val="none" w:sz="0" w:space="0" w:color="auto"/>
          </w:divBdr>
        </w:div>
      </w:divsChild>
    </w:div>
    <w:div w:id="1976906999">
      <w:bodyDiv w:val="1"/>
      <w:marLeft w:val="0"/>
      <w:marRight w:val="0"/>
      <w:marTop w:val="0"/>
      <w:marBottom w:val="0"/>
      <w:divBdr>
        <w:top w:val="none" w:sz="0" w:space="0" w:color="auto"/>
        <w:left w:val="none" w:sz="0" w:space="0" w:color="auto"/>
        <w:bottom w:val="none" w:sz="0" w:space="0" w:color="auto"/>
        <w:right w:val="none" w:sz="0" w:space="0" w:color="auto"/>
      </w:divBdr>
    </w:div>
    <w:div w:id="1980526179">
      <w:bodyDiv w:val="1"/>
      <w:marLeft w:val="0"/>
      <w:marRight w:val="0"/>
      <w:marTop w:val="0"/>
      <w:marBottom w:val="0"/>
      <w:divBdr>
        <w:top w:val="none" w:sz="0" w:space="0" w:color="auto"/>
        <w:left w:val="none" w:sz="0" w:space="0" w:color="auto"/>
        <w:bottom w:val="none" w:sz="0" w:space="0" w:color="auto"/>
        <w:right w:val="none" w:sz="0" w:space="0" w:color="auto"/>
      </w:divBdr>
    </w:div>
    <w:div w:id="2011711929">
      <w:bodyDiv w:val="1"/>
      <w:marLeft w:val="0"/>
      <w:marRight w:val="0"/>
      <w:marTop w:val="0"/>
      <w:marBottom w:val="0"/>
      <w:divBdr>
        <w:top w:val="none" w:sz="0" w:space="0" w:color="auto"/>
        <w:left w:val="none" w:sz="0" w:space="0" w:color="auto"/>
        <w:bottom w:val="none" w:sz="0" w:space="0" w:color="auto"/>
        <w:right w:val="none" w:sz="0" w:space="0" w:color="auto"/>
      </w:divBdr>
    </w:div>
    <w:div w:id="2021423056">
      <w:bodyDiv w:val="1"/>
      <w:marLeft w:val="0"/>
      <w:marRight w:val="0"/>
      <w:marTop w:val="0"/>
      <w:marBottom w:val="0"/>
      <w:divBdr>
        <w:top w:val="none" w:sz="0" w:space="0" w:color="auto"/>
        <w:left w:val="none" w:sz="0" w:space="0" w:color="auto"/>
        <w:bottom w:val="none" w:sz="0" w:space="0" w:color="auto"/>
        <w:right w:val="none" w:sz="0" w:space="0" w:color="auto"/>
      </w:divBdr>
    </w:div>
    <w:div w:id="2026707316">
      <w:bodyDiv w:val="1"/>
      <w:marLeft w:val="0"/>
      <w:marRight w:val="0"/>
      <w:marTop w:val="0"/>
      <w:marBottom w:val="0"/>
      <w:divBdr>
        <w:top w:val="none" w:sz="0" w:space="0" w:color="auto"/>
        <w:left w:val="none" w:sz="0" w:space="0" w:color="auto"/>
        <w:bottom w:val="none" w:sz="0" w:space="0" w:color="auto"/>
        <w:right w:val="none" w:sz="0" w:space="0" w:color="auto"/>
      </w:divBdr>
    </w:div>
    <w:div w:id="2037656880">
      <w:bodyDiv w:val="1"/>
      <w:marLeft w:val="0"/>
      <w:marRight w:val="0"/>
      <w:marTop w:val="0"/>
      <w:marBottom w:val="0"/>
      <w:divBdr>
        <w:top w:val="none" w:sz="0" w:space="0" w:color="auto"/>
        <w:left w:val="none" w:sz="0" w:space="0" w:color="auto"/>
        <w:bottom w:val="none" w:sz="0" w:space="0" w:color="auto"/>
        <w:right w:val="none" w:sz="0" w:space="0" w:color="auto"/>
      </w:divBdr>
    </w:div>
    <w:div w:id="2039546235">
      <w:bodyDiv w:val="1"/>
      <w:marLeft w:val="0"/>
      <w:marRight w:val="0"/>
      <w:marTop w:val="0"/>
      <w:marBottom w:val="0"/>
      <w:divBdr>
        <w:top w:val="none" w:sz="0" w:space="0" w:color="auto"/>
        <w:left w:val="none" w:sz="0" w:space="0" w:color="auto"/>
        <w:bottom w:val="none" w:sz="0" w:space="0" w:color="auto"/>
        <w:right w:val="none" w:sz="0" w:space="0" w:color="auto"/>
      </w:divBdr>
    </w:div>
    <w:div w:id="2057852693">
      <w:bodyDiv w:val="1"/>
      <w:marLeft w:val="0"/>
      <w:marRight w:val="0"/>
      <w:marTop w:val="0"/>
      <w:marBottom w:val="0"/>
      <w:divBdr>
        <w:top w:val="none" w:sz="0" w:space="0" w:color="auto"/>
        <w:left w:val="none" w:sz="0" w:space="0" w:color="auto"/>
        <w:bottom w:val="none" w:sz="0" w:space="0" w:color="auto"/>
        <w:right w:val="none" w:sz="0" w:space="0" w:color="auto"/>
      </w:divBdr>
    </w:div>
    <w:div w:id="2058772701">
      <w:bodyDiv w:val="1"/>
      <w:marLeft w:val="0"/>
      <w:marRight w:val="0"/>
      <w:marTop w:val="0"/>
      <w:marBottom w:val="0"/>
      <w:divBdr>
        <w:top w:val="none" w:sz="0" w:space="0" w:color="auto"/>
        <w:left w:val="none" w:sz="0" w:space="0" w:color="auto"/>
        <w:bottom w:val="none" w:sz="0" w:space="0" w:color="auto"/>
        <w:right w:val="none" w:sz="0" w:space="0" w:color="auto"/>
      </w:divBdr>
    </w:div>
    <w:div w:id="2064332527">
      <w:bodyDiv w:val="1"/>
      <w:marLeft w:val="0"/>
      <w:marRight w:val="0"/>
      <w:marTop w:val="0"/>
      <w:marBottom w:val="0"/>
      <w:divBdr>
        <w:top w:val="none" w:sz="0" w:space="0" w:color="auto"/>
        <w:left w:val="none" w:sz="0" w:space="0" w:color="auto"/>
        <w:bottom w:val="none" w:sz="0" w:space="0" w:color="auto"/>
        <w:right w:val="none" w:sz="0" w:space="0" w:color="auto"/>
      </w:divBdr>
    </w:div>
    <w:div w:id="2074347069">
      <w:bodyDiv w:val="1"/>
      <w:marLeft w:val="0"/>
      <w:marRight w:val="0"/>
      <w:marTop w:val="0"/>
      <w:marBottom w:val="0"/>
      <w:divBdr>
        <w:top w:val="none" w:sz="0" w:space="0" w:color="auto"/>
        <w:left w:val="none" w:sz="0" w:space="0" w:color="auto"/>
        <w:bottom w:val="none" w:sz="0" w:space="0" w:color="auto"/>
        <w:right w:val="none" w:sz="0" w:space="0" w:color="auto"/>
      </w:divBdr>
    </w:div>
    <w:div w:id="2081437384">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
    <w:div w:id="2103798644">
      <w:bodyDiv w:val="1"/>
      <w:marLeft w:val="0"/>
      <w:marRight w:val="0"/>
      <w:marTop w:val="0"/>
      <w:marBottom w:val="0"/>
      <w:divBdr>
        <w:top w:val="none" w:sz="0" w:space="0" w:color="auto"/>
        <w:left w:val="none" w:sz="0" w:space="0" w:color="auto"/>
        <w:bottom w:val="none" w:sz="0" w:space="0" w:color="auto"/>
        <w:right w:val="none" w:sz="0" w:space="0" w:color="auto"/>
      </w:divBdr>
    </w:div>
    <w:div w:id="2105101267">
      <w:bodyDiv w:val="1"/>
      <w:marLeft w:val="0"/>
      <w:marRight w:val="0"/>
      <w:marTop w:val="0"/>
      <w:marBottom w:val="0"/>
      <w:divBdr>
        <w:top w:val="none" w:sz="0" w:space="0" w:color="auto"/>
        <w:left w:val="none" w:sz="0" w:space="0" w:color="auto"/>
        <w:bottom w:val="none" w:sz="0" w:space="0" w:color="auto"/>
        <w:right w:val="none" w:sz="0" w:space="0" w:color="auto"/>
      </w:divBdr>
    </w:div>
    <w:div w:id="2106077370">
      <w:bodyDiv w:val="1"/>
      <w:marLeft w:val="0"/>
      <w:marRight w:val="0"/>
      <w:marTop w:val="0"/>
      <w:marBottom w:val="0"/>
      <w:divBdr>
        <w:top w:val="none" w:sz="0" w:space="0" w:color="auto"/>
        <w:left w:val="none" w:sz="0" w:space="0" w:color="auto"/>
        <w:bottom w:val="none" w:sz="0" w:space="0" w:color="auto"/>
        <w:right w:val="none" w:sz="0" w:space="0" w:color="auto"/>
      </w:divBdr>
      <w:divsChild>
        <w:div w:id="18626715">
          <w:marLeft w:val="0"/>
          <w:marRight w:val="0"/>
          <w:marTop w:val="0"/>
          <w:marBottom w:val="0"/>
          <w:divBdr>
            <w:top w:val="none" w:sz="0" w:space="0" w:color="auto"/>
            <w:left w:val="none" w:sz="0" w:space="0" w:color="auto"/>
            <w:bottom w:val="none" w:sz="0" w:space="0" w:color="auto"/>
            <w:right w:val="none" w:sz="0" w:space="0" w:color="auto"/>
          </w:divBdr>
        </w:div>
        <w:div w:id="105271133">
          <w:marLeft w:val="0"/>
          <w:marRight w:val="0"/>
          <w:marTop w:val="0"/>
          <w:marBottom w:val="0"/>
          <w:divBdr>
            <w:top w:val="none" w:sz="0" w:space="0" w:color="auto"/>
            <w:left w:val="none" w:sz="0" w:space="0" w:color="auto"/>
            <w:bottom w:val="none" w:sz="0" w:space="0" w:color="auto"/>
            <w:right w:val="none" w:sz="0" w:space="0" w:color="auto"/>
          </w:divBdr>
        </w:div>
        <w:div w:id="130249732">
          <w:marLeft w:val="0"/>
          <w:marRight w:val="0"/>
          <w:marTop w:val="0"/>
          <w:marBottom w:val="0"/>
          <w:divBdr>
            <w:top w:val="none" w:sz="0" w:space="0" w:color="auto"/>
            <w:left w:val="none" w:sz="0" w:space="0" w:color="auto"/>
            <w:bottom w:val="none" w:sz="0" w:space="0" w:color="auto"/>
            <w:right w:val="none" w:sz="0" w:space="0" w:color="auto"/>
          </w:divBdr>
        </w:div>
        <w:div w:id="317077473">
          <w:marLeft w:val="0"/>
          <w:marRight w:val="0"/>
          <w:marTop w:val="0"/>
          <w:marBottom w:val="0"/>
          <w:divBdr>
            <w:top w:val="none" w:sz="0" w:space="0" w:color="auto"/>
            <w:left w:val="none" w:sz="0" w:space="0" w:color="auto"/>
            <w:bottom w:val="none" w:sz="0" w:space="0" w:color="auto"/>
            <w:right w:val="none" w:sz="0" w:space="0" w:color="auto"/>
          </w:divBdr>
        </w:div>
        <w:div w:id="584220063">
          <w:marLeft w:val="0"/>
          <w:marRight w:val="0"/>
          <w:marTop w:val="0"/>
          <w:marBottom w:val="0"/>
          <w:divBdr>
            <w:top w:val="none" w:sz="0" w:space="0" w:color="auto"/>
            <w:left w:val="none" w:sz="0" w:space="0" w:color="auto"/>
            <w:bottom w:val="none" w:sz="0" w:space="0" w:color="auto"/>
            <w:right w:val="none" w:sz="0" w:space="0" w:color="auto"/>
          </w:divBdr>
        </w:div>
        <w:div w:id="616715238">
          <w:marLeft w:val="0"/>
          <w:marRight w:val="0"/>
          <w:marTop w:val="0"/>
          <w:marBottom w:val="0"/>
          <w:divBdr>
            <w:top w:val="none" w:sz="0" w:space="0" w:color="auto"/>
            <w:left w:val="none" w:sz="0" w:space="0" w:color="auto"/>
            <w:bottom w:val="none" w:sz="0" w:space="0" w:color="auto"/>
            <w:right w:val="none" w:sz="0" w:space="0" w:color="auto"/>
          </w:divBdr>
        </w:div>
        <w:div w:id="625426528">
          <w:marLeft w:val="0"/>
          <w:marRight w:val="0"/>
          <w:marTop w:val="0"/>
          <w:marBottom w:val="0"/>
          <w:divBdr>
            <w:top w:val="none" w:sz="0" w:space="0" w:color="auto"/>
            <w:left w:val="none" w:sz="0" w:space="0" w:color="auto"/>
            <w:bottom w:val="none" w:sz="0" w:space="0" w:color="auto"/>
            <w:right w:val="none" w:sz="0" w:space="0" w:color="auto"/>
          </w:divBdr>
        </w:div>
        <w:div w:id="788202740">
          <w:marLeft w:val="0"/>
          <w:marRight w:val="0"/>
          <w:marTop w:val="0"/>
          <w:marBottom w:val="0"/>
          <w:divBdr>
            <w:top w:val="none" w:sz="0" w:space="0" w:color="auto"/>
            <w:left w:val="none" w:sz="0" w:space="0" w:color="auto"/>
            <w:bottom w:val="none" w:sz="0" w:space="0" w:color="auto"/>
            <w:right w:val="none" w:sz="0" w:space="0" w:color="auto"/>
          </w:divBdr>
        </w:div>
        <w:div w:id="807819619">
          <w:marLeft w:val="0"/>
          <w:marRight w:val="0"/>
          <w:marTop w:val="0"/>
          <w:marBottom w:val="0"/>
          <w:divBdr>
            <w:top w:val="none" w:sz="0" w:space="0" w:color="auto"/>
            <w:left w:val="none" w:sz="0" w:space="0" w:color="auto"/>
            <w:bottom w:val="none" w:sz="0" w:space="0" w:color="auto"/>
            <w:right w:val="none" w:sz="0" w:space="0" w:color="auto"/>
          </w:divBdr>
        </w:div>
        <w:div w:id="820658761">
          <w:marLeft w:val="0"/>
          <w:marRight w:val="0"/>
          <w:marTop w:val="0"/>
          <w:marBottom w:val="0"/>
          <w:divBdr>
            <w:top w:val="none" w:sz="0" w:space="0" w:color="auto"/>
            <w:left w:val="none" w:sz="0" w:space="0" w:color="auto"/>
            <w:bottom w:val="none" w:sz="0" w:space="0" w:color="auto"/>
            <w:right w:val="none" w:sz="0" w:space="0" w:color="auto"/>
          </w:divBdr>
        </w:div>
        <w:div w:id="822745804">
          <w:marLeft w:val="0"/>
          <w:marRight w:val="0"/>
          <w:marTop w:val="0"/>
          <w:marBottom w:val="0"/>
          <w:divBdr>
            <w:top w:val="none" w:sz="0" w:space="0" w:color="auto"/>
            <w:left w:val="none" w:sz="0" w:space="0" w:color="auto"/>
            <w:bottom w:val="none" w:sz="0" w:space="0" w:color="auto"/>
            <w:right w:val="none" w:sz="0" w:space="0" w:color="auto"/>
          </w:divBdr>
        </w:div>
        <w:div w:id="1010641152">
          <w:marLeft w:val="0"/>
          <w:marRight w:val="0"/>
          <w:marTop w:val="0"/>
          <w:marBottom w:val="0"/>
          <w:divBdr>
            <w:top w:val="none" w:sz="0" w:space="0" w:color="auto"/>
            <w:left w:val="none" w:sz="0" w:space="0" w:color="auto"/>
            <w:bottom w:val="none" w:sz="0" w:space="0" w:color="auto"/>
            <w:right w:val="none" w:sz="0" w:space="0" w:color="auto"/>
          </w:divBdr>
        </w:div>
        <w:div w:id="1041053573">
          <w:marLeft w:val="0"/>
          <w:marRight w:val="0"/>
          <w:marTop w:val="0"/>
          <w:marBottom w:val="0"/>
          <w:divBdr>
            <w:top w:val="none" w:sz="0" w:space="0" w:color="auto"/>
            <w:left w:val="none" w:sz="0" w:space="0" w:color="auto"/>
            <w:bottom w:val="none" w:sz="0" w:space="0" w:color="auto"/>
            <w:right w:val="none" w:sz="0" w:space="0" w:color="auto"/>
          </w:divBdr>
        </w:div>
        <w:div w:id="1061903552">
          <w:marLeft w:val="0"/>
          <w:marRight w:val="0"/>
          <w:marTop w:val="0"/>
          <w:marBottom w:val="0"/>
          <w:divBdr>
            <w:top w:val="none" w:sz="0" w:space="0" w:color="auto"/>
            <w:left w:val="none" w:sz="0" w:space="0" w:color="auto"/>
            <w:bottom w:val="none" w:sz="0" w:space="0" w:color="auto"/>
            <w:right w:val="none" w:sz="0" w:space="0" w:color="auto"/>
          </w:divBdr>
        </w:div>
        <w:div w:id="1118916994">
          <w:marLeft w:val="0"/>
          <w:marRight w:val="0"/>
          <w:marTop w:val="0"/>
          <w:marBottom w:val="0"/>
          <w:divBdr>
            <w:top w:val="none" w:sz="0" w:space="0" w:color="auto"/>
            <w:left w:val="none" w:sz="0" w:space="0" w:color="auto"/>
            <w:bottom w:val="none" w:sz="0" w:space="0" w:color="auto"/>
            <w:right w:val="none" w:sz="0" w:space="0" w:color="auto"/>
          </w:divBdr>
        </w:div>
        <w:div w:id="1147743530">
          <w:marLeft w:val="0"/>
          <w:marRight w:val="0"/>
          <w:marTop w:val="0"/>
          <w:marBottom w:val="0"/>
          <w:divBdr>
            <w:top w:val="none" w:sz="0" w:space="0" w:color="auto"/>
            <w:left w:val="none" w:sz="0" w:space="0" w:color="auto"/>
            <w:bottom w:val="none" w:sz="0" w:space="0" w:color="auto"/>
            <w:right w:val="none" w:sz="0" w:space="0" w:color="auto"/>
          </w:divBdr>
        </w:div>
        <w:div w:id="1195536734">
          <w:marLeft w:val="0"/>
          <w:marRight w:val="0"/>
          <w:marTop w:val="0"/>
          <w:marBottom w:val="0"/>
          <w:divBdr>
            <w:top w:val="none" w:sz="0" w:space="0" w:color="auto"/>
            <w:left w:val="none" w:sz="0" w:space="0" w:color="auto"/>
            <w:bottom w:val="none" w:sz="0" w:space="0" w:color="auto"/>
            <w:right w:val="none" w:sz="0" w:space="0" w:color="auto"/>
          </w:divBdr>
        </w:div>
        <w:div w:id="1272321103">
          <w:marLeft w:val="0"/>
          <w:marRight w:val="0"/>
          <w:marTop w:val="0"/>
          <w:marBottom w:val="0"/>
          <w:divBdr>
            <w:top w:val="none" w:sz="0" w:space="0" w:color="auto"/>
            <w:left w:val="none" w:sz="0" w:space="0" w:color="auto"/>
            <w:bottom w:val="none" w:sz="0" w:space="0" w:color="auto"/>
            <w:right w:val="none" w:sz="0" w:space="0" w:color="auto"/>
          </w:divBdr>
        </w:div>
        <w:div w:id="1474985711">
          <w:marLeft w:val="0"/>
          <w:marRight w:val="0"/>
          <w:marTop w:val="0"/>
          <w:marBottom w:val="0"/>
          <w:divBdr>
            <w:top w:val="none" w:sz="0" w:space="0" w:color="auto"/>
            <w:left w:val="none" w:sz="0" w:space="0" w:color="auto"/>
            <w:bottom w:val="none" w:sz="0" w:space="0" w:color="auto"/>
            <w:right w:val="none" w:sz="0" w:space="0" w:color="auto"/>
          </w:divBdr>
        </w:div>
        <w:div w:id="1507986998">
          <w:marLeft w:val="0"/>
          <w:marRight w:val="0"/>
          <w:marTop w:val="0"/>
          <w:marBottom w:val="0"/>
          <w:divBdr>
            <w:top w:val="none" w:sz="0" w:space="0" w:color="auto"/>
            <w:left w:val="none" w:sz="0" w:space="0" w:color="auto"/>
            <w:bottom w:val="none" w:sz="0" w:space="0" w:color="auto"/>
            <w:right w:val="none" w:sz="0" w:space="0" w:color="auto"/>
          </w:divBdr>
        </w:div>
        <w:div w:id="1571234202">
          <w:marLeft w:val="0"/>
          <w:marRight w:val="0"/>
          <w:marTop w:val="0"/>
          <w:marBottom w:val="0"/>
          <w:divBdr>
            <w:top w:val="none" w:sz="0" w:space="0" w:color="auto"/>
            <w:left w:val="none" w:sz="0" w:space="0" w:color="auto"/>
            <w:bottom w:val="none" w:sz="0" w:space="0" w:color="auto"/>
            <w:right w:val="none" w:sz="0" w:space="0" w:color="auto"/>
          </w:divBdr>
        </w:div>
        <w:div w:id="1713072747">
          <w:marLeft w:val="0"/>
          <w:marRight w:val="0"/>
          <w:marTop w:val="0"/>
          <w:marBottom w:val="0"/>
          <w:divBdr>
            <w:top w:val="none" w:sz="0" w:space="0" w:color="auto"/>
            <w:left w:val="none" w:sz="0" w:space="0" w:color="auto"/>
            <w:bottom w:val="none" w:sz="0" w:space="0" w:color="auto"/>
            <w:right w:val="none" w:sz="0" w:space="0" w:color="auto"/>
          </w:divBdr>
        </w:div>
        <w:div w:id="1927105921">
          <w:marLeft w:val="0"/>
          <w:marRight w:val="0"/>
          <w:marTop w:val="0"/>
          <w:marBottom w:val="0"/>
          <w:divBdr>
            <w:top w:val="none" w:sz="0" w:space="0" w:color="auto"/>
            <w:left w:val="none" w:sz="0" w:space="0" w:color="auto"/>
            <w:bottom w:val="none" w:sz="0" w:space="0" w:color="auto"/>
            <w:right w:val="none" w:sz="0" w:space="0" w:color="auto"/>
          </w:divBdr>
        </w:div>
        <w:div w:id="1962376467">
          <w:marLeft w:val="0"/>
          <w:marRight w:val="0"/>
          <w:marTop w:val="0"/>
          <w:marBottom w:val="0"/>
          <w:divBdr>
            <w:top w:val="none" w:sz="0" w:space="0" w:color="auto"/>
            <w:left w:val="none" w:sz="0" w:space="0" w:color="auto"/>
            <w:bottom w:val="none" w:sz="0" w:space="0" w:color="auto"/>
            <w:right w:val="none" w:sz="0" w:space="0" w:color="auto"/>
          </w:divBdr>
        </w:div>
      </w:divsChild>
    </w:div>
    <w:div w:id="2126927277">
      <w:bodyDiv w:val="1"/>
      <w:marLeft w:val="0"/>
      <w:marRight w:val="0"/>
      <w:marTop w:val="0"/>
      <w:marBottom w:val="0"/>
      <w:divBdr>
        <w:top w:val="none" w:sz="0" w:space="0" w:color="auto"/>
        <w:left w:val="none" w:sz="0" w:space="0" w:color="auto"/>
        <w:bottom w:val="none" w:sz="0" w:space="0" w:color="auto"/>
        <w:right w:val="none" w:sz="0" w:space="0" w:color="auto"/>
      </w:divBdr>
      <w:divsChild>
        <w:div w:id="33313805">
          <w:marLeft w:val="0"/>
          <w:marRight w:val="0"/>
          <w:marTop w:val="0"/>
          <w:marBottom w:val="0"/>
          <w:divBdr>
            <w:top w:val="none" w:sz="0" w:space="0" w:color="auto"/>
            <w:left w:val="none" w:sz="0" w:space="0" w:color="auto"/>
            <w:bottom w:val="none" w:sz="0" w:space="0" w:color="auto"/>
            <w:right w:val="none" w:sz="0" w:space="0" w:color="auto"/>
          </w:divBdr>
        </w:div>
        <w:div w:id="51736683">
          <w:marLeft w:val="0"/>
          <w:marRight w:val="0"/>
          <w:marTop w:val="0"/>
          <w:marBottom w:val="0"/>
          <w:divBdr>
            <w:top w:val="none" w:sz="0" w:space="0" w:color="auto"/>
            <w:left w:val="none" w:sz="0" w:space="0" w:color="auto"/>
            <w:bottom w:val="none" w:sz="0" w:space="0" w:color="auto"/>
            <w:right w:val="none" w:sz="0" w:space="0" w:color="auto"/>
          </w:divBdr>
        </w:div>
        <w:div w:id="193733644">
          <w:marLeft w:val="0"/>
          <w:marRight w:val="0"/>
          <w:marTop w:val="0"/>
          <w:marBottom w:val="0"/>
          <w:divBdr>
            <w:top w:val="none" w:sz="0" w:space="0" w:color="auto"/>
            <w:left w:val="none" w:sz="0" w:space="0" w:color="auto"/>
            <w:bottom w:val="none" w:sz="0" w:space="0" w:color="auto"/>
            <w:right w:val="none" w:sz="0" w:space="0" w:color="auto"/>
          </w:divBdr>
        </w:div>
        <w:div w:id="237443036">
          <w:marLeft w:val="0"/>
          <w:marRight w:val="0"/>
          <w:marTop w:val="0"/>
          <w:marBottom w:val="0"/>
          <w:divBdr>
            <w:top w:val="none" w:sz="0" w:space="0" w:color="auto"/>
            <w:left w:val="none" w:sz="0" w:space="0" w:color="auto"/>
            <w:bottom w:val="none" w:sz="0" w:space="0" w:color="auto"/>
            <w:right w:val="none" w:sz="0" w:space="0" w:color="auto"/>
          </w:divBdr>
        </w:div>
        <w:div w:id="298459453">
          <w:marLeft w:val="0"/>
          <w:marRight w:val="0"/>
          <w:marTop w:val="0"/>
          <w:marBottom w:val="0"/>
          <w:divBdr>
            <w:top w:val="none" w:sz="0" w:space="0" w:color="auto"/>
            <w:left w:val="none" w:sz="0" w:space="0" w:color="auto"/>
            <w:bottom w:val="none" w:sz="0" w:space="0" w:color="auto"/>
            <w:right w:val="none" w:sz="0" w:space="0" w:color="auto"/>
          </w:divBdr>
        </w:div>
        <w:div w:id="460802667">
          <w:marLeft w:val="0"/>
          <w:marRight w:val="0"/>
          <w:marTop w:val="0"/>
          <w:marBottom w:val="0"/>
          <w:divBdr>
            <w:top w:val="none" w:sz="0" w:space="0" w:color="auto"/>
            <w:left w:val="none" w:sz="0" w:space="0" w:color="auto"/>
            <w:bottom w:val="none" w:sz="0" w:space="0" w:color="auto"/>
            <w:right w:val="none" w:sz="0" w:space="0" w:color="auto"/>
          </w:divBdr>
        </w:div>
        <w:div w:id="479080717">
          <w:marLeft w:val="0"/>
          <w:marRight w:val="0"/>
          <w:marTop w:val="0"/>
          <w:marBottom w:val="0"/>
          <w:divBdr>
            <w:top w:val="none" w:sz="0" w:space="0" w:color="auto"/>
            <w:left w:val="none" w:sz="0" w:space="0" w:color="auto"/>
            <w:bottom w:val="none" w:sz="0" w:space="0" w:color="auto"/>
            <w:right w:val="none" w:sz="0" w:space="0" w:color="auto"/>
          </w:divBdr>
        </w:div>
        <w:div w:id="508256720">
          <w:marLeft w:val="0"/>
          <w:marRight w:val="0"/>
          <w:marTop w:val="0"/>
          <w:marBottom w:val="0"/>
          <w:divBdr>
            <w:top w:val="none" w:sz="0" w:space="0" w:color="auto"/>
            <w:left w:val="none" w:sz="0" w:space="0" w:color="auto"/>
            <w:bottom w:val="none" w:sz="0" w:space="0" w:color="auto"/>
            <w:right w:val="none" w:sz="0" w:space="0" w:color="auto"/>
          </w:divBdr>
        </w:div>
        <w:div w:id="656038281">
          <w:marLeft w:val="0"/>
          <w:marRight w:val="0"/>
          <w:marTop w:val="0"/>
          <w:marBottom w:val="0"/>
          <w:divBdr>
            <w:top w:val="none" w:sz="0" w:space="0" w:color="auto"/>
            <w:left w:val="none" w:sz="0" w:space="0" w:color="auto"/>
            <w:bottom w:val="none" w:sz="0" w:space="0" w:color="auto"/>
            <w:right w:val="none" w:sz="0" w:space="0" w:color="auto"/>
          </w:divBdr>
        </w:div>
        <w:div w:id="1025014417">
          <w:marLeft w:val="0"/>
          <w:marRight w:val="0"/>
          <w:marTop w:val="0"/>
          <w:marBottom w:val="0"/>
          <w:divBdr>
            <w:top w:val="none" w:sz="0" w:space="0" w:color="auto"/>
            <w:left w:val="none" w:sz="0" w:space="0" w:color="auto"/>
            <w:bottom w:val="none" w:sz="0" w:space="0" w:color="auto"/>
            <w:right w:val="none" w:sz="0" w:space="0" w:color="auto"/>
          </w:divBdr>
        </w:div>
        <w:div w:id="1164513656">
          <w:marLeft w:val="0"/>
          <w:marRight w:val="0"/>
          <w:marTop w:val="0"/>
          <w:marBottom w:val="0"/>
          <w:divBdr>
            <w:top w:val="none" w:sz="0" w:space="0" w:color="auto"/>
            <w:left w:val="none" w:sz="0" w:space="0" w:color="auto"/>
            <w:bottom w:val="none" w:sz="0" w:space="0" w:color="auto"/>
            <w:right w:val="none" w:sz="0" w:space="0" w:color="auto"/>
          </w:divBdr>
        </w:div>
        <w:div w:id="1195654935">
          <w:marLeft w:val="0"/>
          <w:marRight w:val="0"/>
          <w:marTop w:val="0"/>
          <w:marBottom w:val="0"/>
          <w:divBdr>
            <w:top w:val="none" w:sz="0" w:space="0" w:color="auto"/>
            <w:left w:val="none" w:sz="0" w:space="0" w:color="auto"/>
            <w:bottom w:val="none" w:sz="0" w:space="0" w:color="auto"/>
            <w:right w:val="none" w:sz="0" w:space="0" w:color="auto"/>
          </w:divBdr>
        </w:div>
        <w:div w:id="1221943139">
          <w:marLeft w:val="0"/>
          <w:marRight w:val="0"/>
          <w:marTop w:val="0"/>
          <w:marBottom w:val="0"/>
          <w:divBdr>
            <w:top w:val="none" w:sz="0" w:space="0" w:color="auto"/>
            <w:left w:val="none" w:sz="0" w:space="0" w:color="auto"/>
            <w:bottom w:val="none" w:sz="0" w:space="0" w:color="auto"/>
            <w:right w:val="none" w:sz="0" w:space="0" w:color="auto"/>
          </w:divBdr>
        </w:div>
        <w:div w:id="1330986175">
          <w:marLeft w:val="0"/>
          <w:marRight w:val="0"/>
          <w:marTop w:val="0"/>
          <w:marBottom w:val="0"/>
          <w:divBdr>
            <w:top w:val="none" w:sz="0" w:space="0" w:color="auto"/>
            <w:left w:val="none" w:sz="0" w:space="0" w:color="auto"/>
            <w:bottom w:val="none" w:sz="0" w:space="0" w:color="auto"/>
            <w:right w:val="none" w:sz="0" w:space="0" w:color="auto"/>
          </w:divBdr>
        </w:div>
        <w:div w:id="1529367607">
          <w:marLeft w:val="0"/>
          <w:marRight w:val="0"/>
          <w:marTop w:val="0"/>
          <w:marBottom w:val="0"/>
          <w:divBdr>
            <w:top w:val="none" w:sz="0" w:space="0" w:color="auto"/>
            <w:left w:val="none" w:sz="0" w:space="0" w:color="auto"/>
            <w:bottom w:val="none" w:sz="0" w:space="0" w:color="auto"/>
            <w:right w:val="none" w:sz="0" w:space="0" w:color="auto"/>
          </w:divBdr>
        </w:div>
        <w:div w:id="1768306382">
          <w:marLeft w:val="0"/>
          <w:marRight w:val="0"/>
          <w:marTop w:val="0"/>
          <w:marBottom w:val="0"/>
          <w:divBdr>
            <w:top w:val="none" w:sz="0" w:space="0" w:color="auto"/>
            <w:left w:val="none" w:sz="0" w:space="0" w:color="auto"/>
            <w:bottom w:val="none" w:sz="0" w:space="0" w:color="auto"/>
            <w:right w:val="none" w:sz="0" w:space="0" w:color="auto"/>
          </w:divBdr>
        </w:div>
        <w:div w:id="1820608112">
          <w:marLeft w:val="0"/>
          <w:marRight w:val="0"/>
          <w:marTop w:val="0"/>
          <w:marBottom w:val="0"/>
          <w:divBdr>
            <w:top w:val="none" w:sz="0" w:space="0" w:color="auto"/>
            <w:left w:val="none" w:sz="0" w:space="0" w:color="auto"/>
            <w:bottom w:val="none" w:sz="0" w:space="0" w:color="auto"/>
            <w:right w:val="none" w:sz="0" w:space="0" w:color="auto"/>
          </w:divBdr>
        </w:div>
        <w:div w:id="1886332647">
          <w:marLeft w:val="0"/>
          <w:marRight w:val="0"/>
          <w:marTop w:val="0"/>
          <w:marBottom w:val="0"/>
          <w:divBdr>
            <w:top w:val="none" w:sz="0" w:space="0" w:color="auto"/>
            <w:left w:val="none" w:sz="0" w:space="0" w:color="auto"/>
            <w:bottom w:val="none" w:sz="0" w:space="0" w:color="auto"/>
            <w:right w:val="none" w:sz="0" w:space="0" w:color="auto"/>
          </w:divBdr>
        </w:div>
        <w:div w:id="1950577523">
          <w:marLeft w:val="0"/>
          <w:marRight w:val="0"/>
          <w:marTop w:val="0"/>
          <w:marBottom w:val="0"/>
          <w:divBdr>
            <w:top w:val="none" w:sz="0" w:space="0" w:color="auto"/>
            <w:left w:val="none" w:sz="0" w:space="0" w:color="auto"/>
            <w:bottom w:val="none" w:sz="0" w:space="0" w:color="auto"/>
            <w:right w:val="none" w:sz="0" w:space="0" w:color="auto"/>
          </w:divBdr>
        </w:div>
        <w:div w:id="1988165934">
          <w:marLeft w:val="0"/>
          <w:marRight w:val="0"/>
          <w:marTop w:val="0"/>
          <w:marBottom w:val="0"/>
          <w:divBdr>
            <w:top w:val="none" w:sz="0" w:space="0" w:color="auto"/>
            <w:left w:val="none" w:sz="0" w:space="0" w:color="auto"/>
            <w:bottom w:val="none" w:sz="0" w:space="0" w:color="auto"/>
            <w:right w:val="none" w:sz="0" w:space="0" w:color="auto"/>
          </w:divBdr>
        </w:div>
      </w:divsChild>
    </w:div>
    <w:div w:id="2135052828">
      <w:bodyDiv w:val="1"/>
      <w:marLeft w:val="0"/>
      <w:marRight w:val="0"/>
      <w:marTop w:val="0"/>
      <w:marBottom w:val="0"/>
      <w:divBdr>
        <w:top w:val="none" w:sz="0" w:space="0" w:color="auto"/>
        <w:left w:val="none" w:sz="0" w:space="0" w:color="auto"/>
        <w:bottom w:val="none" w:sz="0" w:space="0" w:color="auto"/>
        <w:right w:val="none" w:sz="0" w:space="0" w:color="auto"/>
      </w:divBdr>
      <w:divsChild>
        <w:div w:id="133648542">
          <w:marLeft w:val="0"/>
          <w:marRight w:val="0"/>
          <w:marTop w:val="0"/>
          <w:marBottom w:val="0"/>
          <w:divBdr>
            <w:top w:val="none" w:sz="0" w:space="0" w:color="auto"/>
            <w:left w:val="none" w:sz="0" w:space="0" w:color="auto"/>
            <w:bottom w:val="none" w:sz="0" w:space="0" w:color="auto"/>
            <w:right w:val="none" w:sz="0" w:space="0" w:color="auto"/>
          </w:divBdr>
        </w:div>
        <w:div w:id="135725565">
          <w:marLeft w:val="0"/>
          <w:marRight w:val="0"/>
          <w:marTop w:val="0"/>
          <w:marBottom w:val="0"/>
          <w:divBdr>
            <w:top w:val="none" w:sz="0" w:space="0" w:color="auto"/>
            <w:left w:val="none" w:sz="0" w:space="0" w:color="auto"/>
            <w:bottom w:val="none" w:sz="0" w:space="0" w:color="auto"/>
            <w:right w:val="none" w:sz="0" w:space="0" w:color="auto"/>
          </w:divBdr>
        </w:div>
        <w:div w:id="204568504">
          <w:marLeft w:val="0"/>
          <w:marRight w:val="0"/>
          <w:marTop w:val="0"/>
          <w:marBottom w:val="0"/>
          <w:divBdr>
            <w:top w:val="none" w:sz="0" w:space="0" w:color="auto"/>
            <w:left w:val="none" w:sz="0" w:space="0" w:color="auto"/>
            <w:bottom w:val="none" w:sz="0" w:space="0" w:color="auto"/>
            <w:right w:val="none" w:sz="0" w:space="0" w:color="auto"/>
          </w:divBdr>
        </w:div>
        <w:div w:id="223876365">
          <w:marLeft w:val="0"/>
          <w:marRight w:val="0"/>
          <w:marTop w:val="0"/>
          <w:marBottom w:val="0"/>
          <w:divBdr>
            <w:top w:val="none" w:sz="0" w:space="0" w:color="auto"/>
            <w:left w:val="none" w:sz="0" w:space="0" w:color="auto"/>
            <w:bottom w:val="none" w:sz="0" w:space="0" w:color="auto"/>
            <w:right w:val="none" w:sz="0" w:space="0" w:color="auto"/>
          </w:divBdr>
        </w:div>
        <w:div w:id="251934455">
          <w:marLeft w:val="0"/>
          <w:marRight w:val="0"/>
          <w:marTop w:val="0"/>
          <w:marBottom w:val="0"/>
          <w:divBdr>
            <w:top w:val="none" w:sz="0" w:space="0" w:color="auto"/>
            <w:left w:val="none" w:sz="0" w:space="0" w:color="auto"/>
            <w:bottom w:val="none" w:sz="0" w:space="0" w:color="auto"/>
            <w:right w:val="none" w:sz="0" w:space="0" w:color="auto"/>
          </w:divBdr>
        </w:div>
        <w:div w:id="306404049">
          <w:marLeft w:val="0"/>
          <w:marRight w:val="0"/>
          <w:marTop w:val="0"/>
          <w:marBottom w:val="0"/>
          <w:divBdr>
            <w:top w:val="none" w:sz="0" w:space="0" w:color="auto"/>
            <w:left w:val="none" w:sz="0" w:space="0" w:color="auto"/>
            <w:bottom w:val="none" w:sz="0" w:space="0" w:color="auto"/>
            <w:right w:val="none" w:sz="0" w:space="0" w:color="auto"/>
          </w:divBdr>
        </w:div>
        <w:div w:id="352002195">
          <w:marLeft w:val="0"/>
          <w:marRight w:val="0"/>
          <w:marTop w:val="0"/>
          <w:marBottom w:val="0"/>
          <w:divBdr>
            <w:top w:val="none" w:sz="0" w:space="0" w:color="auto"/>
            <w:left w:val="none" w:sz="0" w:space="0" w:color="auto"/>
            <w:bottom w:val="none" w:sz="0" w:space="0" w:color="auto"/>
            <w:right w:val="none" w:sz="0" w:space="0" w:color="auto"/>
          </w:divBdr>
        </w:div>
        <w:div w:id="362443566">
          <w:marLeft w:val="0"/>
          <w:marRight w:val="0"/>
          <w:marTop w:val="0"/>
          <w:marBottom w:val="0"/>
          <w:divBdr>
            <w:top w:val="none" w:sz="0" w:space="0" w:color="auto"/>
            <w:left w:val="none" w:sz="0" w:space="0" w:color="auto"/>
            <w:bottom w:val="none" w:sz="0" w:space="0" w:color="auto"/>
            <w:right w:val="none" w:sz="0" w:space="0" w:color="auto"/>
          </w:divBdr>
        </w:div>
        <w:div w:id="425658640">
          <w:marLeft w:val="0"/>
          <w:marRight w:val="0"/>
          <w:marTop w:val="0"/>
          <w:marBottom w:val="0"/>
          <w:divBdr>
            <w:top w:val="none" w:sz="0" w:space="0" w:color="auto"/>
            <w:left w:val="none" w:sz="0" w:space="0" w:color="auto"/>
            <w:bottom w:val="none" w:sz="0" w:space="0" w:color="auto"/>
            <w:right w:val="none" w:sz="0" w:space="0" w:color="auto"/>
          </w:divBdr>
        </w:div>
        <w:div w:id="451485086">
          <w:marLeft w:val="0"/>
          <w:marRight w:val="0"/>
          <w:marTop w:val="0"/>
          <w:marBottom w:val="0"/>
          <w:divBdr>
            <w:top w:val="none" w:sz="0" w:space="0" w:color="auto"/>
            <w:left w:val="none" w:sz="0" w:space="0" w:color="auto"/>
            <w:bottom w:val="none" w:sz="0" w:space="0" w:color="auto"/>
            <w:right w:val="none" w:sz="0" w:space="0" w:color="auto"/>
          </w:divBdr>
        </w:div>
        <w:div w:id="601180492">
          <w:marLeft w:val="0"/>
          <w:marRight w:val="0"/>
          <w:marTop w:val="0"/>
          <w:marBottom w:val="0"/>
          <w:divBdr>
            <w:top w:val="none" w:sz="0" w:space="0" w:color="auto"/>
            <w:left w:val="none" w:sz="0" w:space="0" w:color="auto"/>
            <w:bottom w:val="none" w:sz="0" w:space="0" w:color="auto"/>
            <w:right w:val="none" w:sz="0" w:space="0" w:color="auto"/>
          </w:divBdr>
        </w:div>
        <w:div w:id="633413909">
          <w:marLeft w:val="0"/>
          <w:marRight w:val="0"/>
          <w:marTop w:val="0"/>
          <w:marBottom w:val="0"/>
          <w:divBdr>
            <w:top w:val="none" w:sz="0" w:space="0" w:color="auto"/>
            <w:left w:val="none" w:sz="0" w:space="0" w:color="auto"/>
            <w:bottom w:val="none" w:sz="0" w:space="0" w:color="auto"/>
            <w:right w:val="none" w:sz="0" w:space="0" w:color="auto"/>
          </w:divBdr>
        </w:div>
        <w:div w:id="679048164">
          <w:marLeft w:val="0"/>
          <w:marRight w:val="0"/>
          <w:marTop w:val="0"/>
          <w:marBottom w:val="0"/>
          <w:divBdr>
            <w:top w:val="none" w:sz="0" w:space="0" w:color="auto"/>
            <w:left w:val="none" w:sz="0" w:space="0" w:color="auto"/>
            <w:bottom w:val="none" w:sz="0" w:space="0" w:color="auto"/>
            <w:right w:val="none" w:sz="0" w:space="0" w:color="auto"/>
          </w:divBdr>
        </w:div>
        <w:div w:id="689334657">
          <w:marLeft w:val="0"/>
          <w:marRight w:val="0"/>
          <w:marTop w:val="0"/>
          <w:marBottom w:val="0"/>
          <w:divBdr>
            <w:top w:val="none" w:sz="0" w:space="0" w:color="auto"/>
            <w:left w:val="none" w:sz="0" w:space="0" w:color="auto"/>
            <w:bottom w:val="none" w:sz="0" w:space="0" w:color="auto"/>
            <w:right w:val="none" w:sz="0" w:space="0" w:color="auto"/>
          </w:divBdr>
        </w:div>
        <w:div w:id="696153152">
          <w:marLeft w:val="0"/>
          <w:marRight w:val="0"/>
          <w:marTop w:val="0"/>
          <w:marBottom w:val="0"/>
          <w:divBdr>
            <w:top w:val="none" w:sz="0" w:space="0" w:color="auto"/>
            <w:left w:val="none" w:sz="0" w:space="0" w:color="auto"/>
            <w:bottom w:val="none" w:sz="0" w:space="0" w:color="auto"/>
            <w:right w:val="none" w:sz="0" w:space="0" w:color="auto"/>
          </w:divBdr>
        </w:div>
        <w:div w:id="733966925">
          <w:marLeft w:val="0"/>
          <w:marRight w:val="0"/>
          <w:marTop w:val="0"/>
          <w:marBottom w:val="0"/>
          <w:divBdr>
            <w:top w:val="none" w:sz="0" w:space="0" w:color="auto"/>
            <w:left w:val="none" w:sz="0" w:space="0" w:color="auto"/>
            <w:bottom w:val="none" w:sz="0" w:space="0" w:color="auto"/>
            <w:right w:val="none" w:sz="0" w:space="0" w:color="auto"/>
          </w:divBdr>
        </w:div>
        <w:div w:id="738942827">
          <w:marLeft w:val="0"/>
          <w:marRight w:val="0"/>
          <w:marTop w:val="0"/>
          <w:marBottom w:val="0"/>
          <w:divBdr>
            <w:top w:val="none" w:sz="0" w:space="0" w:color="auto"/>
            <w:left w:val="none" w:sz="0" w:space="0" w:color="auto"/>
            <w:bottom w:val="none" w:sz="0" w:space="0" w:color="auto"/>
            <w:right w:val="none" w:sz="0" w:space="0" w:color="auto"/>
          </w:divBdr>
        </w:div>
        <w:div w:id="760949113">
          <w:marLeft w:val="0"/>
          <w:marRight w:val="0"/>
          <w:marTop w:val="0"/>
          <w:marBottom w:val="0"/>
          <w:divBdr>
            <w:top w:val="none" w:sz="0" w:space="0" w:color="auto"/>
            <w:left w:val="none" w:sz="0" w:space="0" w:color="auto"/>
            <w:bottom w:val="none" w:sz="0" w:space="0" w:color="auto"/>
            <w:right w:val="none" w:sz="0" w:space="0" w:color="auto"/>
          </w:divBdr>
        </w:div>
        <w:div w:id="766657011">
          <w:marLeft w:val="0"/>
          <w:marRight w:val="0"/>
          <w:marTop w:val="0"/>
          <w:marBottom w:val="0"/>
          <w:divBdr>
            <w:top w:val="none" w:sz="0" w:space="0" w:color="auto"/>
            <w:left w:val="none" w:sz="0" w:space="0" w:color="auto"/>
            <w:bottom w:val="none" w:sz="0" w:space="0" w:color="auto"/>
            <w:right w:val="none" w:sz="0" w:space="0" w:color="auto"/>
          </w:divBdr>
        </w:div>
        <w:div w:id="855119870">
          <w:marLeft w:val="0"/>
          <w:marRight w:val="0"/>
          <w:marTop w:val="0"/>
          <w:marBottom w:val="0"/>
          <w:divBdr>
            <w:top w:val="none" w:sz="0" w:space="0" w:color="auto"/>
            <w:left w:val="none" w:sz="0" w:space="0" w:color="auto"/>
            <w:bottom w:val="none" w:sz="0" w:space="0" w:color="auto"/>
            <w:right w:val="none" w:sz="0" w:space="0" w:color="auto"/>
          </w:divBdr>
        </w:div>
        <w:div w:id="912813281">
          <w:marLeft w:val="0"/>
          <w:marRight w:val="0"/>
          <w:marTop w:val="0"/>
          <w:marBottom w:val="0"/>
          <w:divBdr>
            <w:top w:val="none" w:sz="0" w:space="0" w:color="auto"/>
            <w:left w:val="none" w:sz="0" w:space="0" w:color="auto"/>
            <w:bottom w:val="none" w:sz="0" w:space="0" w:color="auto"/>
            <w:right w:val="none" w:sz="0" w:space="0" w:color="auto"/>
          </w:divBdr>
        </w:div>
        <w:div w:id="945695920">
          <w:marLeft w:val="0"/>
          <w:marRight w:val="0"/>
          <w:marTop w:val="0"/>
          <w:marBottom w:val="0"/>
          <w:divBdr>
            <w:top w:val="none" w:sz="0" w:space="0" w:color="auto"/>
            <w:left w:val="none" w:sz="0" w:space="0" w:color="auto"/>
            <w:bottom w:val="none" w:sz="0" w:space="0" w:color="auto"/>
            <w:right w:val="none" w:sz="0" w:space="0" w:color="auto"/>
          </w:divBdr>
        </w:div>
        <w:div w:id="1050769706">
          <w:marLeft w:val="0"/>
          <w:marRight w:val="0"/>
          <w:marTop w:val="0"/>
          <w:marBottom w:val="0"/>
          <w:divBdr>
            <w:top w:val="none" w:sz="0" w:space="0" w:color="auto"/>
            <w:left w:val="none" w:sz="0" w:space="0" w:color="auto"/>
            <w:bottom w:val="none" w:sz="0" w:space="0" w:color="auto"/>
            <w:right w:val="none" w:sz="0" w:space="0" w:color="auto"/>
          </w:divBdr>
        </w:div>
        <w:div w:id="1051928791">
          <w:marLeft w:val="0"/>
          <w:marRight w:val="0"/>
          <w:marTop w:val="0"/>
          <w:marBottom w:val="0"/>
          <w:divBdr>
            <w:top w:val="none" w:sz="0" w:space="0" w:color="auto"/>
            <w:left w:val="none" w:sz="0" w:space="0" w:color="auto"/>
            <w:bottom w:val="none" w:sz="0" w:space="0" w:color="auto"/>
            <w:right w:val="none" w:sz="0" w:space="0" w:color="auto"/>
          </w:divBdr>
        </w:div>
        <w:div w:id="1079131957">
          <w:marLeft w:val="0"/>
          <w:marRight w:val="0"/>
          <w:marTop w:val="0"/>
          <w:marBottom w:val="0"/>
          <w:divBdr>
            <w:top w:val="none" w:sz="0" w:space="0" w:color="auto"/>
            <w:left w:val="none" w:sz="0" w:space="0" w:color="auto"/>
            <w:bottom w:val="none" w:sz="0" w:space="0" w:color="auto"/>
            <w:right w:val="none" w:sz="0" w:space="0" w:color="auto"/>
          </w:divBdr>
        </w:div>
        <w:div w:id="1158887654">
          <w:marLeft w:val="0"/>
          <w:marRight w:val="0"/>
          <w:marTop w:val="0"/>
          <w:marBottom w:val="0"/>
          <w:divBdr>
            <w:top w:val="none" w:sz="0" w:space="0" w:color="auto"/>
            <w:left w:val="none" w:sz="0" w:space="0" w:color="auto"/>
            <w:bottom w:val="none" w:sz="0" w:space="0" w:color="auto"/>
            <w:right w:val="none" w:sz="0" w:space="0" w:color="auto"/>
          </w:divBdr>
        </w:div>
        <w:div w:id="1183058136">
          <w:marLeft w:val="0"/>
          <w:marRight w:val="0"/>
          <w:marTop w:val="0"/>
          <w:marBottom w:val="0"/>
          <w:divBdr>
            <w:top w:val="none" w:sz="0" w:space="0" w:color="auto"/>
            <w:left w:val="none" w:sz="0" w:space="0" w:color="auto"/>
            <w:bottom w:val="none" w:sz="0" w:space="0" w:color="auto"/>
            <w:right w:val="none" w:sz="0" w:space="0" w:color="auto"/>
          </w:divBdr>
        </w:div>
        <w:div w:id="1188328828">
          <w:marLeft w:val="0"/>
          <w:marRight w:val="0"/>
          <w:marTop w:val="0"/>
          <w:marBottom w:val="0"/>
          <w:divBdr>
            <w:top w:val="none" w:sz="0" w:space="0" w:color="auto"/>
            <w:left w:val="none" w:sz="0" w:space="0" w:color="auto"/>
            <w:bottom w:val="none" w:sz="0" w:space="0" w:color="auto"/>
            <w:right w:val="none" w:sz="0" w:space="0" w:color="auto"/>
          </w:divBdr>
        </w:div>
        <w:div w:id="1190098755">
          <w:marLeft w:val="0"/>
          <w:marRight w:val="0"/>
          <w:marTop w:val="0"/>
          <w:marBottom w:val="0"/>
          <w:divBdr>
            <w:top w:val="none" w:sz="0" w:space="0" w:color="auto"/>
            <w:left w:val="none" w:sz="0" w:space="0" w:color="auto"/>
            <w:bottom w:val="none" w:sz="0" w:space="0" w:color="auto"/>
            <w:right w:val="none" w:sz="0" w:space="0" w:color="auto"/>
          </w:divBdr>
        </w:div>
        <w:div w:id="1351107895">
          <w:marLeft w:val="0"/>
          <w:marRight w:val="0"/>
          <w:marTop w:val="0"/>
          <w:marBottom w:val="0"/>
          <w:divBdr>
            <w:top w:val="none" w:sz="0" w:space="0" w:color="auto"/>
            <w:left w:val="none" w:sz="0" w:space="0" w:color="auto"/>
            <w:bottom w:val="none" w:sz="0" w:space="0" w:color="auto"/>
            <w:right w:val="none" w:sz="0" w:space="0" w:color="auto"/>
          </w:divBdr>
        </w:div>
        <w:div w:id="1353339465">
          <w:marLeft w:val="0"/>
          <w:marRight w:val="0"/>
          <w:marTop w:val="0"/>
          <w:marBottom w:val="0"/>
          <w:divBdr>
            <w:top w:val="none" w:sz="0" w:space="0" w:color="auto"/>
            <w:left w:val="none" w:sz="0" w:space="0" w:color="auto"/>
            <w:bottom w:val="none" w:sz="0" w:space="0" w:color="auto"/>
            <w:right w:val="none" w:sz="0" w:space="0" w:color="auto"/>
          </w:divBdr>
        </w:div>
        <w:div w:id="1380517942">
          <w:marLeft w:val="0"/>
          <w:marRight w:val="0"/>
          <w:marTop w:val="0"/>
          <w:marBottom w:val="0"/>
          <w:divBdr>
            <w:top w:val="none" w:sz="0" w:space="0" w:color="auto"/>
            <w:left w:val="none" w:sz="0" w:space="0" w:color="auto"/>
            <w:bottom w:val="none" w:sz="0" w:space="0" w:color="auto"/>
            <w:right w:val="none" w:sz="0" w:space="0" w:color="auto"/>
          </w:divBdr>
        </w:div>
        <w:div w:id="1445424995">
          <w:marLeft w:val="0"/>
          <w:marRight w:val="0"/>
          <w:marTop w:val="0"/>
          <w:marBottom w:val="0"/>
          <w:divBdr>
            <w:top w:val="none" w:sz="0" w:space="0" w:color="auto"/>
            <w:left w:val="none" w:sz="0" w:space="0" w:color="auto"/>
            <w:bottom w:val="none" w:sz="0" w:space="0" w:color="auto"/>
            <w:right w:val="none" w:sz="0" w:space="0" w:color="auto"/>
          </w:divBdr>
        </w:div>
        <w:div w:id="1475217616">
          <w:marLeft w:val="0"/>
          <w:marRight w:val="0"/>
          <w:marTop w:val="0"/>
          <w:marBottom w:val="0"/>
          <w:divBdr>
            <w:top w:val="none" w:sz="0" w:space="0" w:color="auto"/>
            <w:left w:val="none" w:sz="0" w:space="0" w:color="auto"/>
            <w:bottom w:val="none" w:sz="0" w:space="0" w:color="auto"/>
            <w:right w:val="none" w:sz="0" w:space="0" w:color="auto"/>
          </w:divBdr>
        </w:div>
        <w:div w:id="1516455097">
          <w:marLeft w:val="0"/>
          <w:marRight w:val="0"/>
          <w:marTop w:val="0"/>
          <w:marBottom w:val="0"/>
          <w:divBdr>
            <w:top w:val="none" w:sz="0" w:space="0" w:color="auto"/>
            <w:left w:val="none" w:sz="0" w:space="0" w:color="auto"/>
            <w:bottom w:val="none" w:sz="0" w:space="0" w:color="auto"/>
            <w:right w:val="none" w:sz="0" w:space="0" w:color="auto"/>
          </w:divBdr>
        </w:div>
        <w:div w:id="1522234691">
          <w:marLeft w:val="0"/>
          <w:marRight w:val="0"/>
          <w:marTop w:val="0"/>
          <w:marBottom w:val="0"/>
          <w:divBdr>
            <w:top w:val="none" w:sz="0" w:space="0" w:color="auto"/>
            <w:left w:val="none" w:sz="0" w:space="0" w:color="auto"/>
            <w:bottom w:val="none" w:sz="0" w:space="0" w:color="auto"/>
            <w:right w:val="none" w:sz="0" w:space="0" w:color="auto"/>
          </w:divBdr>
        </w:div>
        <w:div w:id="1655375480">
          <w:marLeft w:val="0"/>
          <w:marRight w:val="0"/>
          <w:marTop w:val="0"/>
          <w:marBottom w:val="0"/>
          <w:divBdr>
            <w:top w:val="none" w:sz="0" w:space="0" w:color="auto"/>
            <w:left w:val="none" w:sz="0" w:space="0" w:color="auto"/>
            <w:bottom w:val="none" w:sz="0" w:space="0" w:color="auto"/>
            <w:right w:val="none" w:sz="0" w:space="0" w:color="auto"/>
          </w:divBdr>
        </w:div>
        <w:div w:id="1680044570">
          <w:marLeft w:val="0"/>
          <w:marRight w:val="0"/>
          <w:marTop w:val="0"/>
          <w:marBottom w:val="0"/>
          <w:divBdr>
            <w:top w:val="none" w:sz="0" w:space="0" w:color="auto"/>
            <w:left w:val="none" w:sz="0" w:space="0" w:color="auto"/>
            <w:bottom w:val="none" w:sz="0" w:space="0" w:color="auto"/>
            <w:right w:val="none" w:sz="0" w:space="0" w:color="auto"/>
          </w:divBdr>
        </w:div>
        <w:div w:id="1703936670">
          <w:marLeft w:val="0"/>
          <w:marRight w:val="0"/>
          <w:marTop w:val="0"/>
          <w:marBottom w:val="0"/>
          <w:divBdr>
            <w:top w:val="none" w:sz="0" w:space="0" w:color="auto"/>
            <w:left w:val="none" w:sz="0" w:space="0" w:color="auto"/>
            <w:bottom w:val="none" w:sz="0" w:space="0" w:color="auto"/>
            <w:right w:val="none" w:sz="0" w:space="0" w:color="auto"/>
          </w:divBdr>
        </w:div>
        <w:div w:id="1732773819">
          <w:marLeft w:val="0"/>
          <w:marRight w:val="0"/>
          <w:marTop w:val="0"/>
          <w:marBottom w:val="0"/>
          <w:divBdr>
            <w:top w:val="none" w:sz="0" w:space="0" w:color="auto"/>
            <w:left w:val="none" w:sz="0" w:space="0" w:color="auto"/>
            <w:bottom w:val="none" w:sz="0" w:space="0" w:color="auto"/>
            <w:right w:val="none" w:sz="0" w:space="0" w:color="auto"/>
          </w:divBdr>
        </w:div>
        <w:div w:id="1744452788">
          <w:marLeft w:val="0"/>
          <w:marRight w:val="0"/>
          <w:marTop w:val="0"/>
          <w:marBottom w:val="0"/>
          <w:divBdr>
            <w:top w:val="none" w:sz="0" w:space="0" w:color="auto"/>
            <w:left w:val="none" w:sz="0" w:space="0" w:color="auto"/>
            <w:bottom w:val="none" w:sz="0" w:space="0" w:color="auto"/>
            <w:right w:val="none" w:sz="0" w:space="0" w:color="auto"/>
          </w:divBdr>
        </w:div>
        <w:div w:id="1767069424">
          <w:marLeft w:val="0"/>
          <w:marRight w:val="0"/>
          <w:marTop w:val="0"/>
          <w:marBottom w:val="0"/>
          <w:divBdr>
            <w:top w:val="none" w:sz="0" w:space="0" w:color="auto"/>
            <w:left w:val="none" w:sz="0" w:space="0" w:color="auto"/>
            <w:bottom w:val="none" w:sz="0" w:space="0" w:color="auto"/>
            <w:right w:val="none" w:sz="0" w:space="0" w:color="auto"/>
          </w:divBdr>
        </w:div>
        <w:div w:id="1781535331">
          <w:marLeft w:val="0"/>
          <w:marRight w:val="0"/>
          <w:marTop w:val="0"/>
          <w:marBottom w:val="0"/>
          <w:divBdr>
            <w:top w:val="none" w:sz="0" w:space="0" w:color="auto"/>
            <w:left w:val="none" w:sz="0" w:space="0" w:color="auto"/>
            <w:bottom w:val="none" w:sz="0" w:space="0" w:color="auto"/>
            <w:right w:val="none" w:sz="0" w:space="0" w:color="auto"/>
          </w:divBdr>
        </w:div>
        <w:div w:id="1790125037">
          <w:marLeft w:val="0"/>
          <w:marRight w:val="0"/>
          <w:marTop w:val="0"/>
          <w:marBottom w:val="0"/>
          <w:divBdr>
            <w:top w:val="none" w:sz="0" w:space="0" w:color="auto"/>
            <w:left w:val="none" w:sz="0" w:space="0" w:color="auto"/>
            <w:bottom w:val="none" w:sz="0" w:space="0" w:color="auto"/>
            <w:right w:val="none" w:sz="0" w:space="0" w:color="auto"/>
          </w:divBdr>
        </w:div>
        <w:div w:id="1830901920">
          <w:marLeft w:val="0"/>
          <w:marRight w:val="0"/>
          <w:marTop w:val="0"/>
          <w:marBottom w:val="0"/>
          <w:divBdr>
            <w:top w:val="none" w:sz="0" w:space="0" w:color="auto"/>
            <w:left w:val="none" w:sz="0" w:space="0" w:color="auto"/>
            <w:bottom w:val="none" w:sz="0" w:space="0" w:color="auto"/>
            <w:right w:val="none" w:sz="0" w:space="0" w:color="auto"/>
          </w:divBdr>
        </w:div>
        <w:div w:id="1832528044">
          <w:marLeft w:val="0"/>
          <w:marRight w:val="0"/>
          <w:marTop w:val="0"/>
          <w:marBottom w:val="0"/>
          <w:divBdr>
            <w:top w:val="none" w:sz="0" w:space="0" w:color="auto"/>
            <w:left w:val="none" w:sz="0" w:space="0" w:color="auto"/>
            <w:bottom w:val="none" w:sz="0" w:space="0" w:color="auto"/>
            <w:right w:val="none" w:sz="0" w:space="0" w:color="auto"/>
          </w:divBdr>
        </w:div>
        <w:div w:id="1930968637">
          <w:marLeft w:val="0"/>
          <w:marRight w:val="0"/>
          <w:marTop w:val="0"/>
          <w:marBottom w:val="0"/>
          <w:divBdr>
            <w:top w:val="none" w:sz="0" w:space="0" w:color="auto"/>
            <w:left w:val="none" w:sz="0" w:space="0" w:color="auto"/>
            <w:bottom w:val="none" w:sz="0" w:space="0" w:color="auto"/>
            <w:right w:val="none" w:sz="0" w:space="0" w:color="auto"/>
          </w:divBdr>
        </w:div>
        <w:div w:id="1978560605">
          <w:marLeft w:val="0"/>
          <w:marRight w:val="0"/>
          <w:marTop w:val="0"/>
          <w:marBottom w:val="0"/>
          <w:divBdr>
            <w:top w:val="none" w:sz="0" w:space="0" w:color="auto"/>
            <w:left w:val="none" w:sz="0" w:space="0" w:color="auto"/>
            <w:bottom w:val="none" w:sz="0" w:space="0" w:color="auto"/>
            <w:right w:val="none" w:sz="0" w:space="0" w:color="auto"/>
          </w:divBdr>
        </w:div>
        <w:div w:id="1996302532">
          <w:marLeft w:val="0"/>
          <w:marRight w:val="0"/>
          <w:marTop w:val="0"/>
          <w:marBottom w:val="0"/>
          <w:divBdr>
            <w:top w:val="none" w:sz="0" w:space="0" w:color="auto"/>
            <w:left w:val="none" w:sz="0" w:space="0" w:color="auto"/>
            <w:bottom w:val="none" w:sz="0" w:space="0" w:color="auto"/>
            <w:right w:val="none" w:sz="0" w:space="0" w:color="auto"/>
          </w:divBdr>
        </w:div>
        <w:div w:id="2046252128">
          <w:marLeft w:val="0"/>
          <w:marRight w:val="0"/>
          <w:marTop w:val="0"/>
          <w:marBottom w:val="0"/>
          <w:divBdr>
            <w:top w:val="none" w:sz="0" w:space="0" w:color="auto"/>
            <w:left w:val="none" w:sz="0" w:space="0" w:color="auto"/>
            <w:bottom w:val="none" w:sz="0" w:space="0" w:color="auto"/>
            <w:right w:val="none" w:sz="0" w:space="0" w:color="auto"/>
          </w:divBdr>
        </w:div>
        <w:div w:id="2053382079">
          <w:marLeft w:val="0"/>
          <w:marRight w:val="0"/>
          <w:marTop w:val="0"/>
          <w:marBottom w:val="0"/>
          <w:divBdr>
            <w:top w:val="none" w:sz="0" w:space="0" w:color="auto"/>
            <w:left w:val="none" w:sz="0" w:space="0" w:color="auto"/>
            <w:bottom w:val="none" w:sz="0" w:space="0" w:color="auto"/>
            <w:right w:val="none" w:sz="0" w:space="0" w:color="auto"/>
          </w:divBdr>
        </w:div>
      </w:divsChild>
    </w:div>
    <w:div w:id="2135102397">
      <w:bodyDiv w:val="1"/>
      <w:marLeft w:val="0"/>
      <w:marRight w:val="0"/>
      <w:marTop w:val="0"/>
      <w:marBottom w:val="0"/>
      <w:divBdr>
        <w:top w:val="none" w:sz="0" w:space="0" w:color="auto"/>
        <w:left w:val="none" w:sz="0" w:space="0" w:color="auto"/>
        <w:bottom w:val="none" w:sz="0" w:space="0" w:color="auto"/>
        <w:right w:val="none" w:sz="0" w:space="0" w:color="auto"/>
      </w:divBdr>
    </w:div>
    <w:div w:id="2139106947">
      <w:bodyDiv w:val="1"/>
      <w:marLeft w:val="0"/>
      <w:marRight w:val="0"/>
      <w:marTop w:val="0"/>
      <w:marBottom w:val="0"/>
      <w:divBdr>
        <w:top w:val="none" w:sz="0" w:space="0" w:color="auto"/>
        <w:left w:val="none" w:sz="0" w:space="0" w:color="auto"/>
        <w:bottom w:val="none" w:sz="0" w:space="0" w:color="auto"/>
        <w:right w:val="none" w:sz="0" w:space="0" w:color="auto"/>
      </w:divBdr>
    </w:div>
    <w:div w:id="2140999516">
      <w:bodyDiv w:val="1"/>
      <w:marLeft w:val="0"/>
      <w:marRight w:val="0"/>
      <w:marTop w:val="0"/>
      <w:marBottom w:val="0"/>
      <w:divBdr>
        <w:top w:val="none" w:sz="0" w:space="0" w:color="auto"/>
        <w:left w:val="none" w:sz="0" w:space="0" w:color="auto"/>
        <w:bottom w:val="none" w:sz="0" w:space="0" w:color="auto"/>
        <w:right w:val="none" w:sz="0" w:space="0" w:color="auto"/>
      </w:divBdr>
    </w:div>
    <w:div w:id="2141071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3.emf"/><Relationship Id="rId11" Type="http://schemas.openxmlformats.org/officeDocument/2006/relationships/chart" Target="charts/chart4.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chart" Target="charts/chart8.xml"/><Relationship Id="rId23" Type="http://schemas.microsoft.com/office/2007/relationships/hdphoto" Target="media/hdphoto1.wdp"/><Relationship Id="rId28" Type="http://schemas.openxmlformats.org/officeDocument/2006/relationships/image" Target="media/image12.jpeg"/><Relationship Id="rId36" Type="http://schemas.openxmlformats.org/officeDocument/2006/relationships/image" Target="media/image20.emf"/><Relationship Id="rId49"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4.emf"/><Relationship Id="rId31" Type="http://schemas.openxmlformats.org/officeDocument/2006/relationships/image" Target="media/image15.emf"/><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D:\Notas%20Trabajo%202021\ITAEE\2025\1er%20trim-2025\Gr&#225;ficas_ITAE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D:\Notas%20Trabajo%202021\ITAEE\2025\1er%20trim-2025\Gr&#225;ficas_ITAE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otas%20Trabajo%202021\ITAEE\2025\1er%20trim-2025\Bolet&#237;n\Gr&#225;ficas_ITAE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Notas%20Trabajo%202021\ITAEE\2025\1er%20trim-2025\Bolet&#237;n\Gr&#225;ficas_ITAE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Notas%20Trabajo%202021\ITAEE\2025\1er%20trim-2025\Gr&#225;ficas_ITAE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Notas%20Trabajo%202021\ITAEE\2025\1er%20trim-2025\Gr&#225;ficas_ITAEE.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Notas%20Trabajo%202021\ITAEE\2025\1er%20trim-2025\Gr&#225;ficas_ITAEE.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Notas%20Trabajo%202021\ITAEE\2025\1er%20trim-2025\Bolet&#237;n\Gr&#225;ficas_ITAE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8165295815295813"/>
          <c:y val="2.2825999999999999E-2"/>
          <c:w val="0.55954329004329006"/>
          <c:h val="0.93574444444444449"/>
        </c:manualLayout>
      </c:layout>
      <c:barChart>
        <c:barDir val="bar"/>
        <c:grouping val="clustered"/>
        <c:varyColors val="0"/>
        <c:ser>
          <c:idx val="0"/>
          <c:order val="0"/>
          <c:spPr>
            <a:solidFill>
              <a:srgbClr val="08989C"/>
            </a:solidFill>
            <a:ln>
              <a:noFill/>
            </a:ln>
            <a:effectLst/>
          </c:spPr>
          <c:invertIfNegative val="0"/>
          <c:dPt>
            <c:idx val="10"/>
            <c:invertIfNegative val="0"/>
            <c:bubble3D val="0"/>
            <c:spPr>
              <a:solidFill>
                <a:srgbClr val="C0C0C0"/>
              </a:solidFill>
              <a:ln>
                <a:noFill/>
              </a:ln>
              <a:effectLst/>
              <a:sp3d/>
            </c:spPr>
            <c:extLst>
              <c:ext xmlns:c16="http://schemas.microsoft.com/office/drawing/2014/chart" uri="{C3380CC4-5D6E-409C-BE32-E72D297353CC}">
                <c16:uniqueId val="{00000001-C02A-4E70-8890-0E0581669A09}"/>
              </c:ext>
            </c:extLst>
          </c:dPt>
          <c:dPt>
            <c:idx val="11"/>
            <c:invertIfNegative val="0"/>
            <c:bubble3D val="0"/>
            <c:spPr>
              <a:solidFill>
                <a:srgbClr val="08989C"/>
              </a:solidFill>
              <a:ln>
                <a:noFill/>
              </a:ln>
              <a:effectLst/>
              <a:sp3d/>
            </c:spPr>
            <c:extLst>
              <c:ext xmlns:c16="http://schemas.microsoft.com/office/drawing/2014/chart" uri="{C3380CC4-5D6E-409C-BE32-E72D297353CC}">
                <c16:uniqueId val="{00000003-C02A-4E70-8890-0E0581669A09}"/>
              </c:ext>
            </c:extLst>
          </c:dPt>
          <c:dPt>
            <c:idx val="12"/>
            <c:invertIfNegative val="0"/>
            <c:bubble3D val="0"/>
            <c:spPr>
              <a:solidFill>
                <a:srgbClr val="08989C"/>
              </a:solidFill>
              <a:ln>
                <a:noFill/>
              </a:ln>
              <a:effectLst/>
              <a:sp3d/>
            </c:spPr>
            <c:extLst>
              <c:ext xmlns:c16="http://schemas.microsoft.com/office/drawing/2014/chart" uri="{C3380CC4-5D6E-409C-BE32-E72D297353CC}">
                <c16:uniqueId val="{00000005-C02A-4E70-8890-0E0581669A09}"/>
              </c:ext>
            </c:extLst>
          </c:dPt>
          <c:dPt>
            <c:idx val="13"/>
            <c:invertIfNegative val="0"/>
            <c:bubble3D val="0"/>
            <c:spPr>
              <a:solidFill>
                <a:srgbClr val="08989C"/>
              </a:solidFill>
              <a:ln>
                <a:noFill/>
              </a:ln>
              <a:effectLst/>
              <a:sp3d/>
            </c:spPr>
            <c:extLst>
              <c:ext xmlns:c16="http://schemas.microsoft.com/office/drawing/2014/chart" uri="{C3380CC4-5D6E-409C-BE32-E72D297353CC}">
                <c16:uniqueId val="{00000007-C02A-4E70-8890-0E0581669A09}"/>
              </c:ext>
            </c:extLst>
          </c:dPt>
          <c:dPt>
            <c:idx val="14"/>
            <c:invertIfNegative val="0"/>
            <c:bubble3D val="0"/>
            <c:spPr>
              <a:solidFill>
                <a:srgbClr val="08989C"/>
              </a:solidFill>
              <a:ln>
                <a:noFill/>
              </a:ln>
              <a:effectLst/>
              <a:sp3d/>
            </c:spPr>
            <c:extLst>
              <c:ext xmlns:c16="http://schemas.microsoft.com/office/drawing/2014/chart" uri="{C3380CC4-5D6E-409C-BE32-E72D297353CC}">
                <c16:uniqueId val="{00000009-C02A-4E70-8890-0E0581669A09}"/>
              </c:ext>
            </c:extLst>
          </c:dPt>
          <c:dPt>
            <c:idx val="15"/>
            <c:invertIfNegative val="0"/>
            <c:bubble3D val="0"/>
            <c:spPr>
              <a:solidFill>
                <a:srgbClr val="08989C"/>
              </a:solidFill>
              <a:ln>
                <a:noFill/>
              </a:ln>
              <a:effectLst/>
              <a:sp3d/>
            </c:spPr>
            <c:extLst>
              <c:ext xmlns:c16="http://schemas.microsoft.com/office/drawing/2014/chart" uri="{C3380CC4-5D6E-409C-BE32-E72D297353CC}">
                <c16:uniqueId val="{0000000B-C02A-4E70-8890-0E0581669A09}"/>
              </c:ext>
            </c:extLst>
          </c:dPt>
          <c:dPt>
            <c:idx val="16"/>
            <c:invertIfNegative val="0"/>
            <c:bubble3D val="0"/>
            <c:spPr>
              <a:solidFill>
                <a:srgbClr val="08989C"/>
              </a:solidFill>
              <a:ln>
                <a:noFill/>
              </a:ln>
              <a:effectLst>
                <a:outerShdw blurRad="50800" dist="50800" dir="5400000" algn="ctr" rotWithShape="0">
                  <a:schemeClr val="accent5">
                    <a:lumMod val="20000"/>
                    <a:lumOff val="80000"/>
                  </a:schemeClr>
                </a:outerShdw>
              </a:effectLst>
              <a:sp3d/>
            </c:spPr>
            <c:extLst>
              <c:ext xmlns:c16="http://schemas.microsoft.com/office/drawing/2014/chart" uri="{C3380CC4-5D6E-409C-BE32-E72D297353CC}">
                <c16:uniqueId val="{0000000D-C02A-4E70-8890-0E0581669A09}"/>
              </c:ext>
            </c:extLst>
          </c:dPt>
          <c:dPt>
            <c:idx val="17"/>
            <c:invertIfNegative val="0"/>
            <c:bubble3D val="0"/>
            <c:spPr>
              <a:solidFill>
                <a:srgbClr val="08989C"/>
              </a:solidFill>
              <a:ln>
                <a:noFill/>
              </a:ln>
              <a:effectLst/>
              <a:sp3d/>
            </c:spPr>
            <c:extLst>
              <c:ext xmlns:c16="http://schemas.microsoft.com/office/drawing/2014/chart" uri="{C3380CC4-5D6E-409C-BE32-E72D297353CC}">
                <c16:uniqueId val="{0000000F-C02A-4E70-8890-0E0581669A09}"/>
              </c:ext>
            </c:extLst>
          </c:dPt>
          <c:dPt>
            <c:idx val="18"/>
            <c:invertIfNegative val="0"/>
            <c:bubble3D val="0"/>
            <c:spPr>
              <a:solidFill>
                <a:srgbClr val="08989C"/>
              </a:solidFill>
              <a:ln>
                <a:noFill/>
              </a:ln>
              <a:effectLst/>
              <a:sp3d>
                <a:contourClr>
                  <a:schemeClr val="tx2">
                    <a:lumMod val="60000"/>
                    <a:lumOff val="40000"/>
                  </a:schemeClr>
                </a:contourClr>
              </a:sp3d>
            </c:spPr>
            <c:extLst>
              <c:ext xmlns:c16="http://schemas.microsoft.com/office/drawing/2014/chart" uri="{C3380CC4-5D6E-409C-BE32-E72D297353CC}">
                <c16:uniqueId val="{00000011-C02A-4E70-8890-0E0581669A09}"/>
              </c:ext>
            </c:extLst>
          </c:dPt>
          <c:dPt>
            <c:idx val="19"/>
            <c:invertIfNegative val="0"/>
            <c:bubble3D val="0"/>
            <c:spPr>
              <a:solidFill>
                <a:srgbClr val="08989C"/>
              </a:solidFill>
              <a:ln>
                <a:noFill/>
              </a:ln>
              <a:effectLst/>
              <a:sp3d/>
            </c:spPr>
            <c:extLst>
              <c:ext xmlns:c16="http://schemas.microsoft.com/office/drawing/2014/chart" uri="{C3380CC4-5D6E-409C-BE32-E72D297353CC}">
                <c16:uniqueId val="{00000013-C02A-4E70-8890-0E0581669A09}"/>
              </c:ext>
            </c:extLst>
          </c:dPt>
          <c:dPt>
            <c:idx val="20"/>
            <c:invertIfNegative val="0"/>
            <c:bubble3D val="0"/>
            <c:spPr>
              <a:solidFill>
                <a:srgbClr val="08989C"/>
              </a:solidFill>
              <a:ln>
                <a:noFill/>
              </a:ln>
              <a:effectLst/>
            </c:spPr>
            <c:extLst>
              <c:ext xmlns:c16="http://schemas.microsoft.com/office/drawing/2014/chart" uri="{C3380CC4-5D6E-409C-BE32-E72D297353CC}">
                <c16:uniqueId val="{00000015-C02A-4E70-8890-0E0581669A09}"/>
              </c:ext>
            </c:extLst>
          </c:dPt>
          <c:dPt>
            <c:idx val="21"/>
            <c:invertIfNegative val="0"/>
            <c:bubble3D val="0"/>
            <c:spPr>
              <a:solidFill>
                <a:srgbClr val="08989C"/>
              </a:solidFill>
              <a:ln>
                <a:noFill/>
              </a:ln>
              <a:effectLst/>
              <a:sp3d/>
            </c:spPr>
            <c:extLst>
              <c:ext xmlns:c16="http://schemas.microsoft.com/office/drawing/2014/chart" uri="{C3380CC4-5D6E-409C-BE32-E72D297353CC}">
                <c16:uniqueId val="{00000017-C02A-4E70-8890-0E0581669A09}"/>
              </c:ext>
            </c:extLst>
          </c:dPt>
          <c:dPt>
            <c:idx val="32"/>
            <c:invertIfNegative val="0"/>
            <c:bubble3D val="0"/>
            <c:spPr>
              <a:solidFill>
                <a:srgbClr val="08989C"/>
              </a:solidFill>
              <a:ln>
                <a:noFill/>
              </a:ln>
              <a:effectLst/>
              <a:sp3d/>
            </c:spPr>
            <c:extLst>
              <c:ext xmlns:c16="http://schemas.microsoft.com/office/drawing/2014/chart" uri="{C3380CC4-5D6E-409C-BE32-E72D297353CC}">
                <c16:uniqueId val="{00000019-C02A-4E70-8890-0E0581669A09}"/>
              </c:ext>
            </c:extLst>
          </c:dPt>
          <c:dLbls>
            <c:dLbl>
              <c:idx val="0"/>
              <c:layout>
                <c:manualLayout>
                  <c:x val="-2.5079120464834719E-2"/>
                  <c:y val="-2.3518518518518519E-3"/>
                </c:manualLayout>
              </c:layout>
              <c:spPr>
                <a:noFill/>
                <a:ln>
                  <a:noFill/>
                </a:ln>
                <a:effectLst/>
              </c:spPr>
              <c:txPr>
                <a:bodyPr rot="0" spcFirstLastPara="1" vertOverflow="ellipsis" vert="horz" wrap="square" anchor="ctr" anchorCtr="1"/>
                <a:lstStyle/>
                <a:p>
                  <a:pPr algn="ctr" rtl="0">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365392692146157"/>
                      <c:h val="2.9056111111111112E-2"/>
                    </c:manualLayout>
                  </c15:layout>
                </c:ext>
                <c:ext xmlns:c16="http://schemas.microsoft.com/office/drawing/2014/chart" uri="{C3380CC4-5D6E-409C-BE32-E72D297353CC}">
                  <c16:uniqueId val="{0000001A-C02A-4E70-8890-0E0581669A09}"/>
                </c:ext>
              </c:extLst>
            </c:dLbl>
            <c:dLbl>
              <c:idx val="1"/>
              <c:layout>
                <c:manualLayout>
                  <c:x val="-1.6186377059860379E-2"/>
                  <c:y val="0"/>
                </c:manualLayout>
              </c:layout>
              <c:spPr>
                <a:noFill/>
                <a:ln>
                  <a:noFill/>
                </a:ln>
                <a:effectLst/>
              </c:spPr>
              <c:txPr>
                <a:bodyPr rot="0" spcFirstLastPara="1" vertOverflow="ellipsis" vert="horz" wrap="square" anchor="ctr" anchorCtr="1"/>
                <a:lstStyle/>
                <a:p>
                  <a:pPr algn="ctr" rtl="0">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1973960520789582"/>
                      <c:h val="2.6691481481481483E-2"/>
                    </c:manualLayout>
                  </c15:layout>
                </c:ext>
                <c:ext xmlns:c16="http://schemas.microsoft.com/office/drawing/2014/chart" uri="{C3380CC4-5D6E-409C-BE32-E72D297353CC}">
                  <c16:uniqueId val="{0000001B-C02A-4E70-8890-0E0581669A09}"/>
                </c:ext>
              </c:extLst>
            </c:dLbl>
            <c:dLbl>
              <c:idx val="2"/>
              <c:layout>
                <c:manualLayout>
                  <c:x val="-1.4046073409240399E-2"/>
                  <c:y val="-1.1757407407407407E-3"/>
                </c:manualLayout>
              </c:layout>
              <c:spPr>
                <a:noFill/>
                <a:ln>
                  <a:noFill/>
                </a:ln>
                <a:effectLst/>
              </c:spPr>
              <c:txPr>
                <a:bodyPr rot="0" spcFirstLastPara="1" vertOverflow="ellipsis" vert="horz" wrap="square" anchor="ctr" anchorCtr="1"/>
                <a:lstStyle/>
                <a:p>
                  <a:pPr algn="ctr">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2393952120957578"/>
                      <c:h val="3.3740925925925924E-2"/>
                    </c:manualLayout>
                  </c15:layout>
                </c:ext>
                <c:ext xmlns:c16="http://schemas.microsoft.com/office/drawing/2014/chart" uri="{C3380CC4-5D6E-409C-BE32-E72D297353CC}">
                  <c16:uniqueId val="{0000001C-C02A-4E70-8890-0E0581669A09}"/>
                </c:ext>
              </c:extLst>
            </c:dLbl>
            <c:dLbl>
              <c:idx val="30"/>
              <c:layout>
                <c:manualLayout>
                  <c:x val="-4.19991600167996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02A-4E70-8890-0E0581669A09}"/>
                </c:ext>
              </c:extLst>
            </c:dLbl>
            <c:dLbl>
              <c:idx val="31"/>
              <c:tx>
                <c:rich>
                  <a:bodyPr/>
                  <a:lstStyle/>
                  <a:p>
                    <a:fld id="{93C8FBB5-B982-4A47-BC11-5EF908290B75}" type="VALUE">
                      <a:rPr lang="en-US">
                        <a:solidFill>
                          <a:srgbClr val="4D565E"/>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C02A-4E70-8890-0E0581669A09}"/>
                </c:ext>
              </c:extLst>
            </c:dLbl>
            <c:dLbl>
              <c:idx val="32"/>
              <c:layout>
                <c:manualLayout>
                  <c:x val="-7.6484769517208085E-3"/>
                  <c:y val="0"/>
                </c:manualLayout>
              </c:layout>
              <c:spPr>
                <a:noFill/>
                <a:ln>
                  <a:noFill/>
                </a:ln>
                <a:effectLst/>
              </c:spPr>
              <c:txPr>
                <a:bodyPr rot="0" spcFirstLastPara="1" vertOverflow="ellipsis" vert="horz" wrap="square" anchor="ctr" anchorCtr="1"/>
                <a:lstStyle/>
                <a:p>
                  <a:pPr algn="r">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6175993015572762"/>
                      <c:h val="2.668537037037037E-2"/>
                    </c:manualLayout>
                  </c15:layout>
                </c:ext>
                <c:ext xmlns:c16="http://schemas.microsoft.com/office/drawing/2014/chart" uri="{C3380CC4-5D6E-409C-BE32-E72D297353CC}">
                  <c16:uniqueId val="{00000019-C02A-4E70-8890-0E0581669A0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'Variaciones por EF'!$B$6:$B$38</c:f>
              <c:strCache>
                <c:ptCount val="33"/>
                <c:pt idx="0">
                  <c:v>Campeche</c:v>
                </c:pt>
                <c:pt idx="1">
                  <c:v>Tabasco</c:v>
                </c:pt>
                <c:pt idx="2">
                  <c:v>Quintana Roo</c:v>
                </c:pt>
                <c:pt idx="3">
                  <c:v>Durango</c:v>
                </c:pt>
                <c:pt idx="4">
                  <c:v>Chihuahua</c:v>
                </c:pt>
                <c:pt idx="5">
                  <c:v>Chiapas</c:v>
                </c:pt>
                <c:pt idx="6">
                  <c:v>Puebla</c:v>
                </c:pt>
                <c:pt idx="7">
                  <c:v>Sonora</c:v>
                </c:pt>
                <c:pt idx="8">
                  <c:v>Veracruz</c:v>
                </c:pt>
                <c:pt idx="9">
                  <c:v>Coahuila</c:v>
                </c:pt>
                <c:pt idx="10">
                  <c:v>Nacional</c:v>
                </c:pt>
                <c:pt idx="11">
                  <c:v>Hidalgo</c:v>
                </c:pt>
                <c:pt idx="12">
                  <c:v>Jalisco</c:v>
                </c:pt>
                <c:pt idx="13">
                  <c:v>Tlaxcala</c:v>
                </c:pt>
                <c:pt idx="14">
                  <c:v>Baja California</c:v>
                </c:pt>
                <c:pt idx="15">
                  <c:v>Michoacán</c:v>
                </c:pt>
                <c:pt idx="16">
                  <c:v>Morelos</c:v>
                </c:pt>
                <c:pt idx="17">
                  <c:v>Querétaro</c:v>
                </c:pt>
                <c:pt idx="18">
                  <c:v>Sinaloa</c:v>
                </c:pt>
                <c:pt idx="19">
                  <c:v>México</c:v>
                </c:pt>
                <c:pt idx="20">
                  <c:v>Aguascalientes</c:v>
                </c:pt>
                <c:pt idx="21">
                  <c:v>Yucatán</c:v>
                </c:pt>
                <c:pt idx="22">
                  <c:v>Nuevo León</c:v>
                </c:pt>
                <c:pt idx="23">
                  <c:v>Zacatecas</c:v>
                </c:pt>
                <c:pt idx="24">
                  <c:v>Tamaulipas</c:v>
                </c:pt>
                <c:pt idx="25">
                  <c:v>Colima</c:v>
                </c:pt>
                <c:pt idx="26">
                  <c:v>Ciudad de México</c:v>
                </c:pt>
                <c:pt idx="27">
                  <c:v>San Luis Potosí</c:v>
                </c:pt>
                <c:pt idx="28">
                  <c:v>Guanajuato</c:v>
                </c:pt>
                <c:pt idx="29">
                  <c:v>Baja California Sur</c:v>
                </c:pt>
                <c:pt idx="30">
                  <c:v>Nayarit</c:v>
                </c:pt>
                <c:pt idx="31">
                  <c:v>Oaxaca</c:v>
                </c:pt>
                <c:pt idx="32">
                  <c:v>Guerrero</c:v>
                </c:pt>
              </c:strCache>
            </c:strRef>
          </c:cat>
          <c:val>
            <c:numRef>
              <c:f>'Variaciones por EF'!$C$6:$C$38</c:f>
              <c:numCache>
                <c:formatCode>0.0</c:formatCode>
                <c:ptCount val="33"/>
                <c:pt idx="0">
                  <c:v>-16.679304384988853</c:v>
                </c:pt>
                <c:pt idx="1">
                  <c:v>-12.781620349523763</c:v>
                </c:pt>
                <c:pt idx="2">
                  <c:v>-9.4354381673375372</c:v>
                </c:pt>
                <c:pt idx="3">
                  <c:v>-0.86781932585884647</c:v>
                </c:pt>
                <c:pt idx="4">
                  <c:v>-0.54291079334790027</c:v>
                </c:pt>
                <c:pt idx="5">
                  <c:v>-0.49092488095099895</c:v>
                </c:pt>
                <c:pt idx="6">
                  <c:v>-0.14425372002824588</c:v>
                </c:pt>
                <c:pt idx="7">
                  <c:v>0.24599114616296447</c:v>
                </c:pt>
                <c:pt idx="8">
                  <c:v>0.35647325389824402</c:v>
                </c:pt>
                <c:pt idx="9">
                  <c:v>0.57004213332673714</c:v>
                </c:pt>
                <c:pt idx="10">
                  <c:v>0.79692409362999705</c:v>
                </c:pt>
                <c:pt idx="11">
                  <c:v>0.85064158737671391</c:v>
                </c:pt>
                <c:pt idx="12">
                  <c:v>0.99910333444506705</c:v>
                </c:pt>
                <c:pt idx="13">
                  <c:v>1.1477431455932532</c:v>
                </c:pt>
                <c:pt idx="14">
                  <c:v>1.2055102076039361</c:v>
                </c:pt>
                <c:pt idx="15">
                  <c:v>1.252154998979421</c:v>
                </c:pt>
                <c:pt idx="16">
                  <c:v>1.3107576828294611</c:v>
                </c:pt>
                <c:pt idx="17">
                  <c:v>1.4543259670532365</c:v>
                </c:pt>
                <c:pt idx="18">
                  <c:v>1.5180405962027237</c:v>
                </c:pt>
                <c:pt idx="19">
                  <c:v>1.5702630077030193</c:v>
                </c:pt>
                <c:pt idx="20">
                  <c:v>1.6433240915855833</c:v>
                </c:pt>
                <c:pt idx="21">
                  <c:v>1.7719801305322562</c:v>
                </c:pt>
                <c:pt idx="22">
                  <c:v>2.009794731194134</c:v>
                </c:pt>
                <c:pt idx="23">
                  <c:v>2.6684113132714913</c:v>
                </c:pt>
                <c:pt idx="24">
                  <c:v>2.6769997550805158</c:v>
                </c:pt>
                <c:pt idx="25">
                  <c:v>2.7344360724499381</c:v>
                </c:pt>
                <c:pt idx="26">
                  <c:v>2.9751025396099919</c:v>
                </c:pt>
                <c:pt idx="27">
                  <c:v>3.1173447842846542</c:v>
                </c:pt>
                <c:pt idx="28">
                  <c:v>3.1597118676708362</c:v>
                </c:pt>
                <c:pt idx="29">
                  <c:v>3.9710557133958275</c:v>
                </c:pt>
                <c:pt idx="30">
                  <c:v>4.6992978016786537</c:v>
                </c:pt>
                <c:pt idx="31">
                  <c:v>5.5898000794779108</c:v>
                </c:pt>
                <c:pt idx="32">
                  <c:v>6.8229758946258841</c:v>
                </c:pt>
              </c:numCache>
            </c:numRef>
          </c:val>
          <c:extLst>
            <c:ext xmlns:c15="http://schemas.microsoft.com/office/drawing/2012/chart" uri="{02D57815-91ED-43cb-92C2-25804820EDAC}">
              <c15:filteredSeriesTitle>
                <c15:tx>
                  <c:v>Total</c:v>
                </c15:tx>
              </c15:filteredSeriesTitle>
            </c:ext>
            <c:ext xmlns:c16="http://schemas.microsoft.com/office/drawing/2014/chart" uri="{C3380CC4-5D6E-409C-BE32-E72D297353CC}">
              <c16:uniqueId val="{0000001F-C02A-4E70-8890-0E0581669A09}"/>
            </c:ext>
          </c:extLst>
        </c:ser>
        <c:dLbls>
          <c:showLegendKey val="0"/>
          <c:showVal val="0"/>
          <c:showCatName val="0"/>
          <c:showSerName val="0"/>
          <c:showPercent val="0"/>
          <c:showBubbleSize val="0"/>
        </c:dLbls>
        <c:gapWidth val="20"/>
        <c:axId val="499231128"/>
        <c:axId val="499231520"/>
      </c:barChart>
      <c:catAx>
        <c:axId val="499231128"/>
        <c:scaling>
          <c:orientation val="minMax"/>
        </c:scaling>
        <c:delete val="0"/>
        <c:axPos val="l"/>
        <c:numFmt formatCode="General" sourceLinked="0"/>
        <c:majorTickMark val="cross"/>
        <c:minorTickMark val="none"/>
        <c:tickLblPos val="low"/>
        <c:spPr>
          <a:noFill/>
          <a:ln w="6350" cap="flat" cmpd="sng" algn="ctr">
            <a:solidFill>
              <a:srgbClr val="C0C0C0"/>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MX"/>
          </a:p>
        </c:txPr>
        <c:crossAx val="499231520"/>
        <c:crossesAt val="0"/>
        <c:auto val="1"/>
        <c:lblAlgn val="ctr"/>
        <c:lblOffset val="100"/>
        <c:noMultiLvlLbl val="0"/>
      </c:catAx>
      <c:valAx>
        <c:axId val="499231520"/>
        <c:scaling>
          <c:orientation val="minMax"/>
          <c:max val="8"/>
          <c:min val="-24"/>
        </c:scaling>
        <c:delete val="0"/>
        <c:axPos val="b"/>
        <c:numFmt formatCode="#,##0.0" sourceLinked="0"/>
        <c:majorTickMark val="out"/>
        <c:minorTickMark val="none"/>
        <c:tickLblPos val="nextTo"/>
        <c:spPr>
          <a:noFill/>
          <a:ln w="9525" cap="flat" cmpd="sng" algn="ctr">
            <a:solidFill>
              <a:srgbClr val="D8551E"/>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MX"/>
          </a:p>
        </c:txPr>
        <c:crossAx val="499231128"/>
        <c:crosses val="autoZero"/>
        <c:crossBetween val="between"/>
        <c:majorUnit val="8"/>
        <c:minorUnit val="1"/>
      </c:valAx>
      <c:spPr>
        <a:noFill/>
        <a:ln>
          <a:noFill/>
        </a:ln>
        <a:effectLst/>
      </c:spPr>
    </c:plotArea>
    <c:plotVisOnly val="1"/>
    <c:dispBlanksAs val="gap"/>
    <c:showDLblsOverMax val="0"/>
  </c:chart>
  <c:spPr>
    <a:noFill/>
    <a:ln w="6350" cap="flat" cmpd="sng" algn="ctr">
      <a:solidFill>
        <a:srgbClr val="C0C0C0"/>
      </a:solidFill>
      <a:prstDash val="solid"/>
      <a:round/>
    </a:ln>
    <a:effectLst/>
  </c:spPr>
  <c:txPr>
    <a:bodyPr/>
    <a:lstStyle/>
    <a:p>
      <a:pPr>
        <a:defRPr sz="700"/>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09775990876047"/>
          <c:y val="2.2274306150399905E-2"/>
          <c:w val="0.64540548013063836"/>
          <c:h val="0.93805666666666665"/>
        </c:manualLayout>
      </c:layout>
      <c:barChart>
        <c:barDir val="bar"/>
        <c:grouping val="clustered"/>
        <c:varyColors val="0"/>
        <c:ser>
          <c:idx val="0"/>
          <c:order val="0"/>
          <c:tx>
            <c:strRef>
              <c:f>Contribuciones!$A$5</c:f>
              <c:strCache>
                <c:ptCount val="1"/>
                <c:pt idx="0">
                  <c:v>Total</c:v>
                </c:pt>
              </c:strCache>
            </c:strRef>
          </c:tx>
          <c:spPr>
            <a:solidFill>
              <a:srgbClr val="08989C"/>
            </a:solidFill>
            <a:ln>
              <a:noFill/>
            </a:ln>
          </c:spPr>
          <c:invertIfNegative val="0"/>
          <c:dLbls>
            <c:dLbl>
              <c:idx val="0"/>
              <c:layout>
                <c:manualLayout>
                  <c:x val="-3.7704497878546288E-2"/>
                  <c:y val="1.1760555098200634E-3"/>
                </c:manualLayout>
              </c:layout>
              <c:numFmt formatCode="#,##0.00" sourceLinked="0"/>
              <c:spPr>
                <a:noFill/>
                <a:ln>
                  <a:noFill/>
                </a:ln>
                <a:effectLst/>
              </c:spPr>
              <c:txPr>
                <a:bodyPr rot="0"/>
                <a:lstStyle/>
                <a:p>
                  <a:pPr algn="l">
                    <a:defRPr sz="7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799680541822233"/>
                      <c:h val="2.9695494225752652E-2"/>
                    </c:manualLayout>
                  </c15:layout>
                </c:ext>
                <c:ext xmlns:c16="http://schemas.microsoft.com/office/drawing/2014/chart" uri="{C3380CC4-5D6E-409C-BE32-E72D297353CC}">
                  <c16:uniqueId val="{00000000-C326-44D2-A80B-ECB79232F3B9}"/>
                </c:ext>
              </c:extLst>
            </c:dLbl>
            <c:dLbl>
              <c:idx val="1"/>
              <c:layout>
                <c:manualLayout>
                  <c:x val="-1.6405797868294603E-2"/>
                  <c:y val="-1.7248614886556546E-16"/>
                </c:manualLayout>
              </c:layout>
              <c:numFmt formatCode="#,##0.00" sourceLinked="0"/>
              <c:spPr>
                <a:noFill/>
                <a:ln>
                  <a:noFill/>
                </a:ln>
                <a:effectLst/>
              </c:spPr>
              <c:txPr>
                <a:bodyPr rot="0"/>
                <a:lstStyle/>
                <a:p>
                  <a:pPr algn="l">
                    <a:defRPr sz="6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9.6997225409822516E-2"/>
                      <c:h val="3.2047605245392782E-2"/>
                    </c:manualLayout>
                  </c15:layout>
                </c:ext>
                <c:ext xmlns:c16="http://schemas.microsoft.com/office/drawing/2014/chart" uri="{C3380CC4-5D6E-409C-BE32-E72D297353CC}">
                  <c16:uniqueId val="{00000001-C326-44D2-A80B-ECB79232F3B9}"/>
                </c:ext>
              </c:extLst>
            </c:dLbl>
            <c:dLbl>
              <c:idx val="2"/>
              <c:numFmt formatCode="#,##0.00" sourceLinked="0"/>
              <c:spPr>
                <a:noFill/>
                <a:ln>
                  <a:noFill/>
                </a:ln>
                <a:effectLst/>
              </c:spPr>
              <c:txPr>
                <a:bodyPr rot="0"/>
                <a:lstStyle/>
                <a:p>
                  <a:pPr algn="l">
                    <a:defRPr sz="6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9.0340193196136065E-2"/>
                      <c:h val="2.9036903140253412E-2"/>
                    </c:manualLayout>
                  </c15:layout>
                </c:ext>
                <c:ext xmlns:c16="http://schemas.microsoft.com/office/drawing/2014/chart" uri="{C3380CC4-5D6E-409C-BE32-E72D297353CC}">
                  <c16:uniqueId val="{00000002-C326-44D2-A80B-ECB79232F3B9}"/>
                </c:ext>
              </c:extLst>
            </c:dLbl>
            <c:dLbl>
              <c:idx val="3"/>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26-44D2-A80B-ECB79232F3B9}"/>
                </c:ext>
              </c:extLst>
            </c:dLbl>
            <c:dLbl>
              <c:idx val="4"/>
              <c:layout>
                <c:manualLayout>
                  <c:x val="3.9682539682539683E-7"/>
                  <c:y val="-1.03480286068386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26-44D2-A80B-ECB79232F3B9}"/>
                </c:ext>
              </c:extLst>
            </c:dLbl>
            <c:dLbl>
              <c:idx val="5"/>
              <c:layout>
                <c:manualLayout>
                  <c:x val="-1.3438408397186311E-2"/>
                  <c:y val="9.2602796048823892E-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386327561327562"/>
                      <c:h val="2.7824120324120325E-2"/>
                    </c:manualLayout>
                  </c15:layout>
                </c:ext>
                <c:ext xmlns:c16="http://schemas.microsoft.com/office/drawing/2014/chart" uri="{C3380CC4-5D6E-409C-BE32-E72D297353CC}">
                  <c16:uniqueId val="{00000005-C326-44D2-A80B-ECB79232F3B9}"/>
                </c:ext>
              </c:extLst>
            </c:dLbl>
            <c:dLbl>
              <c:idx val="6"/>
              <c:layout>
                <c:manualLayout>
                  <c:x val="1.3228081895055012E-6"/>
                  <c:y val="-4.23417024653642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26-44D2-A80B-ECB79232F3B9}"/>
                </c:ext>
              </c:extLst>
            </c:dLbl>
            <c:dLbl>
              <c:idx val="7"/>
              <c:layout>
                <c:manualLayout>
                  <c:x val="9.9210614220612339E-7"/>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26-44D2-A80B-ECB79232F3B9}"/>
                </c:ext>
              </c:extLst>
            </c:dLbl>
            <c:dLbl>
              <c:idx val="24"/>
              <c:layout>
                <c:manualLayout>
                  <c:x val="0"/>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26-44D2-A80B-ECB79232F3B9}"/>
                </c:ext>
              </c:extLst>
            </c:dLbl>
            <c:dLbl>
              <c:idx val="28"/>
              <c:layout>
                <c:manualLayout>
                  <c:x val="-8.3965249828861694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26-44D2-A80B-ECB79232F3B9}"/>
                </c:ext>
              </c:extLst>
            </c:dLbl>
            <c:dLbl>
              <c:idx val="29"/>
              <c:layout>
                <c:manualLayout>
                  <c:x val="-8.3965249828861694E-4"/>
                  <c:y val="-2.3521110196401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26-44D2-A80B-ECB79232F3B9}"/>
                </c:ext>
              </c:extLst>
            </c:dLbl>
            <c:dLbl>
              <c:idx val="30"/>
              <c:layout>
                <c:manualLayout>
                  <c:x val="-5.4292347223921664E-2"/>
                  <c:y val="1.1760555098200634E-3"/>
                </c:manualLayout>
              </c:layout>
              <c:numFmt formatCode="#,##0.00" sourceLinked="0"/>
              <c:spPr>
                <a:noFill/>
                <a:ln>
                  <a:noFill/>
                </a:ln>
                <a:effectLst/>
              </c:spPr>
              <c:txPr>
                <a:bodyPr rot="0"/>
                <a:lstStyle/>
                <a:p>
                  <a:pPr algn="r">
                    <a:defRPr sz="7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516047316848938"/>
                      <c:h val="2.8294413921533947E-2"/>
                    </c:manualLayout>
                  </c15:layout>
                </c:ext>
                <c:ext xmlns:c16="http://schemas.microsoft.com/office/drawing/2014/chart" uri="{C3380CC4-5D6E-409C-BE32-E72D297353CC}">
                  <c16:uniqueId val="{0000000B-C326-44D2-A80B-ECB79232F3B9}"/>
                </c:ext>
              </c:extLst>
            </c:dLbl>
            <c:dLbl>
              <c:idx val="31"/>
              <c:layout>
                <c:manualLayout>
                  <c:x val="-8.3998320033599333E-3"/>
                  <c:y val="0"/>
                </c:manualLayout>
              </c:layout>
              <c:tx>
                <c:rich>
                  <a:bodyPr rot="0"/>
                  <a:lstStyle/>
                  <a:p>
                    <a:pPr algn="r">
                      <a:defRPr sz="700">
                        <a:latin typeface="+mn-lt"/>
                      </a:defRPr>
                    </a:pPr>
                    <a:r>
                      <a:rPr lang="en-US" sz="700">
                        <a:latin typeface="+mn-lt"/>
                      </a:rPr>
                      <a:t>0.45</a:t>
                    </a:r>
                  </a:p>
                </c:rich>
              </c:tx>
              <c:numFmt formatCode="#,##0.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9.8007189462509969E-2"/>
                      <c:h val="3.2047605245392782E-2"/>
                    </c:manualLayout>
                  </c15:layout>
                  <c15:showDataLabelsRange val="0"/>
                </c:ext>
                <c:ext xmlns:c16="http://schemas.microsoft.com/office/drawing/2014/chart" uri="{C3380CC4-5D6E-409C-BE32-E72D297353CC}">
                  <c16:uniqueId val="{0000000C-C326-44D2-A80B-ECB79232F3B9}"/>
                </c:ext>
              </c:extLst>
            </c:dLbl>
            <c:numFmt formatCode="#,##0.00" sourceLinked="0"/>
            <c:spPr>
              <a:noFill/>
              <a:ln>
                <a:noFill/>
              </a:ln>
              <a:effectLst/>
            </c:spPr>
            <c:txPr>
              <a:bodyPr rot="0"/>
              <a:lstStyle/>
              <a:p>
                <a:pPr>
                  <a:defRPr sz="700">
                    <a:latin typeface="+mn-lt"/>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Contribuciones!$A$7:$A$38</c:f>
              <c:strCache>
                <c:ptCount val="32"/>
                <c:pt idx="0">
                  <c:v>Campeche</c:v>
                </c:pt>
                <c:pt idx="1">
                  <c:v>Tabasco</c:v>
                </c:pt>
                <c:pt idx="2">
                  <c:v>Quintana Roo</c:v>
                </c:pt>
                <c:pt idx="3">
                  <c:v>Chihuahua</c:v>
                </c:pt>
                <c:pt idx="4">
                  <c:v>Durango</c:v>
                </c:pt>
                <c:pt idx="5">
                  <c:v>Chiapas</c:v>
                </c:pt>
                <c:pt idx="6">
                  <c:v>Puebla</c:v>
                </c:pt>
                <c:pt idx="7">
                  <c:v>Tlaxcala</c:v>
                </c:pt>
                <c:pt idx="8">
                  <c:v>Sonora</c:v>
                </c:pt>
                <c:pt idx="9">
                  <c:v>Morelos</c:v>
                </c:pt>
                <c:pt idx="10">
                  <c:v>Hidalgo</c:v>
                </c:pt>
                <c:pt idx="11">
                  <c:v>Veracruz</c:v>
                </c:pt>
                <c:pt idx="12">
                  <c:v>Colima</c:v>
                </c:pt>
                <c:pt idx="13">
                  <c:v>Coahuila</c:v>
                </c:pt>
                <c:pt idx="14">
                  <c:v>Aguascalientes</c:v>
                </c:pt>
                <c:pt idx="15">
                  <c:v>Zacatecas</c:v>
                </c:pt>
                <c:pt idx="16">
                  <c:v>Yucatán</c:v>
                </c:pt>
                <c:pt idx="17">
                  <c:v>Baja California Sur</c:v>
                </c:pt>
                <c:pt idx="18">
                  <c:v>Nayarit</c:v>
                </c:pt>
                <c:pt idx="19">
                  <c:v>Sinaloa</c:v>
                </c:pt>
                <c:pt idx="20">
                  <c:v>Michoacán</c:v>
                </c:pt>
                <c:pt idx="21">
                  <c:v>Querétaro</c:v>
                </c:pt>
                <c:pt idx="22">
                  <c:v>Baja California</c:v>
                </c:pt>
                <c:pt idx="23">
                  <c:v>San Luis Potosí</c:v>
                </c:pt>
                <c:pt idx="24">
                  <c:v>Jalisco</c:v>
                </c:pt>
                <c:pt idx="25">
                  <c:v>Tamaulipas</c:v>
                </c:pt>
                <c:pt idx="26">
                  <c:v>Guerrero</c:v>
                </c:pt>
                <c:pt idx="27">
                  <c:v>Oaxaca</c:v>
                </c:pt>
                <c:pt idx="28">
                  <c:v>México</c:v>
                </c:pt>
                <c:pt idx="29">
                  <c:v>Guanajuato</c:v>
                </c:pt>
                <c:pt idx="30">
                  <c:v>Nuevo León</c:v>
                </c:pt>
                <c:pt idx="31">
                  <c:v>Ciudad de México</c:v>
                </c:pt>
              </c:strCache>
            </c:strRef>
          </c:cat>
          <c:val>
            <c:numRef>
              <c:f>Contribuciones!$B$7:$B$38</c:f>
              <c:numCache>
                <c:formatCode>0.00</c:formatCode>
                <c:ptCount val="32"/>
                <c:pt idx="0">
                  <c:v>-0.35770942738585293</c:v>
                </c:pt>
                <c:pt idx="1">
                  <c:v>-0.33907757242313269</c:v>
                </c:pt>
                <c:pt idx="2">
                  <c:v>-0.14468041157526346</c:v>
                </c:pt>
                <c:pt idx="3">
                  <c:v>-1.9553563353478708E-2</c:v>
                </c:pt>
                <c:pt idx="4">
                  <c:v>-1.1106593989815772E-2</c:v>
                </c:pt>
                <c:pt idx="5">
                  <c:v>-7.9497955388017193E-3</c:v>
                </c:pt>
                <c:pt idx="6">
                  <c:v>4.9235477070394803E-3</c:v>
                </c:pt>
                <c:pt idx="7">
                  <c:v>6.5862722859677337E-3</c:v>
                </c:pt>
                <c:pt idx="8">
                  <c:v>8.1574521791382571E-3</c:v>
                </c:pt>
                <c:pt idx="9">
                  <c:v>1.4138046741604078E-2</c:v>
                </c:pt>
                <c:pt idx="10">
                  <c:v>1.5270301622077369E-2</c:v>
                </c:pt>
                <c:pt idx="11">
                  <c:v>1.6095419205528601E-2</c:v>
                </c:pt>
                <c:pt idx="12">
                  <c:v>1.7718304010856334E-2</c:v>
                </c:pt>
                <c:pt idx="13">
                  <c:v>2.0104424063690535E-2</c:v>
                </c:pt>
                <c:pt idx="14">
                  <c:v>2.1457561823622871E-2</c:v>
                </c:pt>
                <c:pt idx="15">
                  <c:v>2.3166653576134896E-2</c:v>
                </c:pt>
                <c:pt idx="16">
                  <c:v>2.7925188577172744E-2</c:v>
                </c:pt>
                <c:pt idx="17">
                  <c:v>2.8502677453400842E-2</c:v>
                </c:pt>
                <c:pt idx="18">
                  <c:v>2.931377282730108E-2</c:v>
                </c:pt>
                <c:pt idx="19">
                  <c:v>3.2893383840225221E-2</c:v>
                </c:pt>
                <c:pt idx="20">
                  <c:v>3.3699706251786372E-2</c:v>
                </c:pt>
                <c:pt idx="21">
                  <c:v>3.5253557313336063E-2</c:v>
                </c:pt>
                <c:pt idx="22">
                  <c:v>4.4256781331090143E-2</c:v>
                </c:pt>
                <c:pt idx="23">
                  <c:v>7.1419334684540273E-2</c:v>
                </c:pt>
                <c:pt idx="24">
                  <c:v>7.2679765188697662E-2</c:v>
                </c:pt>
                <c:pt idx="25">
                  <c:v>8.0769768214542251E-2</c:v>
                </c:pt>
                <c:pt idx="26">
                  <c:v>8.6462808181198003E-2</c:v>
                </c:pt>
                <c:pt idx="27">
                  <c:v>0.10261899312261905</c:v>
                </c:pt>
                <c:pt idx="28">
                  <c:v>0.14039799697002975</c:v>
                </c:pt>
                <c:pt idx="29">
                  <c:v>0.14278045121078398</c:v>
                </c:pt>
                <c:pt idx="30">
                  <c:v>0.16098490284226449</c:v>
                </c:pt>
                <c:pt idx="31">
                  <c:v>0.44927148208574574</c:v>
                </c:pt>
              </c:numCache>
            </c:numRef>
          </c:val>
          <c:extLst>
            <c:ext xmlns:c16="http://schemas.microsoft.com/office/drawing/2014/chart" uri="{C3380CC4-5D6E-409C-BE32-E72D297353CC}">
              <c16:uniqueId val="{0000000D-C326-44D2-A80B-ECB79232F3B9}"/>
            </c:ext>
          </c:extLst>
        </c:ser>
        <c:dLbls>
          <c:showLegendKey val="0"/>
          <c:showVal val="0"/>
          <c:showCatName val="0"/>
          <c:showSerName val="0"/>
          <c:showPercent val="0"/>
          <c:showBubbleSize val="0"/>
        </c:dLbls>
        <c:gapWidth val="30"/>
        <c:axId val="417157528"/>
        <c:axId val="417157920"/>
      </c:barChart>
      <c:catAx>
        <c:axId val="41715752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latin typeface="+mn-lt"/>
              </a:defRPr>
            </a:pPr>
            <a:endParaRPr lang="es-MX"/>
          </a:p>
        </c:txPr>
        <c:crossAx val="417157920"/>
        <c:crosses val="autoZero"/>
        <c:auto val="1"/>
        <c:lblAlgn val="ctr"/>
        <c:lblOffset val="100"/>
        <c:noMultiLvlLbl val="0"/>
      </c:catAx>
      <c:valAx>
        <c:axId val="417157920"/>
        <c:scaling>
          <c:orientation val="minMax"/>
          <c:min val="-0.5"/>
        </c:scaling>
        <c:delete val="0"/>
        <c:axPos val="b"/>
        <c:numFmt formatCode="#,##0.00" sourceLinked="0"/>
        <c:majorTickMark val="out"/>
        <c:minorTickMark val="none"/>
        <c:tickLblPos val="nextTo"/>
        <c:spPr>
          <a:ln w="9525">
            <a:solidFill>
              <a:srgbClr val="D8551E"/>
            </a:solidFill>
          </a:ln>
        </c:spPr>
        <c:txPr>
          <a:bodyPr/>
          <a:lstStyle/>
          <a:p>
            <a:pPr>
              <a:defRPr sz="700">
                <a:latin typeface="+mn-lt"/>
                <a:cs typeface="Times New Roman" panose="02020603050405020304" pitchFamily="18" charset="0"/>
              </a:defRPr>
            </a:pPr>
            <a:endParaRPr lang="es-MX"/>
          </a:p>
        </c:txPr>
        <c:crossAx val="417157528"/>
        <c:crosses val="autoZero"/>
        <c:crossBetween val="between"/>
        <c:majorUnit val="0.25"/>
      </c:valAx>
      <c:spPr>
        <a:noFill/>
        <a:ln>
          <a:noFill/>
        </a:ln>
      </c:spPr>
    </c:plotArea>
    <c:plotVisOnly val="1"/>
    <c:dispBlanksAs val="gap"/>
    <c:showDLblsOverMax val="0"/>
  </c:chart>
  <c:spPr>
    <a:noFill/>
    <a:ln w="6350">
      <a:solidFill>
        <a:srgbClr val="C0C0C0"/>
      </a:solidFill>
    </a:ln>
    <a:effectLst/>
  </c:spPr>
  <c:txPr>
    <a:bodyPr/>
    <a:lstStyle/>
    <a:p>
      <a:pPr>
        <a:defRPr sz="600">
          <a:latin typeface="Arial" panose="020B0604020202020204" pitchFamily="34" charset="0"/>
          <a:cs typeface="Arial" panose="020B0604020202020204" pitchFamily="34" charset="0"/>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50189036869749"/>
          <c:y val="1.9088888888888891E-2"/>
          <c:w val="0.59686450845372885"/>
          <c:h val="0.95115832207437667"/>
        </c:manualLayout>
      </c:layout>
      <c:barChart>
        <c:barDir val="bar"/>
        <c:grouping val="clustered"/>
        <c:varyColors val="0"/>
        <c:ser>
          <c:idx val="0"/>
          <c:order val="0"/>
          <c:tx>
            <c:strRef>
              <c:f>'Variaciones por EF'!$P$4</c:f>
              <c:strCache>
                <c:ptCount val="1"/>
                <c:pt idx="0">
                  <c:v>Terciarias</c:v>
                </c:pt>
              </c:strCache>
            </c:strRef>
          </c:tx>
          <c:spPr>
            <a:solidFill>
              <a:srgbClr val="08989C"/>
            </a:solidFill>
            <a:ln w="0">
              <a:noFill/>
            </a:ln>
            <a:effectLst/>
          </c:spPr>
          <c:invertIfNegative val="0"/>
          <c:dPt>
            <c:idx val="10"/>
            <c:invertIfNegative val="0"/>
            <c:bubble3D val="0"/>
            <c:extLst>
              <c:ext xmlns:c16="http://schemas.microsoft.com/office/drawing/2014/chart" uri="{C3380CC4-5D6E-409C-BE32-E72D297353CC}">
                <c16:uniqueId val="{00000000-B8DA-4111-9191-4AC9C51C964E}"/>
              </c:ext>
            </c:extLst>
          </c:dPt>
          <c:dPt>
            <c:idx val="11"/>
            <c:invertIfNegative val="0"/>
            <c:bubble3D val="0"/>
            <c:extLst>
              <c:ext xmlns:c16="http://schemas.microsoft.com/office/drawing/2014/chart" uri="{C3380CC4-5D6E-409C-BE32-E72D297353CC}">
                <c16:uniqueId val="{00000001-B8DA-4111-9191-4AC9C51C964E}"/>
              </c:ext>
            </c:extLst>
          </c:dPt>
          <c:dPt>
            <c:idx val="13"/>
            <c:invertIfNegative val="0"/>
            <c:bubble3D val="0"/>
            <c:extLst>
              <c:ext xmlns:c16="http://schemas.microsoft.com/office/drawing/2014/chart" uri="{C3380CC4-5D6E-409C-BE32-E72D297353CC}">
                <c16:uniqueId val="{00000002-B8DA-4111-9191-4AC9C51C964E}"/>
              </c:ext>
            </c:extLst>
          </c:dPt>
          <c:dPt>
            <c:idx val="14"/>
            <c:invertIfNegative val="0"/>
            <c:bubble3D val="0"/>
            <c:extLst>
              <c:ext xmlns:c16="http://schemas.microsoft.com/office/drawing/2014/chart" uri="{C3380CC4-5D6E-409C-BE32-E72D297353CC}">
                <c16:uniqueId val="{00000003-B8DA-4111-9191-4AC9C51C964E}"/>
              </c:ext>
            </c:extLst>
          </c:dPt>
          <c:dPt>
            <c:idx val="15"/>
            <c:invertIfNegative val="0"/>
            <c:bubble3D val="0"/>
            <c:extLst>
              <c:ext xmlns:c16="http://schemas.microsoft.com/office/drawing/2014/chart" uri="{C3380CC4-5D6E-409C-BE32-E72D297353CC}">
                <c16:uniqueId val="{00000004-B8DA-4111-9191-4AC9C51C964E}"/>
              </c:ext>
            </c:extLst>
          </c:dPt>
          <c:dPt>
            <c:idx val="16"/>
            <c:invertIfNegative val="0"/>
            <c:bubble3D val="0"/>
            <c:extLst>
              <c:ext xmlns:c16="http://schemas.microsoft.com/office/drawing/2014/chart" uri="{C3380CC4-5D6E-409C-BE32-E72D297353CC}">
                <c16:uniqueId val="{00000005-B8DA-4111-9191-4AC9C51C964E}"/>
              </c:ext>
            </c:extLst>
          </c:dPt>
          <c:dPt>
            <c:idx val="17"/>
            <c:invertIfNegative val="0"/>
            <c:bubble3D val="0"/>
            <c:extLst>
              <c:ext xmlns:c16="http://schemas.microsoft.com/office/drawing/2014/chart" uri="{C3380CC4-5D6E-409C-BE32-E72D297353CC}">
                <c16:uniqueId val="{00000006-B8DA-4111-9191-4AC9C51C964E}"/>
              </c:ext>
            </c:extLst>
          </c:dPt>
          <c:dPt>
            <c:idx val="18"/>
            <c:invertIfNegative val="0"/>
            <c:bubble3D val="0"/>
            <c:extLst>
              <c:ext xmlns:c16="http://schemas.microsoft.com/office/drawing/2014/chart" uri="{C3380CC4-5D6E-409C-BE32-E72D297353CC}">
                <c16:uniqueId val="{00000007-B8DA-4111-9191-4AC9C51C964E}"/>
              </c:ext>
            </c:extLst>
          </c:dPt>
          <c:dPt>
            <c:idx val="19"/>
            <c:invertIfNegative val="0"/>
            <c:bubble3D val="0"/>
            <c:extLst>
              <c:ext xmlns:c16="http://schemas.microsoft.com/office/drawing/2014/chart" uri="{C3380CC4-5D6E-409C-BE32-E72D297353CC}">
                <c16:uniqueId val="{00000008-B8DA-4111-9191-4AC9C51C964E}"/>
              </c:ext>
            </c:extLst>
          </c:dPt>
          <c:dPt>
            <c:idx val="20"/>
            <c:invertIfNegative val="0"/>
            <c:bubble3D val="0"/>
            <c:spPr>
              <a:solidFill>
                <a:srgbClr val="C0C0C0"/>
              </a:solidFill>
              <a:ln w="0">
                <a:noFill/>
              </a:ln>
              <a:effectLst/>
            </c:spPr>
            <c:extLst>
              <c:ext xmlns:c16="http://schemas.microsoft.com/office/drawing/2014/chart" uri="{C3380CC4-5D6E-409C-BE32-E72D297353CC}">
                <c16:uniqueId val="{0000000A-B8DA-4111-9191-4AC9C51C964E}"/>
              </c:ext>
            </c:extLst>
          </c:dPt>
          <c:dPt>
            <c:idx val="23"/>
            <c:invertIfNegative val="0"/>
            <c:bubble3D val="0"/>
            <c:extLst>
              <c:ext xmlns:c16="http://schemas.microsoft.com/office/drawing/2014/chart" uri="{C3380CC4-5D6E-409C-BE32-E72D297353CC}">
                <c16:uniqueId val="{0000000B-B8DA-4111-9191-4AC9C51C964E}"/>
              </c:ext>
            </c:extLst>
          </c:dPt>
          <c:dLbls>
            <c:dLbl>
              <c:idx val="0"/>
              <c:layout>
                <c:manualLayout>
                  <c:x val="-1.6002010668448047E-2"/>
                  <c:y val="-7.439260048497274E-4"/>
                </c:manualLayout>
              </c:layout>
              <c:numFmt formatCode="#,##0.0" sourceLinked="0"/>
              <c:spPr>
                <a:noFill/>
                <a:ln>
                  <a:noFill/>
                </a:ln>
                <a:effectLst/>
              </c:spPr>
              <c:txPr>
                <a:bodyPr wrap="square" lIns="38100" tIns="19050" rIns="38100" bIns="19050" anchor="ctr">
                  <a:noAutofit/>
                </a:bodyPr>
                <a:lstStyle/>
                <a:p>
                  <a:pPr>
                    <a:defRPr sz="70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9.451894426678395E-2"/>
                      <c:h val="2.6684792120613289E-2"/>
                    </c:manualLayout>
                  </c15:layout>
                </c:ext>
                <c:ext xmlns:c16="http://schemas.microsoft.com/office/drawing/2014/chart" uri="{C3380CC4-5D6E-409C-BE32-E72D297353CC}">
                  <c16:uniqueId val="{0000000C-B8DA-4111-9191-4AC9C51C964E}"/>
                </c:ext>
              </c:extLst>
            </c:dLbl>
            <c:dLbl>
              <c:idx val="1"/>
              <c:layout>
                <c:manualLayout>
                  <c:x val="-7.781746031746032E-3"/>
                  <c:y val="-7.01999999999896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DA-4111-9191-4AC9C51C964E}"/>
                </c:ext>
              </c:extLst>
            </c:dLbl>
            <c:dLbl>
              <c:idx val="2"/>
              <c:layout>
                <c:manualLayout>
                  <c:x val="-7.7853174603174603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8DA-4111-9191-4AC9C51C964E}"/>
                </c:ext>
              </c:extLst>
            </c:dLbl>
            <c:dLbl>
              <c:idx val="3"/>
              <c:layout>
                <c:manualLayout>
                  <c:x val="-1.2821825396825397E-2"/>
                  <c:y val="-7.020000000001034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DA-4111-9191-4AC9C51C964E}"/>
                </c:ext>
              </c:extLst>
            </c:dLbl>
            <c:dLbl>
              <c:idx val="4"/>
              <c:layout>
                <c:manualLayout>
                  <c:x val="-9.9796287538816073E-2"/>
                  <c:y val="-3.0540402136900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8DA-4111-9191-4AC9C51C964E}"/>
                </c:ext>
              </c:extLst>
            </c:dLbl>
            <c:dLbl>
              <c:idx val="5"/>
              <c:layout>
                <c:manualLayout>
                  <c:x val="-9.9797610347005586E-2"/>
                  <c:y val="-7.01929194050085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8DA-4111-9191-4AC9C51C964E}"/>
                </c:ext>
              </c:extLst>
            </c:dLbl>
            <c:dLbl>
              <c:idx val="6"/>
              <c:layout>
                <c:manualLayout>
                  <c:x val="-3.2007936507936507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8DA-4111-9191-4AC9C51C964E}"/>
                </c:ext>
              </c:extLst>
            </c:dLbl>
            <c:dLbl>
              <c:idx val="7"/>
              <c:layout>
                <c:manualLayout>
                  <c:x val="-1.4297076263199222E-2"/>
                  <c:y val="-2.1131032030381127E-3"/>
                </c:manualLayout>
              </c:layout>
              <c:showLegendKey val="0"/>
              <c:showVal val="1"/>
              <c:showCatName val="0"/>
              <c:showSerName val="0"/>
              <c:showPercent val="0"/>
              <c:showBubbleSize val="0"/>
              <c:extLst>
                <c:ext xmlns:c15="http://schemas.microsoft.com/office/drawing/2012/chart" uri="{CE6537A1-D6FC-4f65-9D91-7224C49458BB}">
                  <c15:layout>
                    <c:manualLayout>
                      <c:w val="9.4540079365079382E-2"/>
                      <c:h val="3.0646444444444445E-2"/>
                    </c:manualLayout>
                  </c15:layout>
                </c:ext>
                <c:ext xmlns:c16="http://schemas.microsoft.com/office/drawing/2014/chart" uri="{C3380CC4-5D6E-409C-BE32-E72D297353CC}">
                  <c16:uniqueId val="{00000013-B8DA-4111-9191-4AC9C51C964E}"/>
                </c:ext>
              </c:extLst>
            </c:dLbl>
            <c:dLbl>
              <c:idx val="8"/>
              <c:layout>
                <c:manualLayout>
                  <c:x val="-1.9286543402990978E-3"/>
                  <c:y val="-7.0200167438749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8DA-4111-9191-4AC9C51C964E}"/>
                </c:ext>
              </c:extLst>
            </c:dLbl>
            <c:dLbl>
              <c:idx val="9"/>
              <c:layout>
                <c:manualLayout>
                  <c:x val="-1.0761507936507844E-2"/>
                  <c:y val="-7.0200000000000004E-4"/>
                </c:manualLayout>
              </c:layout>
              <c:showLegendKey val="0"/>
              <c:showVal val="1"/>
              <c:showCatName val="0"/>
              <c:showSerName val="0"/>
              <c:showPercent val="0"/>
              <c:showBubbleSize val="0"/>
              <c:extLst>
                <c:ext xmlns:c15="http://schemas.microsoft.com/office/drawing/2012/chart" uri="{CE6537A1-D6FC-4f65-9D91-7224C49458BB}">
                  <c15:layout>
                    <c:manualLayout>
                      <c:w val="9.7442063492063496E-2"/>
                      <c:h val="3.3570444444444444E-2"/>
                    </c:manualLayout>
                  </c15:layout>
                </c:ext>
                <c:ext xmlns:c16="http://schemas.microsoft.com/office/drawing/2014/chart" uri="{C3380CC4-5D6E-409C-BE32-E72D297353CC}">
                  <c16:uniqueId val="{00000015-B8DA-4111-9191-4AC9C51C964E}"/>
                </c:ext>
              </c:extLst>
            </c:dLbl>
            <c:dLbl>
              <c:idx val="10"/>
              <c:layout>
                <c:manualLayout>
                  <c:x val="-1.7479587416125694E-2"/>
                  <c:y val="2.1200484127417742E-3"/>
                </c:manualLayout>
              </c:layout>
              <c:showLegendKey val="0"/>
              <c:showVal val="1"/>
              <c:showCatName val="0"/>
              <c:showSerName val="0"/>
              <c:showPercent val="0"/>
              <c:showBubbleSize val="0"/>
              <c:extLst>
                <c:ext xmlns:c15="http://schemas.microsoft.com/office/drawing/2012/chart" uri="{CE6537A1-D6FC-4f65-9D91-7224C49458BB}">
                  <c15:layout>
                    <c:manualLayout>
                      <c:w val="0.10507738095238095"/>
                      <c:h val="4.1921111111111103E-2"/>
                    </c:manualLayout>
                  </c15:layout>
                </c:ext>
                <c:ext xmlns:c16="http://schemas.microsoft.com/office/drawing/2014/chart" uri="{C3380CC4-5D6E-409C-BE32-E72D297353CC}">
                  <c16:uniqueId val="{00000000-B8DA-4111-9191-4AC9C51C964E}"/>
                </c:ext>
              </c:extLst>
            </c:dLbl>
            <c:dLbl>
              <c:idx val="11"/>
              <c:layout>
                <c:manualLayout>
                  <c:x val="-3.251984126984127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DA-4111-9191-4AC9C51C964E}"/>
                </c:ext>
              </c:extLst>
            </c:dLbl>
            <c:dLbl>
              <c:idx val="12"/>
              <c:layout>
                <c:manualLayout>
                  <c:x val="-3.6611111111112035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8DA-4111-9191-4AC9C51C964E}"/>
                </c:ext>
              </c:extLst>
            </c:dLbl>
            <c:dLbl>
              <c:idx val="13"/>
              <c:layout>
                <c:manualLayout>
                  <c:x val="-3.661111111111111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DA-4111-9191-4AC9C51C964E}"/>
                </c:ext>
              </c:extLst>
            </c:dLbl>
            <c:dLbl>
              <c:idx val="14"/>
              <c:layout>
                <c:manualLayout>
                  <c:x val="-3.6626984126984126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DA-4111-9191-4AC9C51C964E}"/>
                </c:ext>
              </c:extLst>
            </c:dLbl>
            <c:dLbl>
              <c:idx val="15"/>
              <c:layout>
                <c:manualLayout>
                  <c:x val="-3.6634920634920636E-3"/>
                  <c:y val="-3.52422222222232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DA-4111-9191-4AC9C51C964E}"/>
                </c:ext>
              </c:extLst>
            </c:dLbl>
            <c:dLbl>
              <c:idx val="16"/>
              <c:layout>
                <c:manualLayout>
                  <c:x val="-3.6642857142857141E-3"/>
                  <c:y val="-1.03480286068386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DA-4111-9191-4AC9C51C964E}"/>
                </c:ext>
              </c:extLst>
            </c:dLbl>
            <c:dLbl>
              <c:idx val="17"/>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DA-4111-9191-4AC9C51C964E}"/>
                </c:ext>
              </c:extLst>
            </c:dLbl>
            <c:dLbl>
              <c:idx val="18"/>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DA-4111-9191-4AC9C51C964E}"/>
                </c:ext>
              </c:extLst>
            </c:dLbl>
            <c:dLbl>
              <c:idx val="19"/>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DA-4111-9191-4AC9C51C964E}"/>
                </c:ext>
              </c:extLst>
            </c:dLbl>
            <c:dLbl>
              <c:idx val="20"/>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DA-4111-9191-4AC9C51C964E}"/>
                </c:ext>
              </c:extLst>
            </c:dLbl>
            <c:dLbl>
              <c:idx val="21"/>
              <c:layout>
                <c:manualLayout>
                  <c:x val="-3.66507936507936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8DA-4111-9191-4AC9C51C964E}"/>
                </c:ext>
              </c:extLst>
            </c:dLbl>
            <c:dLbl>
              <c:idx val="22"/>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8DA-4111-9191-4AC9C51C964E}"/>
                </c:ext>
              </c:extLst>
            </c:dLbl>
            <c:dLbl>
              <c:idx val="23"/>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DA-4111-9191-4AC9C51C964E}"/>
                </c:ext>
              </c:extLst>
            </c:dLbl>
            <c:dLbl>
              <c:idx val="24"/>
              <c:layout>
                <c:manualLayout>
                  <c:x val="-3.6650793650793651E-3"/>
                  <c:y val="-2.82222222222227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8DA-4111-9191-4AC9C51C964E}"/>
                </c:ext>
              </c:extLst>
            </c:dLbl>
            <c:dLbl>
              <c:idx val="25"/>
              <c:layout>
                <c:manualLayout>
                  <c:x val="-3.6650793650793651E-3"/>
                  <c:y val="-2.82222222222222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8DA-4111-9191-4AC9C51C964E}"/>
                </c:ext>
              </c:extLst>
            </c:dLbl>
            <c:dLbl>
              <c:idx val="26"/>
              <c:layout>
                <c:manualLayout>
                  <c:x val="-3.6650793650794575E-3"/>
                  <c:y val="-2.82222222222224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8DA-4111-9191-4AC9C51C964E}"/>
                </c:ext>
              </c:extLst>
            </c:dLbl>
            <c:dLbl>
              <c:idx val="27"/>
              <c:layout>
                <c:manualLayout>
                  <c:x val="-2.0387698412698413E-2"/>
                  <c:y val="-3.5077777777780362E-4"/>
                </c:manualLayout>
              </c:layout>
              <c:showLegendKey val="0"/>
              <c:showVal val="1"/>
              <c:showCatName val="0"/>
              <c:showSerName val="0"/>
              <c:showPercent val="0"/>
              <c:showBubbleSize val="0"/>
              <c:extLst>
                <c:ext xmlns:c15="http://schemas.microsoft.com/office/drawing/2012/chart" uri="{CE6537A1-D6FC-4f65-9D91-7224C49458BB}">
                  <c15:layout>
                    <c:manualLayout>
                      <c:w val="0.1082845238095238"/>
                      <c:h val="3.5574666666666657E-2"/>
                    </c:manualLayout>
                  </c15:layout>
                </c:ext>
                <c:ext xmlns:c16="http://schemas.microsoft.com/office/drawing/2014/chart" uri="{C3380CC4-5D6E-409C-BE32-E72D297353CC}">
                  <c16:uniqueId val="{0000001C-B8DA-4111-9191-4AC9C51C964E}"/>
                </c:ext>
              </c:extLst>
            </c:dLbl>
            <c:dLbl>
              <c:idx val="28"/>
              <c:layout>
                <c:manualLayout>
                  <c:x val="-8.7047392910410276E-3"/>
                  <c:y val="-2.150059217229068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8DA-4111-9191-4AC9C51C964E}"/>
                </c:ext>
              </c:extLst>
            </c:dLbl>
            <c:dLbl>
              <c:idx val="29"/>
              <c:layout>
                <c:manualLayout>
                  <c:x val="-8.7047392910409513E-3"/>
                  <c:y val="-2.15607686081956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8DA-4111-9191-4AC9C51C964E}"/>
                </c:ext>
              </c:extLst>
            </c:dLbl>
            <c:dLbl>
              <c:idx val="30"/>
              <c:layout>
                <c:manualLayout>
                  <c:x val="-4.5048232893609846E-3"/>
                  <c:y val="-1.0780384304097841E-17"/>
                </c:manualLayout>
              </c:layout>
              <c:numFmt formatCode="#,##0.0" sourceLinked="0"/>
              <c:spPr>
                <a:noFill/>
                <a:ln>
                  <a:noFill/>
                </a:ln>
                <a:effectLst/>
              </c:spPr>
              <c:txPr>
                <a:bodyPr wrap="square" lIns="38100" tIns="19050" rIns="38100" bIns="19050" anchor="ctr">
                  <a:sp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8DA-4111-9191-4AC9C51C964E}"/>
                </c:ext>
              </c:extLst>
            </c:dLbl>
            <c:dLbl>
              <c:idx val="31"/>
              <c:layout>
                <c:manualLayout>
                  <c:x val="-1.9204363944217179E-2"/>
                  <c:y val="2.3521110196401268E-3"/>
                </c:manualLayout>
              </c:layout>
              <c:numFmt formatCode="#,##0.0" sourceLinked="0"/>
              <c:spPr>
                <a:noFill/>
                <a:ln>
                  <a:noFill/>
                </a:ln>
                <a:effectLst/>
              </c:spPr>
              <c:txPr>
                <a:bodyPr wrap="square" lIns="38100" tIns="19050" rIns="38100" bIns="19050" anchor="ctr">
                  <a:no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8.1583202981609648E-2"/>
                      <c:h val="3.2047605245392782E-2"/>
                    </c:manualLayout>
                  </c15:layout>
                </c:ext>
                <c:ext xmlns:c16="http://schemas.microsoft.com/office/drawing/2014/chart" uri="{C3380CC4-5D6E-409C-BE32-E72D297353CC}">
                  <c16:uniqueId val="{00000020-B8DA-4111-9191-4AC9C51C964E}"/>
                </c:ext>
              </c:extLst>
            </c:dLbl>
            <c:dLbl>
              <c:idx val="32"/>
              <c:layout>
                <c:manualLayout>
                  <c:x val="-1.3763488509757518E-2"/>
                  <c:y val="9.2344340224622072E-8"/>
                </c:manualLayout>
              </c:layout>
              <c:numFmt formatCode="#,##0.0" sourceLinked="0"/>
              <c:spPr>
                <a:noFill/>
                <a:ln>
                  <a:noFill/>
                </a:ln>
                <a:effectLst/>
              </c:spPr>
              <c:txPr>
                <a:bodyPr wrap="square" lIns="0" tIns="0" rIns="0" bIns="0" anchor="ctr"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0296110613220806"/>
                      <c:h val="3.3734495616137131E-2"/>
                    </c:manualLayout>
                  </c15:layout>
                </c:ext>
                <c:ext xmlns:c16="http://schemas.microsoft.com/office/drawing/2014/chart" uri="{C3380CC4-5D6E-409C-BE32-E72D297353CC}">
                  <c16:uniqueId val="{00000021-B8DA-4111-9191-4AC9C51C964E}"/>
                </c:ext>
              </c:extLst>
            </c:dLbl>
            <c:numFmt formatCode="#,##0.0" sourceLinked="0"/>
            <c:spPr>
              <a:noFill/>
              <a:ln>
                <a:noFill/>
              </a:ln>
              <a:effectLst/>
            </c:spPr>
            <c:txPr>
              <a:bodyPr wrap="square" lIns="38100" tIns="19050" rIns="38100" bIns="19050" anchor="ctr">
                <a:spAutoFit/>
              </a:bodyPr>
              <a:lstStyle/>
              <a:p>
                <a:pPr>
                  <a:defRPr sz="700">
                    <a:solidFill>
                      <a:srgbClr val="4D565E"/>
                    </a:solidFil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'Variaciones por EF'!$O$6:$O$38</c:f>
              <c:strCache>
                <c:ptCount val="33"/>
                <c:pt idx="0">
                  <c:v>Chiapas</c:v>
                </c:pt>
                <c:pt idx="1">
                  <c:v>Baja California</c:v>
                </c:pt>
                <c:pt idx="2">
                  <c:v>Oaxaca</c:v>
                </c:pt>
                <c:pt idx="3">
                  <c:v>Sinaloa</c:v>
                </c:pt>
                <c:pt idx="4">
                  <c:v>Querétaro</c:v>
                </c:pt>
                <c:pt idx="5">
                  <c:v>Jalisco</c:v>
                </c:pt>
                <c:pt idx="6">
                  <c:v>Sonora</c:v>
                </c:pt>
                <c:pt idx="7">
                  <c:v>San Luis Potosí</c:v>
                </c:pt>
                <c:pt idx="8">
                  <c:v>Morelos</c:v>
                </c:pt>
                <c:pt idx="9">
                  <c:v>Veracruz </c:v>
                </c:pt>
                <c:pt idx="10">
                  <c:v>Zacatecas</c:v>
                </c:pt>
                <c:pt idx="11">
                  <c:v>Colima</c:v>
                </c:pt>
                <c:pt idx="12">
                  <c:v>Tamaulipas</c:v>
                </c:pt>
                <c:pt idx="13">
                  <c:v>Tabasco</c:v>
                </c:pt>
                <c:pt idx="14">
                  <c:v>Chihuahua</c:v>
                </c:pt>
                <c:pt idx="15">
                  <c:v>Guanajuato</c:v>
                </c:pt>
                <c:pt idx="16">
                  <c:v>Durango</c:v>
                </c:pt>
                <c:pt idx="17">
                  <c:v>Nuevo León</c:v>
                </c:pt>
                <c:pt idx="18">
                  <c:v>Campeche</c:v>
                </c:pt>
                <c:pt idx="19">
                  <c:v>Michoacán </c:v>
                </c:pt>
                <c:pt idx="20">
                  <c:v>Nacional</c:v>
                </c:pt>
                <c:pt idx="21">
                  <c:v>México</c:v>
                </c:pt>
                <c:pt idx="22">
                  <c:v>Tlaxcala</c:v>
                </c:pt>
                <c:pt idx="23">
                  <c:v>Hidalgo</c:v>
                </c:pt>
                <c:pt idx="24">
                  <c:v>Nayarit</c:v>
                </c:pt>
                <c:pt idx="25">
                  <c:v>Aguascalientes</c:v>
                </c:pt>
                <c:pt idx="26">
                  <c:v>Coahuila </c:v>
                </c:pt>
                <c:pt idx="27">
                  <c:v>Puebla</c:v>
                </c:pt>
                <c:pt idx="28">
                  <c:v>Ciudad de México</c:v>
                </c:pt>
                <c:pt idx="29">
                  <c:v>Quintana Roo</c:v>
                </c:pt>
                <c:pt idx="30">
                  <c:v>Yucatán</c:v>
                </c:pt>
                <c:pt idx="31">
                  <c:v>Baja California Sur</c:v>
                </c:pt>
                <c:pt idx="32">
                  <c:v>Guerrero</c:v>
                </c:pt>
              </c:strCache>
            </c:strRef>
          </c:cat>
          <c:val>
            <c:numRef>
              <c:f>'Variaciones por EF'!$P$6:$P$38</c:f>
              <c:numCache>
                <c:formatCode>0.0</c:formatCode>
                <c:ptCount val="33"/>
                <c:pt idx="0">
                  <c:v>-1.8585017064016967</c:v>
                </c:pt>
                <c:pt idx="1">
                  <c:v>-0.63270859807300894</c:v>
                </c:pt>
                <c:pt idx="2">
                  <c:v>-0.35672342851825078</c:v>
                </c:pt>
                <c:pt idx="3">
                  <c:v>-0.12254315288950579</c:v>
                </c:pt>
                <c:pt idx="4">
                  <c:v>-4.7839312870806339E-2</c:v>
                </c:pt>
                <c:pt idx="5">
                  <c:v>-4.3104946442326764E-2</c:v>
                </c:pt>
                <c:pt idx="6">
                  <c:v>5.4820286489842829E-3</c:v>
                </c:pt>
                <c:pt idx="7">
                  <c:v>3.1017833874287248E-2</c:v>
                </c:pt>
                <c:pt idx="8">
                  <c:v>0.35558879027075818</c:v>
                </c:pt>
                <c:pt idx="9">
                  <c:v>0.38905442639909893</c:v>
                </c:pt>
                <c:pt idx="10">
                  <c:v>0.58412850194062571</c:v>
                </c:pt>
                <c:pt idx="11">
                  <c:v>0.63096687288182807</c:v>
                </c:pt>
                <c:pt idx="12">
                  <c:v>0.72781750730838723</c:v>
                </c:pt>
                <c:pt idx="13">
                  <c:v>0.74761376543162328</c:v>
                </c:pt>
                <c:pt idx="14">
                  <c:v>0.77516619949204824</c:v>
                </c:pt>
                <c:pt idx="15">
                  <c:v>0.78308992266941857</c:v>
                </c:pt>
                <c:pt idx="16">
                  <c:v>0.87793834208386556</c:v>
                </c:pt>
                <c:pt idx="17">
                  <c:v>1.0670159175426193</c:v>
                </c:pt>
                <c:pt idx="18">
                  <c:v>1.0969251490718506</c:v>
                </c:pt>
                <c:pt idx="19">
                  <c:v>1.1932059093209944</c:v>
                </c:pt>
                <c:pt idx="20">
                  <c:v>1.2999265896423822</c:v>
                </c:pt>
                <c:pt idx="21">
                  <c:v>1.450310603371463</c:v>
                </c:pt>
                <c:pt idx="22">
                  <c:v>1.5492024577725232</c:v>
                </c:pt>
                <c:pt idx="23">
                  <c:v>1.6988800978602399</c:v>
                </c:pt>
                <c:pt idx="24">
                  <c:v>1.9145081248357769</c:v>
                </c:pt>
                <c:pt idx="25">
                  <c:v>2.0859019605031364</c:v>
                </c:pt>
                <c:pt idx="26">
                  <c:v>2.107568453229149</c:v>
                </c:pt>
                <c:pt idx="27">
                  <c:v>2.1760958676648983</c:v>
                </c:pt>
                <c:pt idx="28">
                  <c:v>2.394109621590772</c:v>
                </c:pt>
                <c:pt idx="29">
                  <c:v>2.5640390038330025</c:v>
                </c:pt>
                <c:pt idx="30">
                  <c:v>2.6671534115114213</c:v>
                </c:pt>
                <c:pt idx="31">
                  <c:v>3.1691800328348165</c:v>
                </c:pt>
                <c:pt idx="32">
                  <c:v>8.7600365943829956</c:v>
                </c:pt>
              </c:numCache>
            </c:numRef>
          </c:val>
          <c:extLst>
            <c:ext xmlns:c16="http://schemas.microsoft.com/office/drawing/2014/chart" uri="{C3380CC4-5D6E-409C-BE32-E72D297353CC}">
              <c16:uniqueId val="{00000022-B8DA-4111-9191-4AC9C51C964E}"/>
            </c:ext>
          </c:extLst>
        </c:ser>
        <c:dLbls>
          <c:showLegendKey val="0"/>
          <c:showVal val="0"/>
          <c:showCatName val="0"/>
          <c:showSerName val="0"/>
          <c:showPercent val="0"/>
          <c:showBubbleSize val="0"/>
        </c:dLbls>
        <c:gapWidth val="20"/>
        <c:axId val="499233088"/>
        <c:axId val="499244848"/>
      </c:barChart>
      <c:catAx>
        <c:axId val="49923308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99244848"/>
        <c:crosses val="autoZero"/>
        <c:auto val="1"/>
        <c:lblAlgn val="ctr"/>
        <c:lblOffset val="100"/>
        <c:noMultiLvlLbl val="0"/>
      </c:catAx>
      <c:valAx>
        <c:axId val="499244848"/>
        <c:scaling>
          <c:orientation val="minMax"/>
          <c:max val="10"/>
          <c:min val="-4"/>
        </c:scaling>
        <c:delete val="0"/>
        <c:axPos val="b"/>
        <c:numFmt formatCode="#,##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99233088"/>
        <c:crosses val="autoZero"/>
        <c:crossBetween val="between"/>
        <c:majorUnit val="4"/>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548108880342079"/>
          <c:y val="2.2274222222222223E-2"/>
          <c:w val="0.56253873347729899"/>
          <c:h val="0.93805666666666665"/>
        </c:manualLayout>
      </c:layout>
      <c:barChart>
        <c:barDir val="bar"/>
        <c:grouping val="clustered"/>
        <c:varyColors val="0"/>
        <c:ser>
          <c:idx val="0"/>
          <c:order val="0"/>
          <c:spPr>
            <a:solidFill>
              <a:srgbClr val="08989C"/>
            </a:solidFill>
            <a:ln>
              <a:noFill/>
            </a:ln>
          </c:spPr>
          <c:invertIfNegative val="0"/>
          <c:dLbls>
            <c:dLbl>
              <c:idx val="0"/>
              <c:numFmt formatCode="#,##0.00" sourceLinked="0"/>
              <c:spPr>
                <a:noFill/>
                <a:ln>
                  <a:noFill/>
                </a:ln>
                <a:effectLst/>
              </c:spPr>
              <c:txPr>
                <a:bodyPr rot="0" lIns="0" tIns="0" rIns="0" bIns="0" anchorCtr="0"/>
                <a:lstStyle/>
                <a:p>
                  <a:pPr algn="r">
                    <a:defRPr sz="700">
                      <a:solidFill>
                        <a:srgbClr val="4D565E"/>
                      </a:solidFill>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8.8597393406462582E-2"/>
                      <c:h val="2.2639161166832275E-2"/>
                    </c:manualLayout>
                  </c15:layout>
                </c:ext>
                <c:ext xmlns:c16="http://schemas.microsoft.com/office/drawing/2014/chart" uri="{C3380CC4-5D6E-409C-BE32-E72D297353CC}">
                  <c16:uniqueId val="{00000000-DE83-4CBA-9087-D094F36D2C58}"/>
                </c:ext>
              </c:extLst>
            </c:dLbl>
            <c:dLbl>
              <c:idx val="3"/>
              <c:layout>
                <c:manualLayout>
                  <c:x val="-9.659806803863922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83-4CBA-9087-D094F36D2C58}"/>
                </c:ext>
              </c:extLst>
            </c:dLbl>
            <c:dLbl>
              <c:idx val="4"/>
              <c:layout>
                <c:manualLayout>
                  <c:x val="-0.10079732263622444"/>
                  <c:y val="-1.724861488655654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83-4CBA-9087-D094F36D2C58}"/>
                </c:ext>
              </c:extLst>
            </c:dLbl>
            <c:dLbl>
              <c:idx val="5"/>
              <c:layout>
                <c:manualLayout>
                  <c:x val="-0.11843630843918555"/>
                  <c:y val="2.3522036224361757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386327561327562"/>
                      <c:h val="2.7824120324120325E-2"/>
                    </c:manualLayout>
                  </c15:layout>
                </c:ext>
                <c:ext xmlns:c16="http://schemas.microsoft.com/office/drawing/2014/chart" uri="{C3380CC4-5D6E-409C-BE32-E72D297353CC}">
                  <c16:uniqueId val="{00000003-DE83-4CBA-9087-D094F36D2C58}"/>
                </c:ext>
              </c:extLst>
            </c:dLbl>
            <c:dLbl>
              <c:idx val="6"/>
              <c:layout>
                <c:manualLayout>
                  <c:x val="3.9682539682539683E-7"/>
                  <c:y val="2.82222222222211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83-4CBA-9087-D094F36D2C58}"/>
                </c:ext>
              </c:extLst>
            </c:dLbl>
            <c:dLbl>
              <c:idx val="15"/>
              <c:layout>
                <c:manualLayout>
                  <c:x val="4.199916001679889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83-4CBA-9087-D094F36D2C58}"/>
                </c:ext>
              </c:extLst>
            </c:dLbl>
            <c:dLbl>
              <c:idx val="16"/>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83-4CBA-9087-D094F36D2C58}"/>
                </c:ext>
              </c:extLst>
            </c:dLbl>
            <c:dLbl>
              <c:idx val="24"/>
              <c:layout>
                <c:manualLayout>
                  <c:x val="0"/>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83-4CBA-9087-D094F36D2C58}"/>
                </c:ext>
              </c:extLst>
            </c:dLbl>
            <c:dLbl>
              <c:idx val="28"/>
              <c:layout>
                <c:manualLayout>
                  <c:x val="-8.3965249828861694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83-4CBA-9087-D094F36D2C58}"/>
                </c:ext>
              </c:extLst>
            </c:dLbl>
            <c:dLbl>
              <c:idx val="29"/>
              <c:layout>
                <c:manualLayout>
                  <c:x val="-8.396524982887709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83-4CBA-9087-D094F36D2C58}"/>
                </c:ext>
              </c:extLst>
            </c:dLbl>
            <c:dLbl>
              <c:idx val="30"/>
              <c:layout>
                <c:manualLayout>
                  <c:x val="-4.4605918905243944E-2"/>
                  <c:y val="1.1760555098200634E-3"/>
                </c:manualLayout>
              </c:layout>
              <c:numFmt formatCode="#,##0.00" sourceLinked="0"/>
              <c:spPr>
                <a:noFill/>
                <a:ln>
                  <a:noFill/>
                </a:ln>
                <a:effectLst/>
              </c:spPr>
              <c:txPr>
                <a:bodyPr rot="0" lIns="0" tIns="0" rIns="0" bIns="0" anchorCtr="0"/>
                <a:lstStyle/>
                <a:p>
                  <a:pPr algn="r">
                    <a:defRPr sz="700">
                      <a:solidFill>
                        <a:srgbClr val="4D565E"/>
                      </a:solidFill>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09605571668094"/>
                      <c:h val="2.8294413921533947E-2"/>
                    </c:manualLayout>
                  </c15:layout>
                </c:ext>
                <c:ext xmlns:c16="http://schemas.microsoft.com/office/drawing/2014/chart" uri="{C3380CC4-5D6E-409C-BE32-E72D297353CC}">
                  <c16:uniqueId val="{0000000A-DE83-4CBA-9087-D094F36D2C58}"/>
                </c:ext>
              </c:extLst>
            </c:dLbl>
            <c:dLbl>
              <c:idx val="31"/>
              <c:layout>
                <c:manualLayout>
                  <c:x val="-3.619418162817846E-2"/>
                  <c:y val="-2.3521110196401268E-3"/>
                </c:manualLayout>
              </c:layout>
              <c:tx>
                <c:rich>
                  <a:bodyPr rot="0" lIns="0" tIns="0" rIns="0" bIns="0" anchorCtr="0"/>
                  <a:lstStyle/>
                  <a:p>
                    <a:pPr algn="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r>
                      <a:rPr lang="en-US" sz="700" b="0" i="0" u="none" strike="noStrike" kern="1200" baseline="0">
                        <a:solidFill>
                          <a:srgbClr val="4D565E"/>
                        </a:solidFill>
                        <a:latin typeface="Arial" panose="020B0604020202020204" pitchFamily="34" charset="0"/>
                        <a:ea typeface="+mn-ea"/>
                        <a:cs typeface="Arial" panose="020B0604020202020204" pitchFamily="34" charset="0"/>
                      </a:rPr>
                      <a:t>0.52</a:t>
                    </a:r>
                  </a:p>
                </c:rich>
              </c:tx>
              <c:numFmt formatCode="#,##0.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0749701541402241"/>
                      <c:h val="2.7343383206112525E-2"/>
                    </c:manualLayout>
                  </c15:layout>
                  <c15:showDataLabelsRange val="0"/>
                </c:ext>
                <c:ext xmlns:c16="http://schemas.microsoft.com/office/drawing/2014/chart" uri="{C3380CC4-5D6E-409C-BE32-E72D297353CC}">
                  <c16:uniqueId val="{0000000B-DE83-4CBA-9087-D094F36D2C58}"/>
                </c:ext>
              </c:extLst>
            </c:dLbl>
            <c:numFmt formatCode="#,##0.00" sourceLinked="0"/>
            <c:spPr>
              <a:noFill/>
              <a:ln>
                <a:noFill/>
              </a:ln>
              <a:effectLst/>
            </c:spPr>
            <c:txPr>
              <a:bodyPr rot="0" lIns="0" tIns="0" rIns="0" bIns="0"/>
              <a:lstStyle/>
              <a:p>
                <a:pPr>
                  <a:defRPr sz="700">
                    <a:solidFill>
                      <a:srgbClr val="4D565E"/>
                    </a:solidFill>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Contribuciones!$J$7:$J$38</c:f>
              <c:strCache>
                <c:ptCount val="32"/>
                <c:pt idx="0">
                  <c:v>Chiapas</c:v>
                </c:pt>
                <c:pt idx="1">
                  <c:v>Baja California</c:v>
                </c:pt>
                <c:pt idx="2">
                  <c:v>Oaxaca</c:v>
                </c:pt>
                <c:pt idx="3">
                  <c:v>Jalisco</c:v>
                </c:pt>
                <c:pt idx="4">
                  <c:v>Sinaloa</c:v>
                </c:pt>
                <c:pt idx="5">
                  <c:v>Querétaro</c:v>
                </c:pt>
                <c:pt idx="6">
                  <c:v>Sonora</c:v>
                </c:pt>
                <c:pt idx="7">
                  <c:v>San Luis Potosí</c:v>
                </c:pt>
                <c:pt idx="8">
                  <c:v>Morelos</c:v>
                </c:pt>
                <c:pt idx="9">
                  <c:v>Zacatecas</c:v>
                </c:pt>
                <c:pt idx="10">
                  <c:v>Colima</c:v>
                </c:pt>
                <c:pt idx="11">
                  <c:v>Campeche</c:v>
                </c:pt>
                <c:pt idx="12">
                  <c:v>Tlaxcala</c:v>
                </c:pt>
                <c:pt idx="13">
                  <c:v>Durango</c:v>
                </c:pt>
                <c:pt idx="14">
                  <c:v>Tabasco</c:v>
                </c:pt>
                <c:pt idx="15">
                  <c:v>Nayarit</c:v>
                </c:pt>
                <c:pt idx="16">
                  <c:v>Veracruz </c:v>
                </c:pt>
                <c:pt idx="17">
                  <c:v>Tamaulipas</c:v>
                </c:pt>
                <c:pt idx="18">
                  <c:v>Aguascalientes</c:v>
                </c:pt>
                <c:pt idx="19">
                  <c:v>Chihuahua</c:v>
                </c:pt>
                <c:pt idx="20">
                  <c:v>Hidalgo</c:v>
                </c:pt>
                <c:pt idx="21">
                  <c:v>Baja California Sur</c:v>
                </c:pt>
                <c:pt idx="22">
                  <c:v>Guanajuato</c:v>
                </c:pt>
                <c:pt idx="23">
                  <c:v>Michoacán</c:v>
                </c:pt>
                <c:pt idx="24">
                  <c:v>Yucatán</c:v>
                </c:pt>
                <c:pt idx="25">
                  <c:v>Quintana Roo</c:v>
                </c:pt>
                <c:pt idx="26">
                  <c:v>Coahuila </c:v>
                </c:pt>
                <c:pt idx="27">
                  <c:v>Puebla</c:v>
                </c:pt>
                <c:pt idx="28">
                  <c:v>Nuevo León</c:v>
                </c:pt>
                <c:pt idx="29">
                  <c:v>Guerrero</c:v>
                </c:pt>
                <c:pt idx="30">
                  <c:v>México</c:v>
                </c:pt>
                <c:pt idx="31">
                  <c:v>Ciudad de México</c:v>
                </c:pt>
              </c:strCache>
            </c:strRef>
          </c:cat>
          <c:val>
            <c:numRef>
              <c:f>Contribuciones!$K$7:$K$38</c:f>
              <c:numCache>
                <c:formatCode>#,##0.00</c:formatCode>
                <c:ptCount val="32"/>
                <c:pt idx="0">
                  <c:v>-3.5377189363130897E-2</c:v>
                </c:pt>
                <c:pt idx="1">
                  <c:v>-1.916677639899814E-2</c:v>
                </c:pt>
                <c:pt idx="2">
                  <c:v>-6.19758443967684E-3</c:v>
                </c:pt>
                <c:pt idx="3">
                  <c:v>-3.1731180434094878E-3</c:v>
                </c:pt>
                <c:pt idx="4">
                  <c:v>-2.8878131080194614E-3</c:v>
                </c:pt>
                <c:pt idx="5">
                  <c:v>-1.0037051878297599E-3</c:v>
                </c:pt>
                <c:pt idx="6">
                  <c:v>1.2776115462122302E-4</c:v>
                </c:pt>
                <c:pt idx="7">
                  <c:v>5.2303329553093512E-4</c:v>
                </c:pt>
                <c:pt idx="8">
                  <c:v>4.0638348446448381E-3</c:v>
                </c:pt>
                <c:pt idx="9">
                  <c:v>4.5231764243875445E-3</c:v>
                </c:pt>
                <c:pt idx="10">
                  <c:v>4.6354203298908771E-3</c:v>
                </c:pt>
                <c:pt idx="11">
                  <c:v>6.9048916367229147E-3</c:v>
                </c:pt>
                <c:pt idx="12">
                  <c:v>8.8201974815731946E-3</c:v>
                </c:pt>
                <c:pt idx="13">
                  <c:v>9.298785567824281E-3</c:v>
                </c:pt>
                <c:pt idx="14">
                  <c:v>1.0778521527526995E-2</c:v>
                </c:pt>
                <c:pt idx="15">
                  <c:v>1.4730998088421463E-2</c:v>
                </c:pt>
                <c:pt idx="16">
                  <c:v>1.7187885744737334E-2</c:v>
                </c:pt>
                <c:pt idx="17">
                  <c:v>1.8991614954500694E-2</c:v>
                </c:pt>
                <c:pt idx="18">
                  <c:v>2.1732295966981788E-2</c:v>
                </c:pt>
                <c:pt idx="19">
                  <c:v>2.1734646398186484E-2</c:v>
                </c:pt>
                <c:pt idx="20">
                  <c:v>2.7531891817262351E-2</c:v>
                </c:pt>
                <c:pt idx="21">
                  <c:v>2.8864365568386008E-2</c:v>
                </c:pt>
                <c:pt idx="22">
                  <c:v>3.1374578370655042E-2</c:v>
                </c:pt>
                <c:pt idx="23">
                  <c:v>3.5048893788027606E-2</c:v>
                </c:pt>
                <c:pt idx="24">
                  <c:v>4.7203652342100146E-2</c:v>
                </c:pt>
                <c:pt idx="25">
                  <c:v>4.8021192107213562E-2</c:v>
                </c:pt>
                <c:pt idx="26">
                  <c:v>5.0177075578197096E-2</c:v>
                </c:pt>
                <c:pt idx="27">
                  <c:v>7.2546753099675218E-2</c:v>
                </c:pt>
                <c:pt idx="28">
                  <c:v>7.7370656356149675E-2</c:v>
                </c:pt>
                <c:pt idx="29">
                  <c:v>0.1382989766958157</c:v>
                </c:pt>
                <c:pt idx="30">
                  <c:v>0.14607113303101618</c:v>
                </c:pt>
                <c:pt idx="31">
                  <c:v>0.52117054401337337</c:v>
                </c:pt>
              </c:numCache>
            </c:numRef>
          </c:val>
          <c:extLst>
            <c:ext xmlns:c16="http://schemas.microsoft.com/office/drawing/2014/chart" uri="{C3380CC4-5D6E-409C-BE32-E72D297353CC}">
              <c16:uniqueId val="{0000000C-DE83-4CBA-9087-D094F36D2C58}"/>
            </c:ext>
          </c:extLst>
        </c:ser>
        <c:dLbls>
          <c:showLegendKey val="0"/>
          <c:showVal val="0"/>
          <c:showCatName val="0"/>
          <c:showSerName val="0"/>
          <c:showPercent val="0"/>
          <c:showBubbleSize val="0"/>
        </c:dLbls>
        <c:gapWidth val="20"/>
        <c:axId val="417157528"/>
        <c:axId val="417157920"/>
      </c:barChart>
      <c:catAx>
        <c:axId val="41715752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17157920"/>
        <c:crosses val="autoZero"/>
        <c:auto val="1"/>
        <c:lblAlgn val="ctr"/>
        <c:lblOffset val="100"/>
        <c:noMultiLvlLbl val="0"/>
      </c:catAx>
      <c:valAx>
        <c:axId val="417157920"/>
        <c:scaling>
          <c:orientation val="minMax"/>
          <c:max val="0.60000000000000009"/>
          <c:min val="-0.2"/>
        </c:scaling>
        <c:delete val="0"/>
        <c:axPos val="b"/>
        <c:numFmt formatCode="#,##0.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17157528"/>
        <c:crosses val="autoZero"/>
        <c:crossBetween val="between"/>
        <c:majorUnit val="0.2"/>
        <c:minorUnit val="0.1"/>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700317460317458"/>
          <c:y val="1.9088888888888891E-2"/>
          <c:w val="0.55954329004329006"/>
          <c:h val="0.95115832207437667"/>
        </c:manualLayout>
      </c:layout>
      <c:barChart>
        <c:barDir val="bar"/>
        <c:grouping val="clustered"/>
        <c:varyColors val="0"/>
        <c:ser>
          <c:idx val="0"/>
          <c:order val="0"/>
          <c:tx>
            <c:v>Primarias</c:v>
          </c:tx>
          <c:spPr>
            <a:solidFill>
              <a:srgbClr val="08989C"/>
            </a:solidFill>
            <a:ln w="0">
              <a:noFill/>
            </a:ln>
            <a:effectLst/>
          </c:spPr>
          <c:invertIfNegative val="0"/>
          <c:dPt>
            <c:idx val="10"/>
            <c:invertIfNegative val="0"/>
            <c:bubble3D val="0"/>
            <c:extLst>
              <c:ext xmlns:c16="http://schemas.microsoft.com/office/drawing/2014/chart" uri="{C3380CC4-5D6E-409C-BE32-E72D297353CC}">
                <c16:uniqueId val="{00000000-F13D-41F6-895D-6DC1FF282D5E}"/>
              </c:ext>
            </c:extLst>
          </c:dPt>
          <c:dPt>
            <c:idx val="11"/>
            <c:invertIfNegative val="0"/>
            <c:bubble3D val="0"/>
            <c:extLst>
              <c:ext xmlns:c16="http://schemas.microsoft.com/office/drawing/2014/chart" uri="{C3380CC4-5D6E-409C-BE32-E72D297353CC}">
                <c16:uniqueId val="{00000001-F13D-41F6-895D-6DC1FF282D5E}"/>
              </c:ext>
            </c:extLst>
          </c:dPt>
          <c:dPt>
            <c:idx val="13"/>
            <c:invertIfNegative val="0"/>
            <c:bubble3D val="0"/>
            <c:extLst>
              <c:ext xmlns:c16="http://schemas.microsoft.com/office/drawing/2014/chart" uri="{C3380CC4-5D6E-409C-BE32-E72D297353CC}">
                <c16:uniqueId val="{00000002-F13D-41F6-895D-6DC1FF282D5E}"/>
              </c:ext>
            </c:extLst>
          </c:dPt>
          <c:dPt>
            <c:idx val="14"/>
            <c:invertIfNegative val="0"/>
            <c:bubble3D val="0"/>
            <c:extLst>
              <c:ext xmlns:c16="http://schemas.microsoft.com/office/drawing/2014/chart" uri="{C3380CC4-5D6E-409C-BE32-E72D297353CC}">
                <c16:uniqueId val="{00000003-F13D-41F6-895D-6DC1FF282D5E}"/>
              </c:ext>
            </c:extLst>
          </c:dPt>
          <c:dPt>
            <c:idx val="15"/>
            <c:invertIfNegative val="0"/>
            <c:bubble3D val="0"/>
            <c:extLst>
              <c:ext xmlns:c16="http://schemas.microsoft.com/office/drawing/2014/chart" uri="{C3380CC4-5D6E-409C-BE32-E72D297353CC}">
                <c16:uniqueId val="{00000004-F13D-41F6-895D-6DC1FF282D5E}"/>
              </c:ext>
            </c:extLst>
          </c:dPt>
          <c:dPt>
            <c:idx val="16"/>
            <c:invertIfNegative val="0"/>
            <c:bubble3D val="0"/>
            <c:extLst>
              <c:ext xmlns:c16="http://schemas.microsoft.com/office/drawing/2014/chart" uri="{C3380CC4-5D6E-409C-BE32-E72D297353CC}">
                <c16:uniqueId val="{00000005-F13D-41F6-895D-6DC1FF282D5E}"/>
              </c:ext>
            </c:extLst>
          </c:dPt>
          <c:dPt>
            <c:idx val="17"/>
            <c:invertIfNegative val="0"/>
            <c:bubble3D val="0"/>
            <c:spPr>
              <a:solidFill>
                <a:srgbClr val="C0C0C0"/>
              </a:solidFill>
              <a:ln w="0">
                <a:noFill/>
              </a:ln>
              <a:effectLst/>
            </c:spPr>
            <c:extLst>
              <c:ext xmlns:c16="http://schemas.microsoft.com/office/drawing/2014/chart" uri="{C3380CC4-5D6E-409C-BE32-E72D297353CC}">
                <c16:uniqueId val="{00000007-F13D-41F6-895D-6DC1FF282D5E}"/>
              </c:ext>
            </c:extLst>
          </c:dPt>
          <c:dPt>
            <c:idx val="18"/>
            <c:invertIfNegative val="0"/>
            <c:bubble3D val="0"/>
            <c:extLst>
              <c:ext xmlns:c16="http://schemas.microsoft.com/office/drawing/2014/chart" uri="{C3380CC4-5D6E-409C-BE32-E72D297353CC}">
                <c16:uniqueId val="{00000008-F13D-41F6-895D-6DC1FF282D5E}"/>
              </c:ext>
            </c:extLst>
          </c:dPt>
          <c:dPt>
            <c:idx val="19"/>
            <c:invertIfNegative val="0"/>
            <c:bubble3D val="0"/>
            <c:extLst>
              <c:ext xmlns:c16="http://schemas.microsoft.com/office/drawing/2014/chart" uri="{C3380CC4-5D6E-409C-BE32-E72D297353CC}">
                <c16:uniqueId val="{00000009-F13D-41F6-895D-6DC1FF282D5E}"/>
              </c:ext>
            </c:extLst>
          </c:dPt>
          <c:dPt>
            <c:idx val="20"/>
            <c:invertIfNegative val="0"/>
            <c:bubble3D val="0"/>
            <c:extLst>
              <c:ext xmlns:c16="http://schemas.microsoft.com/office/drawing/2014/chart" uri="{C3380CC4-5D6E-409C-BE32-E72D297353CC}">
                <c16:uniqueId val="{0000000A-F13D-41F6-895D-6DC1FF282D5E}"/>
              </c:ext>
            </c:extLst>
          </c:dPt>
          <c:dPt>
            <c:idx val="23"/>
            <c:invertIfNegative val="0"/>
            <c:bubble3D val="0"/>
            <c:extLst>
              <c:ext xmlns:c16="http://schemas.microsoft.com/office/drawing/2014/chart" uri="{C3380CC4-5D6E-409C-BE32-E72D297353CC}">
                <c16:uniqueId val="{0000000B-F13D-41F6-895D-6DC1FF282D5E}"/>
              </c:ext>
            </c:extLst>
          </c:dPt>
          <c:dLbls>
            <c:dLbl>
              <c:idx val="0"/>
              <c:layout>
                <c:manualLayout>
                  <c:x val="-1.6673997228716844E-2"/>
                  <c:y val="-2.3455462417054005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F13D-41F6-895D-6DC1FF282D5E}"/>
                </c:ext>
              </c:extLst>
            </c:dLbl>
            <c:dLbl>
              <c:idx val="1"/>
              <c:layout>
                <c:manualLayout>
                  <c:x val="-1.2446632957104638E-2"/>
                  <c:y val="0"/>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F13D-41F6-895D-6DC1FF282D5E}"/>
                </c:ext>
              </c:extLst>
            </c:dLbl>
            <c:dLbl>
              <c:idx val="2"/>
              <c:layout>
                <c:manualLayout>
                  <c:x val="6.1510580812013506E-4"/>
                  <c:y val="-6.9535288189140419E-4"/>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F13D-41F6-895D-6DC1FF282D5E}"/>
                </c:ext>
              </c:extLst>
            </c:dLbl>
            <c:dLbl>
              <c:idx val="3"/>
              <c:layout>
                <c:manualLayout>
                  <c:x val="3.978345629937795E-3"/>
                  <c:y val="-3.0475479160929774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F13D-41F6-895D-6DC1FF282D5E}"/>
                </c:ext>
              </c:extLst>
            </c:dLbl>
            <c:dLbl>
              <c:idx val="4"/>
              <c:layout>
                <c:manualLayout>
                  <c:x val="-3.1984126984126982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13D-41F6-895D-6DC1FF282D5E}"/>
                </c:ext>
              </c:extLst>
            </c:dLbl>
            <c:dLbl>
              <c:idx val="5"/>
              <c:layout>
                <c:manualLayout>
                  <c:x val="-3.2000000000000002E-3"/>
                  <c:y val="-7.020000000001034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13D-41F6-895D-6DC1FF282D5E}"/>
                </c:ext>
              </c:extLst>
            </c:dLbl>
            <c:dLbl>
              <c:idx val="6"/>
              <c:layout>
                <c:manualLayout>
                  <c:x val="-3.2007936507936507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13D-41F6-895D-6DC1FF282D5E}"/>
                </c:ext>
              </c:extLst>
            </c:dLbl>
            <c:dLbl>
              <c:idx val="7"/>
              <c:layout>
                <c:manualLayout>
                  <c:x val="-1.8496992264879112E-2"/>
                  <c:y val="2.324307043452877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13D-41F6-895D-6DC1FF282D5E}"/>
                </c:ext>
              </c:extLst>
            </c:dLbl>
            <c:dLbl>
              <c:idx val="8"/>
              <c:layout>
                <c:manualLayout>
                  <c:x val="2.2719230654756986E-3"/>
                  <c:y val="-7.019291940499989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13D-41F6-895D-6DC1FF282D5E}"/>
                </c:ext>
              </c:extLst>
            </c:dLbl>
            <c:dLbl>
              <c:idx val="9"/>
              <c:layout>
                <c:manualLayout>
                  <c:x val="-1.0761375323674629E-2"/>
                  <c:y val="-7.01929194050085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13D-41F6-895D-6DC1FF282D5E}"/>
                </c:ext>
              </c:extLst>
            </c:dLbl>
            <c:dLbl>
              <c:idx val="10"/>
              <c:layout>
                <c:manualLayout>
                  <c:x val="-1.7479587416125694E-2"/>
                  <c:y val="2.12004841274177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3D-41F6-895D-6DC1FF282D5E}"/>
                </c:ext>
              </c:extLst>
            </c:dLbl>
            <c:dLbl>
              <c:idx val="11"/>
              <c:layout>
                <c:manualLayout>
                  <c:x val="-3.2521239338992747E-3"/>
                  <c:y val="1.64354456731773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3D-41F6-895D-6DC1FF282D5E}"/>
                </c:ext>
              </c:extLst>
            </c:dLbl>
            <c:dLbl>
              <c:idx val="12"/>
              <c:layout>
                <c:manualLayout>
                  <c:x val="-3.6611111111112035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13D-41F6-895D-6DC1FF282D5E}"/>
                </c:ext>
              </c:extLst>
            </c:dLbl>
            <c:dLbl>
              <c:idx val="13"/>
              <c:layout>
                <c:manualLayout>
                  <c:x val="-3.661111111111111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3D-41F6-895D-6DC1FF282D5E}"/>
                </c:ext>
              </c:extLst>
            </c:dLbl>
            <c:dLbl>
              <c:idx val="14"/>
              <c:layout>
                <c:manualLayout>
                  <c:x val="-3.6626984126984126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3D-41F6-895D-6DC1FF282D5E}"/>
                </c:ext>
              </c:extLst>
            </c:dLbl>
            <c:dLbl>
              <c:idx val="15"/>
              <c:layout>
                <c:manualLayout>
                  <c:x val="5.3639872084448078E-4"/>
                  <c:y val="-3.52422940033256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3D-41F6-895D-6DC1FF282D5E}"/>
                </c:ext>
              </c:extLst>
            </c:dLbl>
            <c:dLbl>
              <c:idx val="16"/>
              <c:layout>
                <c:manualLayout>
                  <c:x val="5.3573731674972801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3D-41F6-895D-6DC1FF282D5E}"/>
                </c:ext>
              </c:extLst>
            </c:dLbl>
            <c:dLbl>
              <c:idx val="17"/>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3D-41F6-895D-6DC1FF282D5E}"/>
                </c:ext>
              </c:extLst>
            </c:dLbl>
            <c:dLbl>
              <c:idx val="18"/>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3D-41F6-895D-6DC1FF282D5E}"/>
                </c:ext>
              </c:extLst>
            </c:dLbl>
            <c:dLbl>
              <c:idx val="19"/>
              <c:layout>
                <c:manualLayout>
                  <c:x val="5.3474521060759884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3D-41F6-895D-6DC1FF282D5E}"/>
                </c:ext>
              </c:extLst>
            </c:dLbl>
            <c:dLbl>
              <c:idx val="20"/>
              <c:layout>
                <c:manualLayout>
                  <c:x val="5.3474521060759884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3D-41F6-895D-6DC1FF282D5E}"/>
                </c:ext>
              </c:extLst>
            </c:dLbl>
            <c:dLbl>
              <c:idx val="21"/>
              <c:layout>
                <c:manualLayout>
                  <c:x val="5.3474521060744489E-4"/>
                  <c:y val="-4.30011843445813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13D-41F6-895D-6DC1FF282D5E}"/>
                </c:ext>
              </c:extLst>
            </c:dLbl>
            <c:dLbl>
              <c:idx val="22"/>
              <c:layout>
                <c:manualLayout>
                  <c:x val="5.3474521060744489E-4"/>
                  <c:y val="-4.30011843445813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13D-41F6-895D-6DC1FF282D5E}"/>
                </c:ext>
              </c:extLst>
            </c:dLbl>
            <c:dLbl>
              <c:idx val="23"/>
              <c:layout>
                <c:manualLayout>
                  <c:x val="-3.6649140140557718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3D-41F6-895D-6DC1FF282D5E}"/>
                </c:ext>
              </c:extLst>
            </c:dLbl>
            <c:dLbl>
              <c:idx val="24"/>
              <c:layout>
                <c:manualLayout>
                  <c:x val="-3.6649140140556794E-3"/>
                  <c:y val="-2.82222222222227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13D-41F6-895D-6DC1FF282D5E}"/>
                </c:ext>
              </c:extLst>
            </c:dLbl>
            <c:dLbl>
              <c:idx val="25"/>
              <c:layout>
                <c:manualLayout>
                  <c:x val="-3.6650054400488357E-3"/>
                  <c:y val="-2.8221628123839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13D-41F6-895D-6DC1FF282D5E}"/>
                </c:ext>
              </c:extLst>
            </c:dLbl>
            <c:dLbl>
              <c:idx val="26"/>
              <c:layout>
                <c:manualLayout>
                  <c:x val="-3.6650054400486818E-3"/>
                  <c:y val="-4.700517927438516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13D-41F6-895D-6DC1FF282D5E}"/>
                </c:ext>
              </c:extLst>
            </c:dLbl>
            <c:dLbl>
              <c:idx val="27"/>
              <c:layout>
                <c:manualLayout>
                  <c:x val="-1.8287988570937243E-2"/>
                  <c:y val="1.9948224375322858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C-F13D-41F6-895D-6DC1FF282D5E}"/>
                </c:ext>
              </c:extLst>
            </c:dLbl>
            <c:dLbl>
              <c:idx val="28"/>
              <c:layout>
                <c:manualLayout>
                  <c:x val="-1.4992377317807974E-2"/>
                  <c:y val="0"/>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D-F13D-41F6-895D-6DC1FF282D5E}"/>
                </c:ext>
              </c:extLst>
            </c:dLbl>
            <c:dLbl>
              <c:idx val="29"/>
              <c:layout>
                <c:manualLayout>
                  <c:x val="-1.0958804445958325E-2"/>
                  <c:y val="9.2344340224622072E-8"/>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E-F13D-41F6-895D-6DC1FF282D5E}"/>
                </c:ext>
              </c:extLst>
            </c:dLbl>
            <c:dLbl>
              <c:idx val="30"/>
              <c:layout>
                <c:manualLayout>
                  <c:x val="-2.8291560153048908E-3"/>
                  <c:y val="0"/>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F-F13D-41F6-895D-6DC1FF282D5E}"/>
                </c:ext>
              </c:extLst>
            </c:dLbl>
            <c:dLbl>
              <c:idx val="31"/>
              <c:layout>
                <c:manualLayout>
                  <c:x val="-2.8291560153048908E-3"/>
                  <c:y val="-1.1727731208526948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0-F13D-41F6-895D-6DC1FF282D5E}"/>
                </c:ext>
              </c:extLst>
            </c:dLbl>
            <c:dLbl>
              <c:idx val="32"/>
              <c:layout>
                <c:manualLayout>
                  <c:x val="-5.7022954029108397E-3"/>
                  <c:y val="2.3456385860456249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1-F13D-41F6-895D-6DC1FF282D5E}"/>
                </c:ext>
              </c:extLst>
            </c:dLbl>
            <c:numFmt formatCode="#,##0.0" sourceLinked="0"/>
            <c:spPr>
              <a:noFill/>
              <a:ln>
                <a:noFill/>
              </a:ln>
              <a:effectLst/>
            </c:spPr>
            <c:txPr>
              <a:bodyPr vertOverflow="overflow" horzOverflow="overflow" wrap="none" lIns="36000" tIns="0" rIns="36000" bIns="0" anchor="ctr">
                <a:spAutoFit/>
              </a:bodyPr>
              <a:lstStyle/>
              <a:p>
                <a:pPr>
                  <a:defRPr sz="700">
                    <a:solidFill>
                      <a:srgbClr val="4D565E"/>
                    </a:solidFil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'Variaciones por EF'!$F$6:$F$38</c:f>
              <c:strCache>
                <c:ptCount val="33"/>
                <c:pt idx="0">
                  <c:v>Quintana Roo</c:v>
                </c:pt>
                <c:pt idx="1">
                  <c:v>Tabasco</c:v>
                </c:pt>
                <c:pt idx="2">
                  <c:v>Chihuahua</c:v>
                </c:pt>
                <c:pt idx="3">
                  <c:v>Campeche</c:v>
                </c:pt>
                <c:pt idx="4">
                  <c:v>Sonora</c:v>
                </c:pt>
                <c:pt idx="5">
                  <c:v>Puebla</c:v>
                </c:pt>
                <c:pt idx="6">
                  <c:v>Aguascalientes</c:v>
                </c:pt>
                <c:pt idx="7">
                  <c:v>Morelos</c:v>
                </c:pt>
                <c:pt idx="8">
                  <c:v>Guerrero</c:v>
                </c:pt>
                <c:pt idx="9">
                  <c:v>Coahuila</c:v>
                </c:pt>
                <c:pt idx="10">
                  <c:v>Tlaxcala</c:v>
                </c:pt>
                <c:pt idx="11">
                  <c:v>Jalisco</c:v>
                </c:pt>
                <c:pt idx="12">
                  <c:v>Chiapas</c:v>
                </c:pt>
                <c:pt idx="13">
                  <c:v>Querétaro</c:v>
                </c:pt>
                <c:pt idx="14">
                  <c:v>Hidalgo</c:v>
                </c:pt>
                <c:pt idx="15">
                  <c:v>México</c:v>
                </c:pt>
                <c:pt idx="16">
                  <c:v>Durango</c:v>
                </c:pt>
                <c:pt idx="17">
                  <c:v>Nacional</c:v>
                </c:pt>
                <c:pt idx="18">
                  <c:v>Yucatán</c:v>
                </c:pt>
                <c:pt idx="19">
                  <c:v>Michoacán</c:v>
                </c:pt>
                <c:pt idx="20">
                  <c:v>Baja California Sur</c:v>
                </c:pt>
                <c:pt idx="21">
                  <c:v>Oaxaca</c:v>
                </c:pt>
                <c:pt idx="22">
                  <c:v>Guanajuato</c:v>
                </c:pt>
                <c:pt idx="23">
                  <c:v>Ciudad de México</c:v>
                </c:pt>
                <c:pt idx="24">
                  <c:v>Veracruz</c:v>
                </c:pt>
                <c:pt idx="25">
                  <c:v>San Luis Potosí</c:v>
                </c:pt>
                <c:pt idx="26">
                  <c:v>Nuevo León</c:v>
                </c:pt>
                <c:pt idx="27">
                  <c:v>Sinaloa</c:v>
                </c:pt>
                <c:pt idx="28">
                  <c:v>Colima</c:v>
                </c:pt>
                <c:pt idx="29">
                  <c:v>Nayarit</c:v>
                </c:pt>
                <c:pt idx="30">
                  <c:v>Zacatecas</c:v>
                </c:pt>
                <c:pt idx="31">
                  <c:v>Baja California</c:v>
                </c:pt>
                <c:pt idx="32">
                  <c:v>Tamaulipas</c:v>
                </c:pt>
              </c:strCache>
            </c:strRef>
          </c:cat>
          <c:val>
            <c:numRef>
              <c:f>'Variaciones por EF'!$G$6:$G$38</c:f>
              <c:numCache>
                <c:formatCode>0.0</c:formatCode>
                <c:ptCount val="33"/>
                <c:pt idx="0">
                  <c:v>-16.853078722449439</c:v>
                </c:pt>
                <c:pt idx="1">
                  <c:v>-5.0598108116247431</c:v>
                </c:pt>
                <c:pt idx="2">
                  <c:v>-4.9534219312565284</c:v>
                </c:pt>
                <c:pt idx="3">
                  <c:v>-2.8782340804109339</c:v>
                </c:pt>
                <c:pt idx="4">
                  <c:v>-2.7604030429790924</c:v>
                </c:pt>
                <c:pt idx="5">
                  <c:v>-1.5214365871122482</c:v>
                </c:pt>
                <c:pt idx="6">
                  <c:v>-0.62353787946112504</c:v>
                </c:pt>
                <c:pt idx="7">
                  <c:v>3.7966393543783283E-2</c:v>
                </c:pt>
                <c:pt idx="8">
                  <c:v>0.4677847883830708</c:v>
                </c:pt>
                <c:pt idx="9">
                  <c:v>0.76938939302604581</c:v>
                </c:pt>
                <c:pt idx="10">
                  <c:v>1.32677131162136</c:v>
                </c:pt>
                <c:pt idx="11">
                  <c:v>1.6815284385372848</c:v>
                </c:pt>
                <c:pt idx="12">
                  <c:v>3.6425864497256839</c:v>
                </c:pt>
                <c:pt idx="13">
                  <c:v>4.9715698492890539</c:v>
                </c:pt>
                <c:pt idx="14">
                  <c:v>5.9551052856684947</c:v>
                </c:pt>
                <c:pt idx="15">
                  <c:v>6.0619471996713941</c:v>
                </c:pt>
                <c:pt idx="16">
                  <c:v>6.7912444261361458</c:v>
                </c:pt>
                <c:pt idx="17">
                  <c:v>7.1690712240657177</c:v>
                </c:pt>
                <c:pt idx="18">
                  <c:v>7.7587706705568422</c:v>
                </c:pt>
                <c:pt idx="19">
                  <c:v>8.1477679786025448</c:v>
                </c:pt>
                <c:pt idx="20">
                  <c:v>8.8333790626662392</c:v>
                </c:pt>
                <c:pt idx="21">
                  <c:v>8.9168622022962865</c:v>
                </c:pt>
                <c:pt idx="22">
                  <c:v>9.5446920574094491</c:v>
                </c:pt>
                <c:pt idx="23">
                  <c:v>10.113739357910717</c:v>
                </c:pt>
                <c:pt idx="24">
                  <c:v>11.256093860651831</c:v>
                </c:pt>
                <c:pt idx="25">
                  <c:v>12.112657854199142</c:v>
                </c:pt>
                <c:pt idx="26">
                  <c:v>15.149015556823088</c:v>
                </c:pt>
                <c:pt idx="27">
                  <c:v>16.678349672624847</c:v>
                </c:pt>
                <c:pt idx="28">
                  <c:v>17.240653730415346</c:v>
                </c:pt>
                <c:pt idx="29">
                  <c:v>18.736158230367252</c:v>
                </c:pt>
                <c:pt idx="30">
                  <c:v>23.030543821773094</c:v>
                </c:pt>
                <c:pt idx="31">
                  <c:v>23.049564049792863</c:v>
                </c:pt>
                <c:pt idx="32">
                  <c:v>24.335385453181033</c:v>
                </c:pt>
              </c:numCache>
            </c:numRef>
          </c:val>
          <c:extLst>
            <c:ext xmlns:c16="http://schemas.microsoft.com/office/drawing/2014/chart" uri="{C3380CC4-5D6E-409C-BE32-E72D297353CC}">
              <c16:uniqueId val="{00000022-F13D-41F6-895D-6DC1FF282D5E}"/>
            </c:ext>
          </c:extLst>
        </c:ser>
        <c:dLbls>
          <c:showLegendKey val="0"/>
          <c:showVal val="0"/>
          <c:showCatName val="0"/>
          <c:showSerName val="0"/>
          <c:showPercent val="0"/>
          <c:showBubbleSize val="0"/>
        </c:dLbls>
        <c:gapWidth val="20"/>
        <c:axId val="499233088"/>
        <c:axId val="499244848"/>
      </c:barChart>
      <c:catAx>
        <c:axId val="499233088"/>
        <c:scaling>
          <c:orientation val="minMax"/>
        </c:scaling>
        <c:delete val="0"/>
        <c:axPos val="l"/>
        <c:numFmt formatCode="General" sourceLinked="0"/>
        <c:majorTickMark val="cross"/>
        <c:minorTickMark val="none"/>
        <c:tickLblPos val="low"/>
        <c:spPr>
          <a:ln w="6350">
            <a:solidFill>
              <a:srgbClr val="C0C0C0"/>
            </a:solidFill>
          </a:ln>
        </c:spPr>
        <c:txPr>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crossAx val="499244848"/>
        <c:crosses val="autoZero"/>
        <c:auto val="1"/>
        <c:lblAlgn val="ctr"/>
        <c:lblOffset val="100"/>
        <c:noMultiLvlLbl val="0"/>
      </c:catAx>
      <c:valAx>
        <c:axId val="499244848"/>
        <c:scaling>
          <c:orientation val="minMax"/>
          <c:max val="28"/>
          <c:min val="-24"/>
        </c:scaling>
        <c:delete val="0"/>
        <c:axPos val="b"/>
        <c:numFmt formatCode="#,##0.0" sourceLinked="0"/>
        <c:majorTickMark val="out"/>
        <c:minorTickMark val="none"/>
        <c:tickLblPos val="nextTo"/>
        <c:spPr>
          <a:ln w="9525">
            <a:solidFill>
              <a:srgbClr val="D8551E">
                <a:alpha val="94902"/>
              </a:srgbClr>
            </a:solidFill>
          </a:ln>
        </c:spPr>
        <c:txPr>
          <a:bodyPr/>
          <a:lstStyle/>
          <a:p>
            <a:pPr>
              <a:defRPr sz="700">
                <a:solidFill>
                  <a:srgbClr val="4D565E"/>
                </a:solidFill>
              </a:defRPr>
            </a:pPr>
            <a:endParaRPr lang="es-MX"/>
          </a:p>
        </c:txPr>
        <c:crossAx val="499233088"/>
        <c:crosses val="autoZero"/>
        <c:crossBetween val="between"/>
        <c:majorUnit val="12"/>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86814247967009"/>
          <c:y val="2.2274222222222223E-2"/>
          <c:w val="0.57933839748401883"/>
          <c:h val="0.93805666666666665"/>
        </c:manualLayout>
      </c:layout>
      <c:barChart>
        <c:barDir val="bar"/>
        <c:grouping val="clustered"/>
        <c:varyColors val="0"/>
        <c:ser>
          <c:idx val="0"/>
          <c:order val="0"/>
          <c:tx>
            <c:strRef>
              <c:f>Contribuciones!$D$5</c:f>
              <c:strCache>
                <c:ptCount val="1"/>
                <c:pt idx="0">
                  <c:v>Primarias</c:v>
                </c:pt>
              </c:strCache>
            </c:strRef>
          </c:tx>
          <c:spPr>
            <a:solidFill>
              <a:srgbClr val="08989C"/>
            </a:solidFill>
            <a:ln>
              <a:noFill/>
            </a:ln>
          </c:spPr>
          <c:invertIfNegative val="0"/>
          <c:dLbls>
            <c:dLbl>
              <c:idx val="0"/>
              <c:layout>
                <c:manualLayout>
                  <c:x val="-1.7723149474018356E-2"/>
                  <c:y val="0"/>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379688941654235"/>
                      <c:h val="2.9695494225752652E-2"/>
                    </c:manualLayout>
                  </c15:layout>
                </c:ext>
                <c:ext xmlns:c16="http://schemas.microsoft.com/office/drawing/2014/chart" uri="{C3380CC4-5D6E-409C-BE32-E72D297353CC}">
                  <c16:uniqueId val="{00000000-5C4B-4271-A4A7-9F4FE7889FE3}"/>
                </c:ext>
              </c:extLst>
            </c:dLbl>
            <c:dLbl>
              <c:idx val="1"/>
              <c:layout>
                <c:manualLayout>
                  <c:x val="-2.4167209569194444E-2"/>
                  <c:y val="-1.7248614886556546E-16"/>
                </c:manualLayout>
              </c:layout>
              <c:numFmt formatCode="#,##0.00" sourceLinked="0"/>
              <c:spPr>
                <a:noFill/>
                <a:ln>
                  <a:noFill/>
                </a:ln>
                <a:effectLst/>
              </c:spPr>
              <c:txPr>
                <a:bodyPr rot="0" lIns="0" tIns="0" rIns="0" bIns="0" anchor="t"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219672141990229"/>
                      <c:h val="2.2639161166832275E-2"/>
                    </c:manualLayout>
                  </c15:layout>
                </c:ext>
                <c:ext xmlns:c16="http://schemas.microsoft.com/office/drawing/2014/chart" uri="{C3380CC4-5D6E-409C-BE32-E72D297353CC}">
                  <c16:uniqueId val="{00000001-5C4B-4271-A4A7-9F4FE7889FE3}"/>
                </c:ext>
              </c:extLst>
            </c:dLbl>
            <c:dLbl>
              <c:idx val="2"/>
              <c:layout>
                <c:manualLayout>
                  <c:x val="-1.4748649908891548E-2"/>
                  <c:y val="9.2602796048823892E-8"/>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133977320453591"/>
                      <c:h val="2.9036903140253412E-2"/>
                    </c:manualLayout>
                  </c15:layout>
                </c:ext>
                <c:ext xmlns:c16="http://schemas.microsoft.com/office/drawing/2014/chart" uri="{C3380CC4-5D6E-409C-BE32-E72D297353CC}">
                  <c16:uniqueId val="{00000002-5C4B-4271-A4A7-9F4FE7889FE3}"/>
                </c:ext>
              </c:extLst>
            </c:dLbl>
            <c:dLbl>
              <c:idx val="3"/>
              <c:layout>
                <c:manualLayout>
                  <c:x val="3.3070204737637531E-7"/>
                  <c:y val="0"/>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C4B-4271-A4A7-9F4FE7889FE3}"/>
                </c:ext>
              </c:extLst>
            </c:dLbl>
            <c:dLbl>
              <c:idx val="4"/>
              <c:layout>
                <c:manualLayout>
                  <c:x val="3.9682539682539683E-7"/>
                  <c:y val="-1.03480286068386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4B-4271-A4A7-9F4FE7889FE3}"/>
                </c:ext>
              </c:extLst>
            </c:dLbl>
            <c:dLbl>
              <c:idx val="5"/>
              <c:layout>
                <c:manualLayout>
                  <c:x val="-7.1382108405313813E-3"/>
                  <c:y val="-1.1759346074851672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646300932249072"/>
                      <c:h val="3.0176287942838147E-2"/>
                    </c:manualLayout>
                  </c15:layout>
                </c:ext>
                <c:ext xmlns:c16="http://schemas.microsoft.com/office/drawing/2014/chart" uri="{C3380CC4-5D6E-409C-BE32-E72D297353CC}">
                  <c16:uniqueId val="{00000005-5C4B-4271-A4A7-9F4FE7889FE3}"/>
                </c:ext>
              </c:extLst>
            </c:dLbl>
            <c:dLbl>
              <c:idx val="6"/>
              <c:layout>
                <c:manualLayout>
                  <c:x val="4.2009081078220956E-3"/>
                  <c:y val="4.7005179274374389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4B-4271-A4A7-9F4FE7889FE3}"/>
                </c:ext>
              </c:extLst>
            </c:dLbl>
            <c:dLbl>
              <c:idx val="7"/>
              <c:layout>
                <c:manualLayout>
                  <c:x val="1.6535102368818765E-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4B-4271-A4A7-9F4FE7889FE3}"/>
                </c:ext>
              </c:extLst>
            </c:dLbl>
            <c:dLbl>
              <c:idx val="12"/>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4B-4271-A4A7-9F4FE7889FE3}"/>
                </c:ext>
              </c:extLst>
            </c:dLbl>
            <c:dLbl>
              <c:idx val="24"/>
              <c:layout>
                <c:manualLayout>
                  <c:x val="0"/>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4B-4271-A4A7-9F4FE7889FE3}"/>
                </c:ext>
              </c:extLst>
            </c:dLbl>
            <c:dLbl>
              <c:idx val="26"/>
              <c:layout>
                <c:manualLayout>
                  <c:x val="4.199916001679812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C4B-4271-A4A7-9F4FE7889FE3}"/>
                </c:ext>
              </c:extLst>
            </c:dLbl>
            <c:dLbl>
              <c:idx val="27"/>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C4B-4271-A4A7-9F4FE7889FE3}"/>
                </c:ext>
              </c:extLst>
            </c:dLbl>
            <c:dLbl>
              <c:idx val="28"/>
              <c:layout>
                <c:manualLayout>
                  <c:x val="-1.0344690743980318E-2"/>
                  <c:y val="1.1760555098200419E-3"/>
                </c:manualLayout>
              </c:layout>
              <c:numFmt formatCode="#,##0.00" sourceLinked="0"/>
              <c:spPr>
                <a:noFill/>
                <a:ln>
                  <a:noFill/>
                </a:ln>
                <a:effectLst/>
              </c:spPr>
              <c:txPr>
                <a:bodyPr rot="0" lIns="0" tIns="0" rIns="0" bIns="0"/>
                <a:lstStyle/>
                <a:p>
                  <a:pPr algn="r">
                    <a:defRPr sz="700"/>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0718913180791502"/>
                      <c:h val="3.2047605245392782E-2"/>
                    </c:manualLayout>
                  </c15:layout>
                </c:ext>
                <c:ext xmlns:c16="http://schemas.microsoft.com/office/drawing/2014/chart" uri="{C3380CC4-5D6E-409C-BE32-E72D297353CC}">
                  <c16:uniqueId val="{0000000C-5C4B-4271-A4A7-9F4FE7889FE3}"/>
                </c:ext>
              </c:extLst>
            </c:dLbl>
            <c:dLbl>
              <c:idx val="29"/>
              <c:layout>
                <c:manualLayout>
                  <c:x val="-2.2073534907254534E-2"/>
                  <c:y val="2.3521110196401268E-3"/>
                </c:manualLayout>
              </c:layout>
              <c:numFmt formatCode="#,##0.00" sourceLinked="0"/>
              <c:spPr>
                <a:noFill/>
                <a:ln>
                  <a:noFill/>
                </a:ln>
                <a:effectLst/>
              </c:spPr>
              <c:txPr>
                <a:bodyPr rot="0" lIns="0" tIns="0" rIns="0" bIns="0" anchorCtr="0"/>
                <a:lstStyle/>
                <a:p>
                  <a:pPr algn="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9.4897267408982508E-2"/>
                      <c:h val="2.7343383206112525E-2"/>
                    </c:manualLayout>
                  </c15:layout>
                </c:ext>
                <c:ext xmlns:c16="http://schemas.microsoft.com/office/drawing/2014/chart" uri="{C3380CC4-5D6E-409C-BE32-E72D297353CC}">
                  <c16:uniqueId val="{0000000D-5C4B-4271-A4A7-9F4FE7889FE3}"/>
                </c:ext>
              </c:extLst>
            </c:dLbl>
            <c:dLbl>
              <c:idx val="30"/>
              <c:layout>
                <c:manualLayout>
                  <c:x val="8.0145641181649158E-4"/>
                  <c:y val="-1.1760555098200634E-3"/>
                </c:manualLayout>
              </c:layout>
              <c:numFmt formatCode="#,##0.00" sourceLinked="0"/>
              <c:spPr>
                <a:noFill/>
                <a:ln>
                  <a:noFill/>
                </a:ln>
                <a:effectLst/>
              </c:spPr>
              <c:txPr>
                <a:bodyPr rot="0" lIns="0" tIns="0" rIns="0" bIns="0" anchorCtr="0"/>
                <a:lstStyle/>
                <a:p>
                  <a:pPr algn="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8961397150009743E-2"/>
                      <c:h val="2.8294413921533947E-2"/>
                    </c:manualLayout>
                  </c15:layout>
                </c:ext>
                <c:ext xmlns:c16="http://schemas.microsoft.com/office/drawing/2014/chart" uri="{C3380CC4-5D6E-409C-BE32-E72D297353CC}">
                  <c16:uniqueId val="{0000000E-5C4B-4271-A4A7-9F4FE7889FE3}"/>
                </c:ext>
              </c:extLst>
            </c:dLbl>
            <c:dLbl>
              <c:idx val="31"/>
              <c:layout>
                <c:manualLayout>
                  <c:x val="-2.2532053295942111E-2"/>
                  <c:y val="0"/>
                </c:manualLayout>
              </c:layout>
              <c:tx>
                <c:rich>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r>
                      <a:rPr lang="en-US" sz="700" b="0" i="0" u="none" strike="noStrike" kern="1200" baseline="0">
                        <a:solidFill>
                          <a:srgbClr val="4D565E"/>
                        </a:solidFill>
                        <a:latin typeface="Arial" panose="020B0604020202020204" pitchFamily="34" charset="0"/>
                        <a:ea typeface="+mn-ea"/>
                        <a:cs typeface="Arial" panose="020B0604020202020204" pitchFamily="34" charset="0"/>
                      </a:rPr>
                      <a:t>1.62</a:t>
                    </a:r>
                  </a:p>
                </c:rich>
              </c:tx>
              <c:numFmt formatCode="#,##0.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0876062793704756"/>
                      <c:h val="3.4399716265032909E-2"/>
                    </c:manualLayout>
                  </c15:layout>
                  <c15:showDataLabelsRange val="0"/>
                </c:ext>
                <c:ext xmlns:c16="http://schemas.microsoft.com/office/drawing/2014/chart" uri="{C3380CC4-5D6E-409C-BE32-E72D297353CC}">
                  <c16:uniqueId val="{0000000F-5C4B-4271-A4A7-9F4FE7889FE3}"/>
                </c:ext>
              </c:extLst>
            </c:dLbl>
            <c:numFmt formatCode="#,##0.00" sourceLinked="0"/>
            <c:spPr>
              <a:noFill/>
              <a:ln>
                <a:noFill/>
              </a:ln>
              <a:effectLst/>
            </c:spPr>
            <c:txPr>
              <a:bodyPr rot="0" lIns="0" tIns="0" rIns="0" bIns="0"/>
              <a:lstStyle/>
              <a:p>
                <a:pPr>
                  <a:defRPr sz="700"/>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Contribuciones!$D$7:$D$38</c:f>
              <c:strCache>
                <c:ptCount val="32"/>
                <c:pt idx="0">
                  <c:v>Sonora</c:v>
                </c:pt>
                <c:pt idx="1">
                  <c:v>Chihuahua</c:v>
                </c:pt>
                <c:pt idx="2">
                  <c:v>Quintana Roo</c:v>
                </c:pt>
                <c:pt idx="3">
                  <c:v>Tabasco</c:v>
                </c:pt>
                <c:pt idx="4">
                  <c:v>Puebla</c:v>
                </c:pt>
                <c:pt idx="5">
                  <c:v>Campeche</c:v>
                </c:pt>
                <c:pt idx="6">
                  <c:v>Aguascalientes</c:v>
                </c:pt>
                <c:pt idx="7">
                  <c:v>Morelos</c:v>
                </c:pt>
                <c:pt idx="8">
                  <c:v>Tlaxcala</c:v>
                </c:pt>
                <c:pt idx="9">
                  <c:v>Ciudad de México</c:v>
                </c:pt>
                <c:pt idx="10">
                  <c:v>Guerrero</c:v>
                </c:pt>
                <c:pt idx="11">
                  <c:v>Coahuila</c:v>
                </c:pt>
                <c:pt idx="12">
                  <c:v>Baja California Sur</c:v>
                </c:pt>
                <c:pt idx="13">
                  <c:v>Hidalgo</c:v>
                </c:pt>
                <c:pt idx="14">
                  <c:v>Querétaro</c:v>
                </c:pt>
                <c:pt idx="15">
                  <c:v>Yucatán</c:v>
                </c:pt>
                <c:pt idx="16">
                  <c:v>Chiapas</c:v>
                </c:pt>
                <c:pt idx="17">
                  <c:v>Nuevo León</c:v>
                </c:pt>
                <c:pt idx="18">
                  <c:v>México</c:v>
                </c:pt>
                <c:pt idx="19">
                  <c:v>Zacatecas</c:v>
                </c:pt>
                <c:pt idx="20">
                  <c:v>Colima</c:v>
                </c:pt>
                <c:pt idx="21">
                  <c:v>Durango</c:v>
                </c:pt>
                <c:pt idx="22">
                  <c:v>Oaxaca</c:v>
                </c:pt>
                <c:pt idx="23">
                  <c:v>Jalisco</c:v>
                </c:pt>
                <c:pt idx="24">
                  <c:v>Nayarit</c:v>
                </c:pt>
                <c:pt idx="25">
                  <c:v>San Luis Potosí</c:v>
                </c:pt>
                <c:pt idx="26">
                  <c:v>Guanajuato</c:v>
                </c:pt>
                <c:pt idx="27">
                  <c:v>Baja California</c:v>
                </c:pt>
                <c:pt idx="28">
                  <c:v>Tamaulipas</c:v>
                </c:pt>
                <c:pt idx="29">
                  <c:v>Michoacán</c:v>
                </c:pt>
                <c:pt idx="30">
                  <c:v>Veracruz</c:v>
                </c:pt>
                <c:pt idx="31">
                  <c:v>Sinaloa</c:v>
                </c:pt>
              </c:strCache>
            </c:strRef>
          </c:cat>
          <c:val>
            <c:numRef>
              <c:f>Contribuciones!$E$7:$E$38</c:f>
              <c:numCache>
                <c:formatCode>0.00</c:formatCode>
                <c:ptCount val="32"/>
                <c:pt idx="0">
                  <c:v>-0.167099651574425</c:v>
                </c:pt>
                <c:pt idx="1">
                  <c:v>-0.14053488766267347</c:v>
                </c:pt>
                <c:pt idx="2">
                  <c:v>-8.1684586919015839E-2</c:v>
                </c:pt>
                <c:pt idx="3">
                  <c:v>-8.0427474442272731E-2</c:v>
                </c:pt>
                <c:pt idx="4">
                  <c:v>-5.8054550747197377E-2</c:v>
                </c:pt>
                <c:pt idx="5">
                  <c:v>-2.6094861017419226E-2</c:v>
                </c:pt>
                <c:pt idx="6">
                  <c:v>-8.4846198098337145E-3</c:v>
                </c:pt>
                <c:pt idx="7">
                  <c:v>4.3616170542101242E-4</c:v>
                </c:pt>
                <c:pt idx="8">
                  <c:v>4.6792926162632191E-3</c:v>
                </c:pt>
                <c:pt idx="9">
                  <c:v>8.5959272362596262E-3</c:v>
                </c:pt>
                <c:pt idx="10">
                  <c:v>9.2155697520925721E-3</c:v>
                </c:pt>
                <c:pt idx="11">
                  <c:v>1.4722960457937717E-2</c:v>
                </c:pt>
                <c:pt idx="12">
                  <c:v>6.3791823799650399E-2</c:v>
                </c:pt>
                <c:pt idx="13">
                  <c:v>6.7200926857794011E-2</c:v>
                </c:pt>
                <c:pt idx="14">
                  <c:v>7.3703889627994665E-2</c:v>
                </c:pt>
                <c:pt idx="15">
                  <c:v>0.12384515206908707</c:v>
                </c:pt>
                <c:pt idx="16">
                  <c:v>0.12897350197533086</c:v>
                </c:pt>
                <c:pt idx="17">
                  <c:v>0.13607844013569786</c:v>
                </c:pt>
                <c:pt idx="18">
                  <c:v>0.14509655877021072</c:v>
                </c:pt>
                <c:pt idx="19">
                  <c:v>0.19589575177629184</c:v>
                </c:pt>
                <c:pt idx="20">
                  <c:v>0.19622401606185519</c:v>
                </c:pt>
                <c:pt idx="21">
                  <c:v>0.19709114254185339</c:v>
                </c:pt>
                <c:pt idx="22">
                  <c:v>0.2050835729372705</c:v>
                </c:pt>
                <c:pt idx="23">
                  <c:v>0.23426347096685055</c:v>
                </c:pt>
                <c:pt idx="24">
                  <c:v>0.25421908608191357</c:v>
                </c:pt>
                <c:pt idx="25">
                  <c:v>0.30521824819695864</c:v>
                </c:pt>
                <c:pt idx="26">
                  <c:v>0.35838673394522791</c:v>
                </c:pt>
                <c:pt idx="27">
                  <c:v>0.43343017696294595</c:v>
                </c:pt>
                <c:pt idx="28">
                  <c:v>0.80583817536887514</c:v>
                </c:pt>
                <c:pt idx="29">
                  <c:v>0.87457559673272034</c:v>
                </c:pt>
                <c:pt idx="30">
                  <c:v>1.2752574994253763</c:v>
                </c:pt>
                <c:pt idx="31">
                  <c:v>1.6196281802366423</c:v>
                </c:pt>
              </c:numCache>
            </c:numRef>
          </c:val>
          <c:extLst>
            <c:ext xmlns:c16="http://schemas.microsoft.com/office/drawing/2014/chart" uri="{C3380CC4-5D6E-409C-BE32-E72D297353CC}">
              <c16:uniqueId val="{00000010-5C4B-4271-A4A7-9F4FE7889FE3}"/>
            </c:ext>
          </c:extLst>
        </c:ser>
        <c:dLbls>
          <c:showLegendKey val="0"/>
          <c:showVal val="0"/>
          <c:showCatName val="0"/>
          <c:showSerName val="0"/>
          <c:showPercent val="0"/>
          <c:showBubbleSize val="0"/>
        </c:dLbls>
        <c:gapWidth val="20"/>
        <c:axId val="417157528"/>
        <c:axId val="417157920"/>
      </c:barChart>
      <c:catAx>
        <c:axId val="41715752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pPr>
            <a:endParaRPr lang="es-MX"/>
          </a:p>
        </c:txPr>
        <c:crossAx val="417157920"/>
        <c:crosses val="autoZero"/>
        <c:auto val="1"/>
        <c:lblAlgn val="ctr"/>
        <c:lblOffset val="100"/>
        <c:noMultiLvlLbl val="0"/>
      </c:catAx>
      <c:valAx>
        <c:axId val="417157920"/>
        <c:scaling>
          <c:orientation val="minMax"/>
          <c:max val="2"/>
          <c:min val="-0.60000000000000009"/>
        </c:scaling>
        <c:delete val="0"/>
        <c:axPos val="b"/>
        <c:numFmt formatCode="#,##0.00" sourceLinked="0"/>
        <c:majorTickMark val="out"/>
        <c:minorTickMark val="none"/>
        <c:tickLblPos val="nextTo"/>
        <c:spPr>
          <a:ln w="9525">
            <a:solidFill>
              <a:srgbClr val="D8551E"/>
            </a:solidFill>
          </a:ln>
        </c:spPr>
        <c:txPr>
          <a:bodyPr/>
          <a:lstStyle/>
          <a:p>
            <a:pPr>
              <a:defRPr sz="700" baseline="0">
                <a:solidFill>
                  <a:srgbClr val="4D565E"/>
                </a:solidFill>
              </a:defRPr>
            </a:pPr>
            <a:endParaRPr lang="es-MX"/>
          </a:p>
        </c:txPr>
        <c:crossAx val="417157528"/>
        <c:crosses val="autoZero"/>
        <c:crossBetween val="between"/>
        <c:majorUnit val="0.60000000000000009"/>
      </c:valAx>
      <c:spPr>
        <a:noFill/>
        <a:ln>
          <a:noFill/>
        </a:ln>
      </c:spPr>
    </c:plotArea>
    <c:plotVisOnly val="1"/>
    <c:dispBlanksAs val="gap"/>
    <c:showDLblsOverMax val="0"/>
  </c:chart>
  <c:spPr>
    <a:noFill/>
    <a:ln w="6350">
      <a:solidFill>
        <a:srgbClr val="C0C0C0"/>
      </a:solidFill>
    </a:ln>
    <a:effectLst/>
  </c:spPr>
  <c:txPr>
    <a:bodyPr/>
    <a:lstStyle/>
    <a:p>
      <a:pPr>
        <a:defRPr sz="900">
          <a:solidFill>
            <a:srgbClr val="4D565E"/>
          </a:solidFill>
          <a:latin typeface="Arial" panose="020B0604020202020204" pitchFamily="34" charset="0"/>
          <a:cs typeface="Arial" panose="020B0604020202020204" pitchFamily="34" charset="0"/>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516222086244344"/>
          <c:y val="1.9088888888888891E-2"/>
          <c:w val="0.55188041716817848"/>
          <c:h val="0.95115832207437667"/>
        </c:manualLayout>
      </c:layout>
      <c:barChart>
        <c:barDir val="bar"/>
        <c:grouping val="clustered"/>
        <c:varyColors val="0"/>
        <c:ser>
          <c:idx val="0"/>
          <c:order val="0"/>
          <c:tx>
            <c:strRef>
              <c:f>'Variaciones por EF'!$K$4</c:f>
              <c:strCache>
                <c:ptCount val="1"/>
                <c:pt idx="0">
                  <c:v>Secundarias</c:v>
                </c:pt>
              </c:strCache>
            </c:strRef>
          </c:tx>
          <c:spPr>
            <a:solidFill>
              <a:srgbClr val="08989C"/>
            </a:solidFill>
            <a:ln w="0">
              <a:noFill/>
            </a:ln>
            <a:effectLst/>
          </c:spPr>
          <c:invertIfNegative val="0"/>
          <c:dPt>
            <c:idx val="10"/>
            <c:invertIfNegative val="0"/>
            <c:bubble3D val="0"/>
            <c:spPr>
              <a:solidFill>
                <a:srgbClr val="C0C0C0"/>
              </a:solidFill>
              <a:ln w="0">
                <a:noFill/>
              </a:ln>
              <a:effectLst/>
            </c:spPr>
            <c:extLst>
              <c:ext xmlns:c16="http://schemas.microsoft.com/office/drawing/2014/chart" uri="{C3380CC4-5D6E-409C-BE32-E72D297353CC}">
                <c16:uniqueId val="{00000001-D819-4215-BD03-44DD17B301C9}"/>
              </c:ext>
            </c:extLst>
          </c:dPt>
          <c:dPt>
            <c:idx val="11"/>
            <c:invertIfNegative val="0"/>
            <c:bubble3D val="0"/>
            <c:extLst>
              <c:ext xmlns:c16="http://schemas.microsoft.com/office/drawing/2014/chart" uri="{C3380CC4-5D6E-409C-BE32-E72D297353CC}">
                <c16:uniqueId val="{00000002-D819-4215-BD03-44DD17B301C9}"/>
              </c:ext>
            </c:extLst>
          </c:dPt>
          <c:dPt>
            <c:idx val="12"/>
            <c:invertIfNegative val="0"/>
            <c:bubble3D val="0"/>
            <c:extLst>
              <c:ext xmlns:c16="http://schemas.microsoft.com/office/drawing/2014/chart" uri="{C3380CC4-5D6E-409C-BE32-E72D297353CC}">
                <c16:uniqueId val="{00000003-D819-4215-BD03-44DD17B301C9}"/>
              </c:ext>
            </c:extLst>
          </c:dPt>
          <c:dPt>
            <c:idx val="13"/>
            <c:invertIfNegative val="0"/>
            <c:bubble3D val="0"/>
            <c:extLst>
              <c:ext xmlns:c16="http://schemas.microsoft.com/office/drawing/2014/chart" uri="{C3380CC4-5D6E-409C-BE32-E72D297353CC}">
                <c16:uniqueId val="{00000004-D819-4215-BD03-44DD17B301C9}"/>
              </c:ext>
            </c:extLst>
          </c:dPt>
          <c:dPt>
            <c:idx val="14"/>
            <c:invertIfNegative val="0"/>
            <c:bubble3D val="0"/>
            <c:extLst>
              <c:ext xmlns:c16="http://schemas.microsoft.com/office/drawing/2014/chart" uri="{C3380CC4-5D6E-409C-BE32-E72D297353CC}">
                <c16:uniqueId val="{00000005-D819-4215-BD03-44DD17B301C9}"/>
              </c:ext>
            </c:extLst>
          </c:dPt>
          <c:dPt>
            <c:idx val="15"/>
            <c:invertIfNegative val="0"/>
            <c:bubble3D val="0"/>
            <c:extLst>
              <c:ext xmlns:c16="http://schemas.microsoft.com/office/drawing/2014/chart" uri="{C3380CC4-5D6E-409C-BE32-E72D297353CC}">
                <c16:uniqueId val="{00000006-D819-4215-BD03-44DD17B301C9}"/>
              </c:ext>
            </c:extLst>
          </c:dPt>
          <c:dPt>
            <c:idx val="16"/>
            <c:invertIfNegative val="0"/>
            <c:bubble3D val="0"/>
            <c:extLst>
              <c:ext xmlns:c16="http://schemas.microsoft.com/office/drawing/2014/chart" uri="{C3380CC4-5D6E-409C-BE32-E72D297353CC}">
                <c16:uniqueId val="{00000007-D819-4215-BD03-44DD17B301C9}"/>
              </c:ext>
            </c:extLst>
          </c:dPt>
          <c:dPt>
            <c:idx val="17"/>
            <c:invertIfNegative val="0"/>
            <c:bubble3D val="0"/>
            <c:extLst>
              <c:ext xmlns:c16="http://schemas.microsoft.com/office/drawing/2014/chart" uri="{C3380CC4-5D6E-409C-BE32-E72D297353CC}">
                <c16:uniqueId val="{00000008-D819-4215-BD03-44DD17B301C9}"/>
              </c:ext>
            </c:extLst>
          </c:dPt>
          <c:dPt>
            <c:idx val="18"/>
            <c:invertIfNegative val="0"/>
            <c:bubble3D val="0"/>
            <c:extLst>
              <c:ext xmlns:c16="http://schemas.microsoft.com/office/drawing/2014/chart" uri="{C3380CC4-5D6E-409C-BE32-E72D297353CC}">
                <c16:uniqueId val="{00000009-D819-4215-BD03-44DD17B301C9}"/>
              </c:ext>
            </c:extLst>
          </c:dPt>
          <c:dPt>
            <c:idx val="19"/>
            <c:invertIfNegative val="0"/>
            <c:bubble3D val="0"/>
            <c:extLst>
              <c:ext xmlns:c16="http://schemas.microsoft.com/office/drawing/2014/chart" uri="{C3380CC4-5D6E-409C-BE32-E72D297353CC}">
                <c16:uniqueId val="{0000000A-D819-4215-BD03-44DD17B301C9}"/>
              </c:ext>
            </c:extLst>
          </c:dPt>
          <c:dPt>
            <c:idx val="20"/>
            <c:invertIfNegative val="0"/>
            <c:bubble3D val="0"/>
            <c:extLst>
              <c:ext xmlns:c16="http://schemas.microsoft.com/office/drawing/2014/chart" uri="{C3380CC4-5D6E-409C-BE32-E72D297353CC}">
                <c16:uniqueId val="{0000000B-D819-4215-BD03-44DD17B301C9}"/>
              </c:ext>
            </c:extLst>
          </c:dPt>
          <c:dPt>
            <c:idx val="23"/>
            <c:invertIfNegative val="0"/>
            <c:bubble3D val="0"/>
            <c:extLst>
              <c:ext xmlns:c16="http://schemas.microsoft.com/office/drawing/2014/chart" uri="{C3380CC4-5D6E-409C-BE32-E72D297353CC}">
                <c16:uniqueId val="{0000000C-D819-4215-BD03-44DD17B301C9}"/>
              </c:ext>
            </c:extLst>
          </c:dPt>
          <c:dLbls>
            <c:dLbl>
              <c:idx val="0"/>
              <c:layout>
                <c:manualLayout>
                  <c:x val="-2.4922367694378396E-2"/>
                  <c:y val="2.7780838814647169E-7"/>
                </c:manualLayout>
              </c:layout>
              <c:tx>
                <c:rich>
                  <a:bodyPr wrap="square" lIns="38100" tIns="19050" rIns="38100" bIns="19050" anchor="ctr">
                    <a:noAutofit/>
                  </a:bodyPr>
                  <a:lstStyle/>
                  <a:p>
                    <a:pPr>
                      <a:defRPr sz="700">
                        <a:solidFill>
                          <a:srgbClr val="4D565E"/>
                        </a:solidFill>
                      </a:defRPr>
                    </a:pPr>
                    <a:r>
                      <a:rPr lang="en-US" sz="700">
                        <a:solidFill>
                          <a:srgbClr val="4D565E"/>
                        </a:solidFill>
                      </a:rPr>
                      <a:t>-51.4</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2606395116192165"/>
                      <c:h val="3.9338134869647649E-2"/>
                    </c:manualLayout>
                  </c15:layout>
                  <c15:showDataLabelsRange val="0"/>
                </c:ext>
                <c:ext xmlns:c16="http://schemas.microsoft.com/office/drawing/2014/chart" uri="{C3380CC4-5D6E-409C-BE32-E72D297353CC}">
                  <c16:uniqueId val="{0000000D-D819-4215-BD03-44DD17B301C9}"/>
                </c:ext>
              </c:extLst>
            </c:dLbl>
            <c:dLbl>
              <c:idx val="1"/>
              <c:layout>
                <c:manualLayout>
                  <c:x val="-1.5859312735005144E-2"/>
                  <c:y val="1.1729578095331496E-3"/>
                </c:manualLayout>
              </c:layout>
              <c:numFmt formatCode="#,##0.0" sourceLinked="0"/>
              <c:spPr>
                <a:noFill/>
                <a:ln>
                  <a:noFill/>
                </a:ln>
                <a:effectLst/>
              </c:spPr>
              <c:txPr>
                <a:bodyPr wrap="square" lIns="0" tIns="0" rIns="0" bIns="0" anchor="t"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044621627252492"/>
                      <c:h val="2.9343337549775909E-2"/>
                    </c:manualLayout>
                  </c15:layout>
                </c:ext>
                <c:ext xmlns:c16="http://schemas.microsoft.com/office/drawing/2014/chart" uri="{C3380CC4-5D6E-409C-BE32-E72D297353CC}">
                  <c16:uniqueId val="{0000000E-D819-4215-BD03-44DD17B301C9}"/>
                </c:ext>
              </c:extLst>
            </c:dLbl>
            <c:dLbl>
              <c:idx val="2"/>
              <c:layout>
                <c:manualLayout>
                  <c:x val="-9.6776647144222478E-3"/>
                  <c:y val="-1.1727731208527002E-3"/>
                </c:manualLayout>
              </c:layout>
              <c:numFmt formatCode="#,##0.0" sourceLinked="0"/>
              <c:spPr>
                <a:noFill/>
                <a:ln>
                  <a:noFill/>
                </a:ln>
                <a:effectLst/>
              </c:spPr>
              <c:txPr>
                <a:bodyPr wrap="square" lIns="0" tIns="0" rIns="0" bIns="0" anchor="t"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044621627252495"/>
                      <c:h val="2.7004440100566681E-2"/>
                    </c:manualLayout>
                  </c15:layout>
                </c:ext>
                <c:ext xmlns:c16="http://schemas.microsoft.com/office/drawing/2014/chart" uri="{C3380CC4-5D6E-409C-BE32-E72D297353CC}">
                  <c16:uniqueId val="{0000000F-D819-4215-BD03-44DD17B301C9}"/>
                </c:ext>
              </c:extLst>
            </c:dLbl>
            <c:dLbl>
              <c:idx val="3"/>
              <c:layout>
                <c:manualLayout>
                  <c:x val="3.9780149278903412E-3"/>
                  <c:y val="-7.020016743875769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819-4215-BD03-44DD17B301C9}"/>
                </c:ext>
              </c:extLst>
            </c:dLbl>
            <c:dLbl>
              <c:idx val="4"/>
              <c:layout>
                <c:manualLayout>
                  <c:x val="-3.1984126984126982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819-4215-BD03-44DD17B301C9}"/>
                </c:ext>
              </c:extLst>
            </c:dLbl>
            <c:dLbl>
              <c:idx val="5"/>
              <c:layout>
                <c:manualLayout>
                  <c:x val="-3.2000000000000002E-3"/>
                  <c:y val="-7.020000000001034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819-4215-BD03-44DD17B301C9}"/>
                </c:ext>
              </c:extLst>
            </c:dLbl>
            <c:dLbl>
              <c:idx val="6"/>
              <c:layout>
                <c:manualLayout>
                  <c:x val="-3.2007936507936507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819-4215-BD03-44DD17B301C9}"/>
                </c:ext>
              </c:extLst>
            </c:dLbl>
            <c:dLbl>
              <c:idx val="7"/>
              <c:layout>
                <c:manualLayout>
                  <c:x val="4.0266669666596654E-4"/>
                  <c:y val="-2.1130708627463998E-3"/>
                </c:manualLayout>
              </c:layout>
              <c:showLegendKey val="0"/>
              <c:showVal val="1"/>
              <c:showCatName val="0"/>
              <c:showSerName val="0"/>
              <c:showPercent val="0"/>
              <c:showBubbleSize val="0"/>
              <c:extLst>
                <c:ext xmlns:c15="http://schemas.microsoft.com/office/drawing/2012/chart" uri="{CE6537A1-D6FC-4f65-9D91-7224C49458BB}">
                  <c15:layout>
                    <c:manualLayout>
                      <c:w val="0.10713985720285595"/>
                      <c:h val="3.0646524941174074E-2"/>
                    </c:manualLayout>
                  </c15:layout>
                </c:ext>
                <c:ext xmlns:c16="http://schemas.microsoft.com/office/drawing/2014/chart" uri="{C3380CC4-5D6E-409C-BE32-E72D297353CC}">
                  <c16:uniqueId val="{00000014-D819-4215-BD03-44DD17B301C9}"/>
                </c:ext>
              </c:extLst>
            </c:dLbl>
            <c:dLbl>
              <c:idx val="8"/>
              <c:layout>
                <c:manualLayout>
                  <c:x val="2.2715923634283991E-3"/>
                  <c:y val="-7.020016743875769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819-4215-BD03-44DD17B301C9}"/>
                </c:ext>
              </c:extLst>
            </c:dLbl>
            <c:dLbl>
              <c:idx val="9"/>
              <c:layout>
                <c:manualLayout>
                  <c:x val="1.8386814691527678E-3"/>
                  <c:y val="-7.0196860446248741E-4"/>
                </c:manualLayout>
              </c:layout>
              <c:showLegendKey val="0"/>
              <c:showVal val="1"/>
              <c:showCatName val="0"/>
              <c:showSerName val="0"/>
              <c:showPercent val="0"/>
              <c:showBubbleSize val="0"/>
              <c:extLst>
                <c:ext xmlns:c15="http://schemas.microsoft.com/office/drawing/2012/chart" uri="{CE6537A1-D6FC-4f65-9D91-7224C49458BB}">
                  <c15:layout>
                    <c:manualLayout>
                      <c:w val="0.11424168367026361"/>
                      <c:h val="3.357036562361964E-2"/>
                    </c:manualLayout>
                  </c15:layout>
                </c:ext>
                <c:ext xmlns:c16="http://schemas.microsoft.com/office/drawing/2014/chart" uri="{C3380CC4-5D6E-409C-BE32-E72D297353CC}">
                  <c16:uniqueId val="{00000016-D819-4215-BD03-44DD17B301C9}"/>
                </c:ext>
              </c:extLst>
            </c:dLbl>
            <c:dLbl>
              <c:idx val="10"/>
              <c:layout>
                <c:manualLayout>
                  <c:x val="-6.7926200531107485E-4"/>
                  <c:y val="2.1200484127417742E-3"/>
                </c:manualLayout>
              </c:layout>
              <c:showLegendKey val="0"/>
              <c:showVal val="1"/>
              <c:showCatName val="0"/>
              <c:showSerName val="0"/>
              <c:showPercent val="0"/>
              <c:showBubbleSize val="0"/>
              <c:extLst>
                <c:ext xmlns:c15="http://schemas.microsoft.com/office/drawing/2012/chart" uri="{CE6537A1-D6FC-4f65-9D91-7224C49458BB}">
                  <c15:layout>
                    <c:manualLayout>
                      <c:w val="0.10507738095238095"/>
                      <c:h val="4.1921111111111103E-2"/>
                    </c:manualLayout>
                  </c15:layout>
                </c:ext>
                <c:ext xmlns:c16="http://schemas.microsoft.com/office/drawing/2014/chart" uri="{C3380CC4-5D6E-409C-BE32-E72D297353CC}">
                  <c16:uniqueId val="{00000001-D819-4215-BD03-44DD17B301C9}"/>
                </c:ext>
              </c:extLst>
            </c:dLbl>
            <c:dLbl>
              <c:idx val="11"/>
              <c:layout>
                <c:manualLayout>
                  <c:x val="9.4812276982806796E-4"/>
                  <c:y val="-7.01929194050085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19-4215-BD03-44DD17B301C9}"/>
                </c:ext>
              </c:extLst>
            </c:dLbl>
            <c:dLbl>
              <c:idx val="12"/>
              <c:layout>
                <c:manualLayout>
                  <c:x val="5.3937503927094514E-4"/>
                  <c:y val="1.65018182558995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19-4215-BD03-44DD17B301C9}"/>
                </c:ext>
              </c:extLst>
            </c:dLbl>
            <c:dLbl>
              <c:idx val="13"/>
              <c:layout>
                <c:manualLayout>
                  <c:x val="-3.661111111111111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19-4215-BD03-44DD17B301C9}"/>
                </c:ext>
              </c:extLst>
            </c:dLbl>
            <c:dLbl>
              <c:idx val="14"/>
              <c:layout>
                <c:manualLayout>
                  <c:x val="-7.8627718784208527E-3"/>
                  <c:y val="-7.020016743876629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19-4215-BD03-44DD17B301C9}"/>
                </c:ext>
              </c:extLst>
            </c:dLbl>
            <c:dLbl>
              <c:idx val="15"/>
              <c:layout>
                <c:manualLayout>
                  <c:x val="-1.2063018582148042E-2"/>
                  <c:y val="-3.51776529651675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19-4215-BD03-44DD17B301C9}"/>
                </c:ext>
              </c:extLst>
            </c:dLbl>
            <c:dLbl>
              <c:idx val="16"/>
              <c:layout>
                <c:manualLayout>
                  <c:x val="-1.62639266899701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19-4215-BD03-44DD17B301C9}"/>
                </c:ext>
              </c:extLst>
            </c:dLbl>
            <c:dLbl>
              <c:idx val="17"/>
              <c:layout>
                <c:manualLayout>
                  <c:x val="-1.20650027944322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19-4215-BD03-44DD17B301C9}"/>
                </c:ext>
              </c:extLst>
            </c:dLbl>
            <c:dLbl>
              <c:idx val="18"/>
              <c:layout>
                <c:manualLayout>
                  <c:x val="-1.62649187961124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19-4215-BD03-44DD17B301C9}"/>
                </c:ext>
              </c:extLst>
            </c:dLbl>
            <c:dLbl>
              <c:idx val="19"/>
              <c:layout>
                <c:manualLayout>
                  <c:x val="-1.62649187961122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19-4215-BD03-44DD17B301C9}"/>
                </c:ext>
              </c:extLst>
            </c:dLbl>
            <c:dLbl>
              <c:idx val="20"/>
              <c:layout>
                <c:manualLayout>
                  <c:x val="-1.6264918796112266E-2"/>
                  <c:y val="-2.3455462417054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819-4215-BD03-44DD17B301C9}"/>
                </c:ext>
              </c:extLst>
            </c:dLbl>
            <c:dLbl>
              <c:idx val="21"/>
              <c:layout>
                <c:manualLayout>
                  <c:x val="-1.62649187961122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819-4215-BD03-44DD17B301C9}"/>
                </c:ext>
              </c:extLst>
            </c:dLbl>
            <c:dLbl>
              <c:idx val="22"/>
              <c:layout>
                <c:manualLayout>
                  <c:x val="-1.62649187961124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819-4215-BD03-44DD17B301C9}"/>
                </c:ext>
              </c:extLst>
            </c:dLbl>
            <c:dLbl>
              <c:idx val="23"/>
              <c:layout>
                <c:manualLayout>
                  <c:x val="-1.6264918796112422E-2"/>
                  <c:y val="2.3455462417054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819-4215-BD03-44DD17B301C9}"/>
                </c:ext>
              </c:extLst>
            </c:dLbl>
            <c:dLbl>
              <c:idx val="24"/>
              <c:layout>
                <c:manualLayout>
                  <c:x val="-1.6264918796112266E-2"/>
                  <c:y val="-4.700326917433693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819-4215-BD03-44DD17B301C9}"/>
                </c:ext>
              </c:extLst>
            </c:dLbl>
            <c:dLbl>
              <c:idx val="25"/>
              <c:layout>
                <c:manualLayout>
                  <c:x val="-1.2065002794432299E-2"/>
                  <c:y val="-4.70032691743326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819-4215-BD03-44DD17B301C9}"/>
                </c:ext>
              </c:extLst>
            </c:dLbl>
            <c:dLbl>
              <c:idx val="26"/>
              <c:layout>
                <c:manualLayout>
                  <c:x val="-1.6264918796112422E-2"/>
                  <c:y val="-4.700326917433478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819-4215-BD03-44DD17B301C9}"/>
                </c:ext>
              </c:extLst>
            </c:dLbl>
            <c:dLbl>
              <c:idx val="27"/>
              <c:layout>
                <c:manualLayout>
                  <c:x val="-2.8787613224113471E-2"/>
                  <c:y val="-3.5077939143294493E-4"/>
                </c:manualLayout>
              </c:layout>
              <c:showLegendKey val="0"/>
              <c:showVal val="1"/>
              <c:showCatName val="0"/>
              <c:showSerName val="0"/>
              <c:showPercent val="0"/>
              <c:showBubbleSize val="0"/>
              <c:extLst>
                <c:ext xmlns:c15="http://schemas.microsoft.com/office/drawing/2012/chart" uri="{CE6537A1-D6FC-4f65-9D91-7224C49458BB}">
                  <c15:layout>
                    <c:manualLayout>
                      <c:w val="0.1082845238095238"/>
                      <c:h val="3.5574666666666657E-2"/>
                    </c:manualLayout>
                  </c15:layout>
                </c:ext>
                <c:ext xmlns:c16="http://schemas.microsoft.com/office/drawing/2014/chart" uri="{C3380CC4-5D6E-409C-BE32-E72D297353CC}">
                  <c16:uniqueId val="{0000001C-D819-4215-BD03-44DD17B301C9}"/>
                </c:ext>
              </c:extLst>
            </c:dLbl>
            <c:dLbl>
              <c:idx val="28"/>
              <c:layout>
                <c:manualLayout>
                  <c:x val="-1.2904655292720918E-2"/>
                  <c:y val="-2.15607686081956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819-4215-BD03-44DD17B301C9}"/>
                </c:ext>
              </c:extLst>
            </c:dLbl>
            <c:dLbl>
              <c:idx val="29"/>
              <c:layout>
                <c:manualLayout>
                  <c:x val="-1.71045712944008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819-4215-BD03-44DD17B301C9}"/>
                </c:ext>
              </c:extLst>
            </c:dLbl>
            <c:dLbl>
              <c:idx val="30"/>
              <c:layout>
                <c:manualLayout>
                  <c:x val="-2.1304487296080851E-2"/>
                  <c:y val="0"/>
                </c:manualLayout>
              </c:layout>
              <c:numFmt formatCode="#,##0.0" sourceLinked="0"/>
              <c:spPr>
                <a:noFill/>
                <a:ln>
                  <a:noFill/>
                </a:ln>
                <a:effectLst/>
              </c:spPr>
              <c:txPr>
                <a:bodyPr wrap="square" lIns="72000" tIns="19050" rIns="36000" bIns="19050" anchor="t" anchorCtr="0">
                  <a:sp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F-D819-4215-BD03-44DD17B301C9}"/>
                </c:ext>
              </c:extLst>
            </c:dLbl>
            <c:dLbl>
              <c:idx val="31"/>
              <c:layout>
                <c:manualLayout>
                  <c:x val="-8.7047392910409513E-3"/>
                  <c:y val="2.3422951232589515E-3"/>
                </c:manualLayout>
              </c:layout>
              <c:numFmt formatCode="#,##0.0" sourceLinked="0"/>
              <c:spPr>
                <a:noFill/>
                <a:ln>
                  <a:noFill/>
                </a:ln>
                <a:effectLst/>
              </c:spPr>
              <c:txPr>
                <a:bodyPr vertOverflow="overflow" horzOverflow="overflow" wrap="none" lIns="0" tIns="0" rIns="0" bIns="0" anchor="t" anchorCtr="0">
                  <a:sp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0-D819-4215-BD03-44DD17B301C9}"/>
                </c:ext>
              </c:extLst>
            </c:dLbl>
            <c:dLbl>
              <c:idx val="32"/>
              <c:layout>
                <c:manualLayout>
                  <c:x val="-2.099792649816295E-3"/>
                  <c:y val="1.8520559209495271E-7"/>
                </c:manualLayout>
              </c:layout>
              <c:spPr>
                <a:noFill/>
                <a:ln>
                  <a:noFill/>
                </a:ln>
                <a:effectLst/>
              </c:spPr>
              <c:txPr>
                <a:bodyPr wrap="square" lIns="38100" tIns="19050" rIns="38100" bIns="19050" anchor="ctr"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1454460674566035"/>
                      <c:h val="2.2313384530332513E-2"/>
                    </c:manualLayout>
                  </c15:layout>
                </c:ext>
                <c:ext xmlns:c16="http://schemas.microsoft.com/office/drawing/2014/chart" uri="{C3380CC4-5D6E-409C-BE32-E72D297353CC}">
                  <c16:uniqueId val="{00000021-D819-4215-BD03-44DD17B301C9}"/>
                </c:ext>
              </c:extLst>
            </c:dLbl>
            <c:numFmt formatCode="#,##0.0" sourceLinked="0"/>
            <c:spPr>
              <a:noFill/>
              <a:ln>
                <a:noFill/>
              </a:ln>
              <a:effectLst/>
            </c:spPr>
            <c:txPr>
              <a:bodyPr wrap="square" lIns="72000" tIns="19050" rIns="36000" bIns="19050" anchor="t" anchorCtr="0">
                <a:spAutoFit/>
              </a:bodyPr>
              <a:lstStyle/>
              <a:p>
                <a:pPr>
                  <a:defRPr sz="700">
                    <a:solidFill>
                      <a:srgbClr val="4D565E"/>
                    </a:solidFil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'Variaciones por EF'!$J$6:$J$38</c:f>
              <c:strCache>
                <c:ptCount val="33"/>
                <c:pt idx="0">
                  <c:v>Quintana Roo</c:v>
                </c:pt>
                <c:pt idx="1">
                  <c:v>Campeche</c:v>
                </c:pt>
                <c:pt idx="2">
                  <c:v>Tabasco</c:v>
                </c:pt>
                <c:pt idx="3">
                  <c:v>Durango</c:v>
                </c:pt>
                <c:pt idx="4">
                  <c:v>Sinaloa</c:v>
                </c:pt>
                <c:pt idx="5">
                  <c:v>Puebla</c:v>
                </c:pt>
                <c:pt idx="6">
                  <c:v>Michoacán</c:v>
                </c:pt>
                <c:pt idx="7">
                  <c:v>Veracruz</c:v>
                </c:pt>
                <c:pt idx="8">
                  <c:v>Chihuahua</c:v>
                </c:pt>
                <c:pt idx="9">
                  <c:v>Yucatán</c:v>
                </c:pt>
                <c:pt idx="10">
                  <c:v>Nacional</c:v>
                </c:pt>
                <c:pt idx="11">
                  <c:v>Coahuila</c:v>
                </c:pt>
                <c:pt idx="12">
                  <c:v>Hidalgo</c:v>
                </c:pt>
                <c:pt idx="13">
                  <c:v>Guerrero</c:v>
                </c:pt>
                <c:pt idx="14">
                  <c:v>Tlaxcala</c:v>
                </c:pt>
                <c:pt idx="15">
                  <c:v>Sonora</c:v>
                </c:pt>
                <c:pt idx="16">
                  <c:v>Aguascalientes</c:v>
                </c:pt>
                <c:pt idx="17">
                  <c:v>México</c:v>
                </c:pt>
                <c:pt idx="18">
                  <c:v>Baja California</c:v>
                </c:pt>
                <c:pt idx="19">
                  <c:v>Jalisco</c:v>
                </c:pt>
                <c:pt idx="20">
                  <c:v>Nuevo León</c:v>
                </c:pt>
                <c:pt idx="21">
                  <c:v>Querétaro</c:v>
                </c:pt>
                <c:pt idx="22">
                  <c:v>Chiapas</c:v>
                </c:pt>
                <c:pt idx="23">
                  <c:v>Tamaulipas</c:v>
                </c:pt>
                <c:pt idx="24">
                  <c:v>Morelos</c:v>
                </c:pt>
                <c:pt idx="25">
                  <c:v>Zacatecas</c:v>
                </c:pt>
                <c:pt idx="26">
                  <c:v>San Luis Potosí</c:v>
                </c:pt>
                <c:pt idx="27">
                  <c:v>Colima</c:v>
                </c:pt>
                <c:pt idx="28">
                  <c:v>Guanajuato</c:v>
                </c:pt>
                <c:pt idx="29">
                  <c:v>Baja California Sur</c:v>
                </c:pt>
                <c:pt idx="30">
                  <c:v>Ciudad de México</c:v>
                </c:pt>
                <c:pt idx="31">
                  <c:v>Nayarit</c:v>
                </c:pt>
                <c:pt idx="32">
                  <c:v>Oaxaca</c:v>
                </c:pt>
              </c:strCache>
            </c:strRef>
          </c:cat>
          <c:val>
            <c:numRef>
              <c:f>'Variaciones por EF'!$K$6:$K$38</c:f>
              <c:numCache>
                <c:formatCode>0.0</c:formatCode>
                <c:ptCount val="33"/>
                <c:pt idx="0">
                  <c:v>-51.354720515619043</c:v>
                </c:pt>
                <c:pt idx="1">
                  <c:v>-21.018854307915973</c:v>
                </c:pt>
                <c:pt idx="2">
                  <c:v>-20.28511801691721</c:v>
                </c:pt>
                <c:pt idx="3">
                  <c:v>-4.4608811001765361</c:v>
                </c:pt>
                <c:pt idx="4">
                  <c:v>-4.3684809340029176</c:v>
                </c:pt>
                <c:pt idx="5">
                  <c:v>-4.1147220762747168</c:v>
                </c:pt>
                <c:pt idx="6">
                  <c:v>-3.202907811595324</c:v>
                </c:pt>
                <c:pt idx="7">
                  <c:v>-2.5508049725050483</c:v>
                </c:pt>
                <c:pt idx="8">
                  <c:v>-1.6558746353851461</c:v>
                </c:pt>
                <c:pt idx="9">
                  <c:v>-1.4144491322412023</c:v>
                </c:pt>
                <c:pt idx="10">
                  <c:v>-0.74011030145520396</c:v>
                </c:pt>
                <c:pt idx="11">
                  <c:v>-0.61299702393000643</c:v>
                </c:pt>
                <c:pt idx="12">
                  <c:v>-0.57400453873310697</c:v>
                </c:pt>
                <c:pt idx="13">
                  <c:v>-0.54502635779516595</c:v>
                </c:pt>
                <c:pt idx="14">
                  <c:v>0.42822963425915361</c:v>
                </c:pt>
                <c:pt idx="15">
                  <c:v>0.80647936237190265</c:v>
                </c:pt>
                <c:pt idx="16">
                  <c:v>1.3228509811139304</c:v>
                </c:pt>
                <c:pt idx="17">
                  <c:v>1.7393770965703084</c:v>
                </c:pt>
                <c:pt idx="18">
                  <c:v>2.5126324572033525</c:v>
                </c:pt>
                <c:pt idx="19">
                  <c:v>3.0755158659746797</c:v>
                </c:pt>
                <c:pt idx="20">
                  <c:v>3.1683983716020947</c:v>
                </c:pt>
                <c:pt idx="21">
                  <c:v>3.1881449538227855</c:v>
                </c:pt>
                <c:pt idx="22">
                  <c:v>3.3717971085597469</c:v>
                </c:pt>
                <c:pt idx="23">
                  <c:v>3.4290077075902303</c:v>
                </c:pt>
                <c:pt idx="24">
                  <c:v>3.6015154390640163</c:v>
                </c:pt>
                <c:pt idx="25">
                  <c:v>4.0109734432703448</c:v>
                </c:pt>
                <c:pt idx="26">
                  <c:v>5.3589995134607875</c:v>
                </c:pt>
                <c:pt idx="27">
                  <c:v>5.8052408681074468</c:v>
                </c:pt>
                <c:pt idx="28">
                  <c:v>5.9686739839056884</c:v>
                </c:pt>
                <c:pt idx="29">
                  <c:v>6.8907698111111699</c:v>
                </c:pt>
                <c:pt idx="30">
                  <c:v>8.8511555146309888</c:v>
                </c:pt>
                <c:pt idx="31">
                  <c:v>12.598351469897025</c:v>
                </c:pt>
                <c:pt idx="32">
                  <c:v>15.012911428408145</c:v>
                </c:pt>
              </c:numCache>
            </c:numRef>
          </c:val>
          <c:extLst>
            <c:ext xmlns:c16="http://schemas.microsoft.com/office/drawing/2014/chart" uri="{C3380CC4-5D6E-409C-BE32-E72D297353CC}">
              <c16:uniqueId val="{00000022-D819-4215-BD03-44DD17B301C9}"/>
            </c:ext>
          </c:extLst>
        </c:ser>
        <c:dLbls>
          <c:showLegendKey val="0"/>
          <c:showVal val="0"/>
          <c:showCatName val="0"/>
          <c:showSerName val="0"/>
          <c:showPercent val="0"/>
          <c:showBubbleSize val="0"/>
        </c:dLbls>
        <c:gapWidth val="20"/>
        <c:axId val="499233088"/>
        <c:axId val="499244848"/>
      </c:barChart>
      <c:catAx>
        <c:axId val="49923308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99244848"/>
        <c:crosses val="autoZero"/>
        <c:auto val="1"/>
        <c:lblAlgn val="ctr"/>
        <c:lblOffset val="100"/>
        <c:noMultiLvlLbl val="0"/>
      </c:catAx>
      <c:valAx>
        <c:axId val="499244848"/>
        <c:scaling>
          <c:orientation val="minMax"/>
        </c:scaling>
        <c:delete val="0"/>
        <c:axPos val="b"/>
        <c:numFmt formatCode="#,##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99233088"/>
        <c:crosses val="autoZero"/>
        <c:crossBetween val="between"/>
        <c:majorUnit val="20"/>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013358907059695"/>
          <c:y val="2.2274222222222223E-2"/>
          <c:w val="0.57141042465845615"/>
          <c:h val="0.9417528412852898"/>
        </c:manualLayout>
      </c:layout>
      <c:barChart>
        <c:barDir val="bar"/>
        <c:grouping val="clustered"/>
        <c:varyColors val="0"/>
        <c:ser>
          <c:idx val="0"/>
          <c:order val="0"/>
          <c:spPr>
            <a:solidFill>
              <a:srgbClr val="08989C"/>
            </a:solidFill>
          </c:spPr>
          <c:invertIfNegative val="0"/>
          <c:dLbls>
            <c:dLbl>
              <c:idx val="0"/>
              <c:layout>
                <c:manualLayout>
                  <c:x val="-2.1162450766732697E-2"/>
                  <c:y val="-2.3521110196402994E-3"/>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799680541822233"/>
                      <c:h val="2.7343383206112525E-2"/>
                    </c:manualLayout>
                  </c15:layout>
                </c:ext>
                <c:ext xmlns:c16="http://schemas.microsoft.com/office/drawing/2014/chart" uri="{C3380CC4-5D6E-409C-BE32-E72D297353CC}">
                  <c16:uniqueId val="{00000000-2917-4129-8D6E-D94F28294099}"/>
                </c:ext>
              </c:extLst>
            </c:dLbl>
            <c:dLbl>
              <c:idx val="1"/>
              <c:layout>
                <c:manualLayout>
                  <c:x val="-1.6067489673828494E-2"/>
                  <c:y val="-2.3520184168440783E-3"/>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536154001329422"/>
                      <c:h val="2.9036903140253412E-2"/>
                    </c:manualLayout>
                  </c15:layout>
                </c:ext>
                <c:ext xmlns:c16="http://schemas.microsoft.com/office/drawing/2014/chart" uri="{C3380CC4-5D6E-409C-BE32-E72D297353CC}">
                  <c16:uniqueId val="{00000001-2917-4129-8D6E-D94F28294099}"/>
                </c:ext>
              </c:extLst>
            </c:dLbl>
            <c:dLbl>
              <c:idx val="2"/>
              <c:layout>
                <c:manualLayout>
                  <c:x val="-1.9274142076213596E-2"/>
                  <c:y val="9.2602795876337756E-8"/>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790718516338333"/>
                      <c:h val="2.3119954883917763E-2"/>
                    </c:manualLayout>
                  </c15:layout>
                </c:ext>
                <c:ext xmlns:c16="http://schemas.microsoft.com/office/drawing/2014/chart" uri="{C3380CC4-5D6E-409C-BE32-E72D297353CC}">
                  <c16:uniqueId val="{00000002-2917-4129-8D6E-D94F28294099}"/>
                </c:ext>
              </c:extLst>
            </c:dLbl>
            <c:dLbl>
              <c:idx val="3"/>
              <c:layout>
                <c:manualLayout>
                  <c:x val="-1.2598094494802941E-2"/>
                  <c:y val="-2.35211101964029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17-4129-8D6E-D94F28294099}"/>
                </c:ext>
              </c:extLst>
            </c:dLbl>
            <c:dLbl>
              <c:idx val="4"/>
              <c:layout>
                <c:manualLayout>
                  <c:x val="-8.39983200335985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17-4129-8D6E-D94F28294099}"/>
                </c:ext>
              </c:extLst>
            </c:dLbl>
            <c:dLbl>
              <c:idx val="5"/>
              <c:layout>
                <c:manualLayout>
                  <c:x val="-8.399832003359933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17-4129-8D6E-D94F28294099}"/>
                </c:ext>
              </c:extLst>
            </c:dLbl>
            <c:dLbl>
              <c:idx val="6"/>
              <c:layout>
                <c:manualLayout>
                  <c:x val="-3.3529880583489154E-3"/>
                  <c:y val="-2.35211101964012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17-4129-8D6E-D94F28294099}"/>
                </c:ext>
              </c:extLst>
            </c:dLbl>
            <c:dLbl>
              <c:idx val="7"/>
              <c:layout>
                <c:manualLayout>
                  <c:x val="-5.039682539682539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17-4129-8D6E-D94F28294099}"/>
                </c:ext>
              </c:extLst>
            </c:dLbl>
            <c:dLbl>
              <c:idx val="8"/>
              <c:layout>
                <c:manualLayout>
                  <c:x val="-1.091763204105989E-2"/>
                  <c:y val="-9.2602796048823892E-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461996779388084"/>
                      <c:h val="3.487266666666667E-2"/>
                    </c:manualLayout>
                  </c15:layout>
                </c:ext>
                <c:ext xmlns:c16="http://schemas.microsoft.com/office/drawing/2014/chart" uri="{C3380CC4-5D6E-409C-BE32-E72D297353CC}">
                  <c16:uniqueId val="{00000008-2917-4129-8D6E-D94F28294099}"/>
                </c:ext>
              </c:extLst>
            </c:dLbl>
            <c:dLbl>
              <c:idx val="9"/>
              <c:layout>
                <c:manualLayout>
                  <c:x val="-1.1755134976040636E-2"/>
                  <c:y val="0"/>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2906150793650795"/>
                      <c:h val="3.2050444444444444E-2"/>
                    </c:manualLayout>
                  </c15:layout>
                </c:ext>
                <c:ext xmlns:c16="http://schemas.microsoft.com/office/drawing/2014/chart" uri="{C3380CC4-5D6E-409C-BE32-E72D297353CC}">
                  <c16:uniqueId val="{00000009-2917-4129-8D6E-D94F28294099}"/>
                </c:ext>
              </c:extLst>
            </c:dLbl>
            <c:dLbl>
              <c:idx val="11"/>
              <c:layout>
                <c:manualLayout>
                  <c:x val="1.1904761904761904E-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17-4129-8D6E-D94F28294099}"/>
                </c:ext>
              </c:extLst>
            </c:dLbl>
            <c:dLbl>
              <c:idx val="12"/>
              <c:layout>
                <c:manualLayout>
                  <c:x val="-0.12179624124052936"/>
                  <c:y val="2.35211101964004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17-4129-8D6E-D94F28294099}"/>
                </c:ext>
              </c:extLst>
            </c:dLbl>
            <c:dLbl>
              <c:idx val="13"/>
              <c:layout>
                <c:manualLayout>
                  <c:x val="-4.1999160016799666E-3"/>
                  <c:y val="-8.624307443278272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917-4129-8D6E-D94F28294099}"/>
                </c:ext>
              </c:extLst>
            </c:dLbl>
            <c:dLbl>
              <c:idx val="14"/>
              <c:layout>
                <c:manualLayout>
                  <c:x val="-1.4276076683190746E-2"/>
                  <c:y val="-2.8222554151800922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973268921095005"/>
                      <c:h val="3.487266666666667E-2"/>
                    </c:manualLayout>
                  </c15:layout>
                </c:ext>
                <c:ext xmlns:c16="http://schemas.microsoft.com/office/drawing/2014/chart" uri="{C3380CC4-5D6E-409C-BE32-E72D297353CC}">
                  <c16:uniqueId val="{0000000D-2917-4129-8D6E-D94F28294099}"/>
                </c:ext>
              </c:extLst>
            </c:dLbl>
            <c:dLbl>
              <c:idx val="15"/>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917-4129-8D6E-D94F28294099}"/>
                </c:ext>
              </c:extLst>
            </c:dLbl>
            <c:dLbl>
              <c:idx val="16"/>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917-4129-8D6E-D94F28294099}"/>
                </c:ext>
              </c:extLst>
            </c:dLbl>
            <c:dLbl>
              <c:idx val="17"/>
              <c:layout>
                <c:manualLayout>
                  <c:x val="-4.1999160016799666E-3"/>
                  <c:y val="2.8221628123839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917-4129-8D6E-D94F28294099}"/>
                </c:ext>
              </c:extLst>
            </c:dLbl>
            <c:dLbl>
              <c:idx val="18"/>
              <c:layout>
                <c:manualLayout>
                  <c:x val="-4.1999160016799666E-3"/>
                  <c:y val="2.8221628123839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917-4129-8D6E-D94F28294099}"/>
                </c:ext>
              </c:extLst>
            </c:dLbl>
            <c:dLbl>
              <c:idx val="19"/>
              <c:layout>
                <c:manualLayout>
                  <c:x val="-5.0396825396825393E-3"/>
                  <c:y val="2.82222222222217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917-4129-8D6E-D94F28294099}"/>
                </c:ext>
              </c:extLst>
            </c:dLbl>
            <c:dLbl>
              <c:idx val="20"/>
              <c:layout>
                <c:manualLayout>
                  <c:x val="-5.0396825396825393E-3"/>
                  <c:y val="2.82222222222222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917-4129-8D6E-D94F28294099}"/>
                </c:ext>
              </c:extLst>
            </c:dLbl>
            <c:dLbl>
              <c:idx val="21"/>
              <c:layout>
                <c:manualLayout>
                  <c:x val="-5.0396825396826321E-3"/>
                  <c:y val="2.82222222222222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917-4129-8D6E-D94F28294099}"/>
                </c:ext>
              </c:extLst>
            </c:dLbl>
            <c:dLbl>
              <c:idx val="22"/>
              <c:layout>
                <c:manualLayout>
                  <c:x val="-5.0396825396825393E-3"/>
                  <c:y val="2.82222222222222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917-4129-8D6E-D94F28294099}"/>
                </c:ext>
              </c:extLst>
            </c:dLbl>
            <c:dLbl>
              <c:idx val="23"/>
              <c:layout>
                <c:manualLayout>
                  <c:x val="-9.23948450164855E-3"/>
                  <c:y val="2.8221628123839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917-4129-8D6E-D94F28294099}"/>
                </c:ext>
              </c:extLst>
            </c:dLbl>
            <c:dLbl>
              <c:idx val="24"/>
              <c:layout>
                <c:manualLayout>
                  <c:x val="-1.0079365079365172E-2"/>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917-4129-8D6E-D94F28294099}"/>
                </c:ext>
              </c:extLst>
            </c:dLbl>
            <c:dLbl>
              <c:idx val="25"/>
              <c:layout>
                <c:manualLayout>
                  <c:x val="-1.00793650793651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917-4129-8D6E-D94F28294099}"/>
                </c:ext>
              </c:extLst>
            </c:dLbl>
            <c:dLbl>
              <c:idx val="26"/>
              <c:layout>
                <c:manualLayout>
                  <c:x val="-1.00793650793651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917-4129-8D6E-D94F28294099}"/>
                </c:ext>
              </c:extLst>
            </c:dLbl>
            <c:dLbl>
              <c:idx val="27"/>
              <c:layout>
                <c:manualLayout>
                  <c:x val="-5.039682539682539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917-4129-8D6E-D94F28294099}"/>
                </c:ext>
              </c:extLst>
            </c:dLbl>
            <c:dLbl>
              <c:idx val="28"/>
              <c:layout>
                <c:manualLayout>
                  <c:x val="-5.03968253968263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917-4129-8D6E-D94F28294099}"/>
                </c:ext>
              </c:extLst>
            </c:dLbl>
            <c:dLbl>
              <c:idx val="29"/>
              <c:layout>
                <c:manualLayout>
                  <c:x val="-5.03968253968263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917-4129-8D6E-D94F28294099}"/>
                </c:ext>
              </c:extLst>
            </c:dLbl>
            <c:dLbl>
              <c:idx val="30"/>
              <c:layout>
                <c:manualLayout>
                  <c:x val="-5.0395684999687369E-3"/>
                  <c:y val="-5.3901921520489205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917-4129-8D6E-D94F28294099}"/>
                </c:ext>
              </c:extLst>
            </c:dLbl>
            <c:dLbl>
              <c:idx val="31"/>
              <c:layout>
                <c:manualLayout>
                  <c:x val="-1.6285422323051141E-3"/>
                  <c:y val="-2.6950960760244603E-18"/>
                </c:manualLayout>
              </c:layout>
              <c:tx>
                <c:rich>
                  <a:bodyPr wrap="square" lIns="0" tIns="0" rIns="0" bIns="0" anchor="ctr"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r>
                      <a:rPr lang="en-US" sz="700" b="0" i="0" u="none" strike="noStrike" kern="1200" baseline="0">
                        <a:solidFill>
                          <a:srgbClr val="4D565E"/>
                        </a:solidFill>
                        <a:latin typeface="Arial" panose="020B0604020202020204" pitchFamily="34" charset="0"/>
                        <a:ea typeface="+mn-ea"/>
                        <a:cs typeface="Arial" panose="020B0604020202020204" pitchFamily="34" charset="0"/>
                      </a:rPr>
                      <a:t>0.36</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9.424214665312991E-2"/>
                      <c:h val="1.934990985117805E-2"/>
                    </c:manualLayout>
                  </c15:layout>
                  <c15:showDataLabelsRange val="0"/>
                </c:ext>
                <c:ext xmlns:c16="http://schemas.microsoft.com/office/drawing/2014/chart" uri="{C3380CC4-5D6E-409C-BE32-E72D297353CC}">
                  <c16:uniqueId val="{0000001E-2917-4129-8D6E-D94F28294099}"/>
                </c:ext>
              </c:extLst>
            </c:dLbl>
            <c:numFmt formatCode="#,##0.00" sourceLinked="0"/>
            <c:spPr>
              <a:noFill/>
              <a:ln>
                <a:noFill/>
              </a:ln>
              <a:effectLst/>
            </c:spPr>
            <c:txPr>
              <a:bodyPr rot="0"/>
              <a:lstStyle/>
              <a:p>
                <a:pPr>
                  <a:defRPr sz="700">
                    <a:solidFill>
                      <a:srgbClr val="4D565E"/>
                    </a:solidFill>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Contribuciones!$G$7:$G$38</c:f>
              <c:strCache>
                <c:ptCount val="32"/>
                <c:pt idx="0">
                  <c:v>Campeche</c:v>
                </c:pt>
                <c:pt idx="1">
                  <c:v>Tabasco</c:v>
                </c:pt>
                <c:pt idx="2">
                  <c:v>Quintana Roo</c:v>
                </c:pt>
                <c:pt idx="3">
                  <c:v>Puebla</c:v>
                </c:pt>
                <c:pt idx="4">
                  <c:v>Veracruz </c:v>
                </c:pt>
                <c:pt idx="5">
                  <c:v>Chihuahua</c:v>
                </c:pt>
                <c:pt idx="6">
                  <c:v>Durango</c:v>
                </c:pt>
                <c:pt idx="7">
                  <c:v>Sinaloa</c:v>
                </c:pt>
                <c:pt idx="8">
                  <c:v>Michoacán </c:v>
                </c:pt>
                <c:pt idx="9">
                  <c:v>Coahuila </c:v>
                </c:pt>
                <c:pt idx="10">
                  <c:v>Yucatán</c:v>
                </c:pt>
                <c:pt idx="11">
                  <c:v>Hidalgo</c:v>
                </c:pt>
                <c:pt idx="12">
                  <c:v>Guerrero</c:v>
                </c:pt>
                <c:pt idx="13">
                  <c:v>Tlaxcala</c:v>
                </c:pt>
                <c:pt idx="14">
                  <c:v>Aguascalientes</c:v>
                </c:pt>
                <c:pt idx="15">
                  <c:v>Baja California Sur</c:v>
                </c:pt>
                <c:pt idx="16">
                  <c:v>Colima</c:v>
                </c:pt>
                <c:pt idx="17">
                  <c:v>Chiapas</c:v>
                </c:pt>
                <c:pt idx="18">
                  <c:v>Morelos</c:v>
                </c:pt>
                <c:pt idx="19">
                  <c:v>Nayarit</c:v>
                </c:pt>
                <c:pt idx="20">
                  <c:v>Sonora</c:v>
                </c:pt>
                <c:pt idx="21">
                  <c:v>Zacatecas</c:v>
                </c:pt>
                <c:pt idx="22">
                  <c:v>Querétaro</c:v>
                </c:pt>
                <c:pt idx="23">
                  <c:v>Baja California</c:v>
                </c:pt>
                <c:pt idx="24">
                  <c:v>Tamaulipas</c:v>
                </c:pt>
                <c:pt idx="25">
                  <c:v>México</c:v>
                </c:pt>
                <c:pt idx="26">
                  <c:v>San Luis Potosí</c:v>
                </c:pt>
                <c:pt idx="27">
                  <c:v>Jalisco</c:v>
                </c:pt>
                <c:pt idx="28">
                  <c:v>Oaxaca</c:v>
                </c:pt>
                <c:pt idx="29">
                  <c:v>Nuevo León</c:v>
                </c:pt>
                <c:pt idx="30">
                  <c:v>Guanajuato</c:v>
                </c:pt>
                <c:pt idx="31">
                  <c:v>Ciudad de México</c:v>
                </c:pt>
              </c:strCache>
            </c:strRef>
          </c:cat>
          <c:val>
            <c:numRef>
              <c:f>Contribuciones!$H$7:$H$38</c:f>
              <c:numCache>
                <c:formatCode>#,##0.0000</c:formatCode>
                <c:ptCount val="32"/>
                <c:pt idx="0">
                  <c:v>-1.0713328508336208</c:v>
                </c:pt>
                <c:pt idx="1">
                  <c:v>-1.0182536857538795</c:v>
                </c:pt>
                <c:pt idx="2">
                  <c:v>-0.51134815456770433</c:v>
                </c:pt>
                <c:pt idx="3">
                  <c:v>-0.14500253150812667</c:v>
                </c:pt>
                <c:pt idx="4">
                  <c:v>-0.10358279662216119</c:v>
                </c:pt>
                <c:pt idx="5">
                  <c:v>-8.5552509157692427E-2</c:v>
                </c:pt>
                <c:pt idx="6">
                  <c:v>-6.8760401486266068E-2</c:v>
                </c:pt>
                <c:pt idx="7">
                  <c:v>-4.8351037926536028E-2</c:v>
                </c:pt>
                <c:pt idx="8">
                  <c:v>-4.7382210885605153E-2</c:v>
                </c:pt>
                <c:pt idx="9">
                  <c:v>-3.5695884694580071E-2</c:v>
                </c:pt>
                <c:pt idx="10">
                  <c:v>-1.7129605760617016E-2</c:v>
                </c:pt>
                <c:pt idx="11">
                  <c:v>-1.253770868670559E-2</c:v>
                </c:pt>
                <c:pt idx="12">
                  <c:v>-3.3700948340262948E-3</c:v>
                </c:pt>
                <c:pt idx="13">
                  <c:v>2.5819936144586332E-3</c:v>
                </c:pt>
                <c:pt idx="14">
                  <c:v>2.3740439863120709E-2</c:v>
                </c:pt>
                <c:pt idx="15">
                  <c:v>2.4528746068592663E-2</c:v>
                </c:pt>
                <c:pt idx="16">
                  <c:v>2.5536250439358553E-2</c:v>
                </c:pt>
                <c:pt idx="17">
                  <c:v>3.0609129833787441E-2</c:v>
                </c:pt>
                <c:pt idx="18">
                  <c:v>3.4279384268387079E-2</c:v>
                </c:pt>
                <c:pt idx="19">
                  <c:v>3.5605144663223148E-2</c:v>
                </c:pt>
                <c:pt idx="20">
                  <c:v>3.9563704896762156E-2</c:v>
                </c:pt>
                <c:pt idx="21">
                  <c:v>4.1934994687730077E-2</c:v>
                </c:pt>
                <c:pt idx="22">
                  <c:v>9.9543562973128955E-2</c:v>
                </c:pt>
                <c:pt idx="23">
                  <c:v>0.12664337091972466</c:v>
                </c:pt>
                <c:pt idx="24">
                  <c:v>0.12869594519894229</c:v>
                </c:pt>
                <c:pt idx="25">
                  <c:v>0.12933760945964815</c:v>
                </c:pt>
                <c:pt idx="26">
                  <c:v>0.18231197580113975</c:v>
                </c:pt>
                <c:pt idx="27">
                  <c:v>0.19959874547351147</c:v>
                </c:pt>
                <c:pt idx="28">
                  <c:v>0.29677673654285597</c:v>
                </c:pt>
                <c:pt idx="29">
                  <c:v>0.31985717357733751</c:v>
                </c:pt>
                <c:pt idx="30">
                  <c:v>0.33121609010405317</c:v>
                </c:pt>
                <c:pt idx="31">
                  <c:v>0.35582817287652885</c:v>
                </c:pt>
              </c:numCache>
            </c:numRef>
          </c:val>
          <c:extLst>
            <c:ext xmlns:c16="http://schemas.microsoft.com/office/drawing/2014/chart" uri="{C3380CC4-5D6E-409C-BE32-E72D297353CC}">
              <c16:uniqueId val="{0000001F-2917-4129-8D6E-D94F28294099}"/>
            </c:ext>
          </c:extLst>
        </c:ser>
        <c:dLbls>
          <c:showLegendKey val="0"/>
          <c:showVal val="0"/>
          <c:showCatName val="0"/>
          <c:showSerName val="0"/>
          <c:showPercent val="0"/>
          <c:showBubbleSize val="0"/>
        </c:dLbls>
        <c:gapWidth val="20"/>
        <c:axId val="417155176"/>
        <c:axId val="417151648"/>
      </c:barChart>
      <c:catAx>
        <c:axId val="417155176"/>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17151648"/>
        <c:crosses val="autoZero"/>
        <c:auto val="1"/>
        <c:lblAlgn val="ctr"/>
        <c:lblOffset val="100"/>
        <c:noMultiLvlLbl val="0"/>
      </c:catAx>
      <c:valAx>
        <c:axId val="417151648"/>
        <c:scaling>
          <c:orientation val="minMax"/>
          <c:max val="0.5"/>
          <c:min val="-1.5"/>
        </c:scaling>
        <c:delete val="0"/>
        <c:axPos val="b"/>
        <c:numFmt formatCode="#,##0.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17155176"/>
        <c:crosses val="autoZero"/>
        <c:crossBetween val="between"/>
        <c:majorUnit val="0.5"/>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0.94712</cdr:x>
      <cdr:y>0.68598</cdr:y>
    </cdr:from>
    <cdr:to>
      <cdr:x>1</cdr:x>
      <cdr:y>0.73664</cdr:y>
    </cdr:to>
    <cdr:grpSp>
      <cdr:nvGrpSpPr>
        <cdr:cNvPr id="12" name="Grupo 11">
          <a:extLst xmlns:a="http://schemas.openxmlformats.org/drawingml/2006/main">
            <a:ext uri="{FF2B5EF4-FFF2-40B4-BE49-F238E27FC236}">
              <a16:creationId xmlns:a16="http://schemas.microsoft.com/office/drawing/2014/main" id="{5E6E79A9-AA42-6E29-101D-62BAB790509F}"/>
            </a:ext>
          </a:extLst>
        </cdr:cNvPr>
        <cdr:cNvGrpSpPr/>
      </cdr:nvGrpSpPr>
      <cdr:grpSpPr>
        <a:xfrm xmlns:a="http://schemas.openxmlformats.org/drawingml/2006/main">
          <a:off x="2863968" y="3817843"/>
          <a:ext cx="159902" cy="281950"/>
          <a:chOff x="128136" y="0"/>
          <a:chExt cx="165954" cy="286913"/>
        </a:xfrm>
      </cdr:grpSpPr>
      <cdr:cxnSp macro="">
        <cdr:nvCxnSpPr>
          <cdr:cNvPr id="13" name="Conector recto 12">
            <a:extLst xmlns:a="http://schemas.openxmlformats.org/drawingml/2006/main">
              <a:ext uri="{FF2B5EF4-FFF2-40B4-BE49-F238E27FC236}">
                <a16:creationId xmlns:a16="http://schemas.microsoft.com/office/drawing/2014/main" id="{1C261718-A235-CD4F-7533-0CC7F23FC553}"/>
              </a:ext>
            </a:extLst>
          </cdr:cNvPr>
          <cdr:cNvCxnSpPr/>
        </cdr:nvCxnSpPr>
        <cdr:spPr>
          <a:xfrm xmlns:a="http://schemas.openxmlformats.org/drawingml/2006/main" flipH="1">
            <a:off x="128136" y="662"/>
            <a:ext cx="114175" cy="286251"/>
          </a:xfrm>
          <a:prstGeom xmlns:a="http://schemas.openxmlformats.org/drawingml/2006/main" prst="line">
            <a:avLst/>
          </a:prstGeom>
          <a:ln xmlns:a="http://schemas.openxmlformats.org/drawingml/2006/main" w="9525">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4" name="Conector recto 13">
            <a:extLst xmlns:a="http://schemas.openxmlformats.org/drawingml/2006/main">
              <a:ext uri="{FF2B5EF4-FFF2-40B4-BE49-F238E27FC236}">
                <a16:creationId xmlns:a16="http://schemas.microsoft.com/office/drawing/2014/main" id="{18DBC943-10DD-7810-A144-A804DB91E9FA}"/>
              </a:ext>
            </a:extLst>
          </cdr:cNvPr>
          <cdr:cNvCxnSpPr/>
        </cdr:nvCxnSpPr>
        <cdr:spPr>
          <a:xfrm xmlns:a="http://schemas.openxmlformats.org/drawingml/2006/main" flipH="1">
            <a:off x="178262" y="0"/>
            <a:ext cx="115828" cy="284107"/>
          </a:xfrm>
          <a:prstGeom xmlns:a="http://schemas.openxmlformats.org/drawingml/2006/main" prst="line">
            <a:avLst/>
          </a:prstGeom>
          <a:ln xmlns:a="http://schemas.openxmlformats.org/drawingml/2006/main" w="9525">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xml><?xml version="1.0" encoding="utf-8"?>
<c:userShapes xmlns:c="http://schemas.openxmlformats.org/drawingml/2006/chart">
  <cdr:relSizeAnchor xmlns:cdr="http://schemas.openxmlformats.org/drawingml/2006/chartDrawing">
    <cdr:from>
      <cdr:x>0.71227</cdr:x>
      <cdr:y>0.57879</cdr:y>
    </cdr:from>
    <cdr:to>
      <cdr:x>0.80128</cdr:x>
      <cdr:y>0.76344</cdr:y>
    </cdr:to>
    <cdr:sp macro="" textlink="">
      <cdr:nvSpPr>
        <cdr:cNvPr id="2" name="CuadroTexto 1"/>
        <cdr:cNvSpPr txBox="1"/>
      </cdr:nvSpPr>
      <cdr:spPr>
        <a:xfrm xmlns:a="http://schemas.openxmlformats.org/drawingml/2006/main">
          <a:off x="1974424" y="2085720"/>
          <a:ext cx="246732" cy="6654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585D8C-29A9-4D54-B1EF-C4FDA91F1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85</Pages>
  <Words>22560</Words>
  <Characters>124084</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LEY DE INGRESOS DEL ESTADO DE TLAXCALA</vt:lpstr>
    </vt:vector>
  </TitlesOfParts>
  <Company>Hewlett-Packard Company</Company>
  <LinksUpToDate>false</LinksUpToDate>
  <CharactersWithSpaces>146352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DE INGRESOS DEL ESTADO DE TLAXCALA</dc:title>
  <dc:subject/>
  <dc:creator>ALFREDO AGUILAR TORRES</dc:creator>
  <cp:keywords/>
  <dc:description/>
  <cp:lastModifiedBy>PC 05</cp:lastModifiedBy>
  <cp:revision>13</cp:revision>
  <cp:lastPrinted>2025-11-07T23:31:00Z</cp:lastPrinted>
  <dcterms:created xsi:type="dcterms:W3CDTF">2025-11-03T15:47:00Z</dcterms:created>
  <dcterms:modified xsi:type="dcterms:W3CDTF">2025-11-08T01:48:00Z</dcterms:modified>
</cp:coreProperties>
</file>