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2397" w14:textId="77777777" w:rsidR="006011E9" w:rsidRPr="00FD37DE" w:rsidRDefault="006011E9" w:rsidP="006011E9">
      <w:pPr>
        <w:pStyle w:val="Textoindependiente3"/>
        <w:spacing w:line="240" w:lineRule="auto"/>
        <w:ind w:left="5041" w:hanging="5041"/>
        <w:rPr>
          <w:rFonts w:ascii="Times New Roman" w:hAnsi="Times New Roman"/>
          <w:b/>
          <w:bCs/>
          <w:szCs w:val="20"/>
        </w:rPr>
      </w:pPr>
      <w:r w:rsidRPr="00FD37DE">
        <w:rPr>
          <w:rFonts w:ascii="Times New Roman" w:hAnsi="Times New Roman"/>
          <w:b/>
          <w:bCs/>
          <w:noProof/>
          <w:szCs w:val="20"/>
        </w:rPr>
        <mc:AlternateContent>
          <mc:Choice Requires="wps">
            <w:drawing>
              <wp:anchor distT="0" distB="0" distL="114300" distR="114300" simplePos="0" relativeHeight="251659264" behindDoc="0" locked="0" layoutInCell="1" allowOverlap="1" wp14:anchorId="2472B529" wp14:editId="5F9CAC40">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4DB2" w14:textId="42BE4B8D" w:rsidR="008821AF" w:rsidRPr="0057582B" w:rsidRDefault="008821AF" w:rsidP="0057582B">
                            <w:pPr>
                              <w:jc w:val="both"/>
                              <w:rPr>
                                <w:b/>
                                <w:sz w:val="20"/>
                                <w:lang w:val="es-ES"/>
                              </w:rPr>
                            </w:pPr>
                            <w:r w:rsidRPr="0057582B">
                              <w:rPr>
                                <w:b/>
                                <w:sz w:val="20"/>
                                <w:lang w:val="es-ES"/>
                              </w:rPr>
                              <w:t>Iniciativa de Ley de Ingresos del Estado de Tlaxcala para el Ejercicio Fiscal 202</w:t>
                            </w:r>
                            <w:r w:rsidR="0020439C">
                              <w:rPr>
                                <w:b/>
                                <w:sz w:val="20"/>
                                <w:lang w:val="es-ES"/>
                              </w:rPr>
                              <w:t>6</w:t>
                            </w:r>
                            <w:r w:rsidRPr="0057582B">
                              <w:rPr>
                                <w:b/>
                                <w:sz w:val="20"/>
                                <w:lang w:val="es-ES"/>
                              </w:rPr>
                              <w:t>.</w:t>
                            </w:r>
                          </w:p>
                          <w:p w14:paraId="508956F7" w14:textId="77777777" w:rsidR="008821AF" w:rsidRPr="008D5C06" w:rsidRDefault="008821AF" w:rsidP="006011E9">
                            <w:pPr>
                              <w:pStyle w:val="Textoindependiente3"/>
                              <w:spacing w:line="240" w:lineRule="auto"/>
                            </w:pPr>
                          </w:p>
                          <w:p w14:paraId="3FDA2F80" w14:textId="77777777" w:rsidR="008821AF" w:rsidRPr="008D5C06" w:rsidRDefault="008821AF" w:rsidP="006011E9">
                            <w:pPr>
                              <w:pStyle w:val="Textoindependiente3"/>
                              <w:spacing w:line="240" w:lineRule="auto"/>
                            </w:pPr>
                          </w:p>
                          <w:p w14:paraId="305D1F50" w14:textId="77777777" w:rsidR="008821AF" w:rsidRPr="008D5C06" w:rsidRDefault="008821AF" w:rsidP="006011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472B529"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" filled="f" stroked="f">
                <v:fill opacity="32896f"/>
                <v:textbox>
                  <w:txbxContent>
                    <w:p w14:paraId="03B84DB2" w14:textId="42BE4B8D" w:rsidR="008821AF" w:rsidRPr="0057582B" w:rsidRDefault="008821AF" w:rsidP="0057582B">
                      <w:pPr>
                        <w:jc w:val="both"/>
                        <w:rPr>
                          <w:b/>
                          <w:sz w:val="20"/>
                          <w:lang w:val="es-ES"/>
                        </w:rPr>
                      </w:pPr>
                      <w:r w:rsidRPr="0057582B">
                        <w:rPr>
                          <w:b/>
                          <w:sz w:val="20"/>
                          <w:lang w:val="es-ES"/>
                        </w:rPr>
                        <w:t>Iniciativa de Ley de Ingresos del Estado de Tlaxcala para el Ejercicio Fiscal 202</w:t>
                      </w:r>
                      <w:r w:rsidR="0020439C">
                        <w:rPr>
                          <w:b/>
                          <w:sz w:val="20"/>
                          <w:lang w:val="es-ES"/>
                        </w:rPr>
                        <w:t>6</w:t>
                      </w:r>
                      <w:r w:rsidRPr="0057582B">
                        <w:rPr>
                          <w:b/>
                          <w:sz w:val="20"/>
                          <w:lang w:val="es-ES"/>
                        </w:rPr>
                        <w:t>.</w:t>
                      </w:r>
                    </w:p>
                    <w:p w14:paraId="508956F7" w14:textId="77777777" w:rsidR="008821AF" w:rsidRPr="008D5C06" w:rsidRDefault="008821AF" w:rsidP="006011E9">
                      <w:pPr>
                        <w:pStyle w:val="Textoindependiente3"/>
                        <w:spacing w:line="240" w:lineRule="auto"/>
                      </w:pPr>
                    </w:p>
                    <w:p w14:paraId="3FDA2F80" w14:textId="77777777" w:rsidR="008821AF" w:rsidRPr="008D5C06" w:rsidRDefault="008821AF" w:rsidP="006011E9">
                      <w:pPr>
                        <w:pStyle w:val="Textoindependiente3"/>
                        <w:spacing w:line="240" w:lineRule="auto"/>
                      </w:pPr>
                    </w:p>
                    <w:p w14:paraId="305D1F50" w14:textId="77777777" w:rsidR="008821AF" w:rsidRPr="008D5C06" w:rsidRDefault="008821AF" w:rsidP="006011E9"/>
                  </w:txbxContent>
                </v:textbox>
                <w10:wrap anchorx="margin"/>
              </v:shape>
            </w:pict>
          </mc:Fallback>
        </mc:AlternateContent>
      </w:r>
    </w:p>
    <w:p w14:paraId="7F2432AA"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2AB8A9A8"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09515C4A"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114E3696"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0090D8B6"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4FD664C8"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6EE51C01"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66704560" w14:textId="58CE1C59" w:rsidR="006011E9" w:rsidRPr="003B312C" w:rsidRDefault="006011E9" w:rsidP="003B312C">
      <w:pPr>
        <w:spacing w:line="360" w:lineRule="auto"/>
        <w:jc w:val="both"/>
        <w:rPr>
          <w:b/>
          <w:bCs/>
          <w:sz w:val="20"/>
          <w:szCs w:val="20"/>
        </w:rPr>
      </w:pPr>
      <w:r w:rsidRPr="003B312C">
        <w:rPr>
          <w:b/>
          <w:bCs/>
          <w:sz w:val="20"/>
          <w:szCs w:val="20"/>
        </w:rPr>
        <w:t>DIP.</w:t>
      </w:r>
      <w:r w:rsidR="007D3F25" w:rsidRPr="003B312C">
        <w:rPr>
          <w:b/>
          <w:bCs/>
          <w:sz w:val="20"/>
          <w:szCs w:val="20"/>
        </w:rPr>
        <w:t xml:space="preserve"> </w:t>
      </w:r>
      <w:r w:rsidR="007D3F25">
        <w:rPr>
          <w:b/>
          <w:bCs/>
          <w:sz w:val="20"/>
          <w:szCs w:val="20"/>
        </w:rPr>
        <w:t>MARIBEL LEÓN CRUZ</w:t>
      </w:r>
    </w:p>
    <w:p w14:paraId="7C226D2E" w14:textId="5EF848C4" w:rsidR="006011E9" w:rsidRPr="003B312C" w:rsidRDefault="006011E9" w:rsidP="003B312C">
      <w:pPr>
        <w:spacing w:line="360" w:lineRule="auto"/>
        <w:jc w:val="both"/>
        <w:rPr>
          <w:b/>
          <w:bCs/>
          <w:sz w:val="20"/>
          <w:szCs w:val="20"/>
        </w:rPr>
      </w:pPr>
      <w:r w:rsidRPr="003B312C">
        <w:rPr>
          <w:b/>
          <w:bCs/>
          <w:sz w:val="20"/>
          <w:szCs w:val="20"/>
        </w:rPr>
        <w:t>PRESIDENT</w:t>
      </w:r>
      <w:r w:rsidR="0020439C">
        <w:rPr>
          <w:b/>
          <w:bCs/>
          <w:sz w:val="20"/>
          <w:szCs w:val="20"/>
        </w:rPr>
        <w:t>A</w:t>
      </w:r>
      <w:r w:rsidRPr="003B312C">
        <w:rPr>
          <w:b/>
          <w:bCs/>
          <w:sz w:val="20"/>
          <w:szCs w:val="20"/>
        </w:rPr>
        <w:t xml:space="preserve"> DE LA MESA DIRECTIVA</w:t>
      </w:r>
    </w:p>
    <w:p w14:paraId="4FC380D6" w14:textId="760C6263" w:rsidR="006011E9" w:rsidRPr="003B312C" w:rsidRDefault="006011E9" w:rsidP="003B312C">
      <w:pPr>
        <w:spacing w:line="360" w:lineRule="auto"/>
        <w:jc w:val="both"/>
        <w:rPr>
          <w:b/>
          <w:bCs/>
          <w:sz w:val="20"/>
          <w:szCs w:val="20"/>
        </w:rPr>
      </w:pPr>
      <w:r w:rsidRPr="003B312C">
        <w:rPr>
          <w:b/>
          <w:bCs/>
          <w:sz w:val="20"/>
          <w:szCs w:val="20"/>
        </w:rPr>
        <w:t>DE LA LXV LEGISLATURA DEL CONGRESO</w:t>
      </w:r>
    </w:p>
    <w:p w14:paraId="1A3266CA" w14:textId="77777777" w:rsidR="006011E9" w:rsidRPr="003B312C" w:rsidRDefault="006011E9" w:rsidP="003B312C">
      <w:pPr>
        <w:spacing w:line="360" w:lineRule="auto"/>
        <w:jc w:val="both"/>
        <w:rPr>
          <w:b/>
          <w:bCs/>
          <w:sz w:val="20"/>
          <w:szCs w:val="20"/>
        </w:rPr>
      </w:pPr>
      <w:r w:rsidRPr="003B312C">
        <w:rPr>
          <w:b/>
          <w:bCs/>
          <w:sz w:val="20"/>
          <w:szCs w:val="20"/>
        </w:rPr>
        <w:t>DEL ESTADO DE TLAXCALA</w:t>
      </w:r>
    </w:p>
    <w:p w14:paraId="1A9E0D15" w14:textId="77777777" w:rsidR="006011E9" w:rsidRPr="003B312C" w:rsidRDefault="006011E9" w:rsidP="003B312C">
      <w:pPr>
        <w:spacing w:line="360" w:lineRule="auto"/>
        <w:jc w:val="both"/>
        <w:rPr>
          <w:b/>
          <w:bCs/>
          <w:sz w:val="20"/>
          <w:szCs w:val="20"/>
        </w:rPr>
      </w:pPr>
      <w:r w:rsidRPr="003B312C">
        <w:rPr>
          <w:b/>
          <w:bCs/>
          <w:sz w:val="20"/>
          <w:szCs w:val="20"/>
        </w:rPr>
        <w:t>P R E S E N T E.</w:t>
      </w:r>
    </w:p>
    <w:p w14:paraId="3C688CDC" w14:textId="77777777" w:rsidR="006011E9" w:rsidRPr="00FD37DE" w:rsidRDefault="006011E9" w:rsidP="006011E9">
      <w:pPr>
        <w:spacing w:line="360" w:lineRule="auto"/>
        <w:jc w:val="both"/>
        <w:rPr>
          <w:sz w:val="20"/>
        </w:rPr>
      </w:pPr>
    </w:p>
    <w:p w14:paraId="11F0B089" w14:textId="77777777" w:rsidR="006011E9" w:rsidRPr="00FD37DE" w:rsidRDefault="006011E9" w:rsidP="006011E9">
      <w:pPr>
        <w:spacing w:line="360" w:lineRule="auto"/>
        <w:jc w:val="both"/>
        <w:rPr>
          <w:sz w:val="20"/>
        </w:rPr>
      </w:pPr>
    </w:p>
    <w:p w14:paraId="59B13EBA" w14:textId="085A4F8C" w:rsidR="006011E9" w:rsidRPr="0057582B" w:rsidRDefault="006011E9" w:rsidP="006011E9">
      <w:pPr>
        <w:spacing w:line="360" w:lineRule="auto"/>
        <w:jc w:val="both"/>
        <w:rPr>
          <w:bCs/>
          <w:sz w:val="20"/>
          <w:szCs w:val="20"/>
          <w:lang w:val="es-ES"/>
        </w:rPr>
      </w:pPr>
      <w:bookmarkStart w:id="0" w:name="_Hlk181093646"/>
      <w:r w:rsidRPr="0057582B">
        <w:rPr>
          <w:bCs/>
          <w:sz w:val="20"/>
          <w:szCs w:val="20"/>
          <w:lang w:val="es-ES"/>
        </w:rPr>
        <w:t>Lorena Cuéllar Cisneros, Gobernadora del Estado, en uso 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 para el Ejercicio Fiscal 202</w:t>
      </w:r>
      <w:r w:rsidR="0020439C">
        <w:rPr>
          <w:bCs/>
          <w:sz w:val="20"/>
          <w:szCs w:val="20"/>
          <w:lang w:val="es-ES"/>
        </w:rPr>
        <w:t>6</w:t>
      </w:r>
      <w:r w:rsidRPr="0057582B">
        <w:rPr>
          <w:bCs/>
          <w:sz w:val="20"/>
          <w:szCs w:val="20"/>
          <w:lang w:val="es-ES"/>
        </w:rPr>
        <w:t>, de conformidad con la siguiente:</w:t>
      </w:r>
    </w:p>
    <w:bookmarkEnd w:id="0"/>
    <w:p w14:paraId="7FC03FEE" w14:textId="77777777" w:rsidR="006011E9" w:rsidRPr="00FD37DE" w:rsidRDefault="006011E9" w:rsidP="006011E9">
      <w:pPr>
        <w:spacing w:line="360" w:lineRule="auto"/>
        <w:jc w:val="center"/>
        <w:rPr>
          <w:b/>
          <w:sz w:val="20"/>
          <w:szCs w:val="20"/>
        </w:rPr>
      </w:pPr>
    </w:p>
    <w:p w14:paraId="0D618FEA" w14:textId="77777777" w:rsidR="006011E9" w:rsidRPr="00FD37DE" w:rsidRDefault="006011E9" w:rsidP="006011E9">
      <w:pPr>
        <w:spacing w:line="360" w:lineRule="auto"/>
        <w:jc w:val="center"/>
        <w:rPr>
          <w:b/>
          <w:sz w:val="20"/>
          <w:szCs w:val="20"/>
        </w:rPr>
      </w:pPr>
    </w:p>
    <w:p w14:paraId="72DAC09F" w14:textId="77777777" w:rsidR="006011E9" w:rsidRPr="00906252" w:rsidRDefault="006011E9" w:rsidP="006011E9">
      <w:pPr>
        <w:spacing w:line="360" w:lineRule="auto"/>
        <w:jc w:val="center"/>
        <w:rPr>
          <w:b/>
          <w:sz w:val="20"/>
          <w:szCs w:val="20"/>
          <w:lang w:val="es-ES"/>
        </w:rPr>
      </w:pPr>
      <w:r w:rsidRPr="00906252">
        <w:rPr>
          <w:b/>
          <w:sz w:val="20"/>
          <w:szCs w:val="20"/>
          <w:lang w:val="es-ES"/>
        </w:rPr>
        <w:t>EXPOSICIÓN DE MOTIVOS</w:t>
      </w:r>
    </w:p>
    <w:p w14:paraId="4D1C91F1" w14:textId="77777777" w:rsidR="006011E9" w:rsidRPr="00FD37DE" w:rsidRDefault="006011E9" w:rsidP="006011E9">
      <w:pPr>
        <w:spacing w:line="360" w:lineRule="auto"/>
        <w:jc w:val="center"/>
        <w:rPr>
          <w:sz w:val="20"/>
          <w:szCs w:val="20"/>
        </w:rPr>
      </w:pPr>
    </w:p>
    <w:p w14:paraId="5C179FE5" w14:textId="77777777" w:rsidR="006011E9" w:rsidRPr="00906252" w:rsidRDefault="006011E9" w:rsidP="006011E9">
      <w:pPr>
        <w:pStyle w:val="PRIMERAPLANA"/>
        <w:numPr>
          <w:ilvl w:val="0"/>
          <w:numId w:val="8"/>
        </w:numPr>
        <w:spacing w:line="360" w:lineRule="auto"/>
        <w:ind w:left="567" w:hanging="567"/>
        <w:rPr>
          <w:rFonts w:ascii="Times New Roman" w:hAnsi="Times New Roman"/>
          <w:b/>
          <w:lang w:val="es-MX"/>
        </w:rPr>
      </w:pPr>
      <w:r w:rsidRPr="00906252">
        <w:rPr>
          <w:rFonts w:ascii="Times New Roman" w:hAnsi="Times New Roman"/>
          <w:b/>
          <w:lang w:val="es-MX"/>
        </w:rPr>
        <w:t>CONSIDERACIONES GENERALES</w:t>
      </w:r>
    </w:p>
    <w:p w14:paraId="115DE9C3" w14:textId="77777777" w:rsidR="006011E9" w:rsidRPr="00FD37DE" w:rsidRDefault="006011E9" w:rsidP="006011E9">
      <w:pPr>
        <w:pStyle w:val="PRIMERAPLANA"/>
        <w:spacing w:line="360" w:lineRule="auto"/>
        <w:rPr>
          <w:rFonts w:ascii="Times New Roman" w:hAnsi="Times New Roman"/>
          <w:bCs/>
          <w:lang w:val="es-MX"/>
        </w:rPr>
      </w:pPr>
    </w:p>
    <w:p w14:paraId="51AC4881" w14:textId="77777777" w:rsidR="00380210" w:rsidRDefault="00380210" w:rsidP="00380210">
      <w:pPr>
        <w:pStyle w:val="PRIMERAPLANA"/>
        <w:spacing w:line="360" w:lineRule="auto"/>
        <w:rPr>
          <w:rFonts w:ascii="Times New Roman" w:hAnsi="Times New Roman"/>
          <w:bCs/>
          <w:lang w:val="es-MX"/>
        </w:rPr>
      </w:pPr>
      <w:r w:rsidRPr="00380210">
        <w:rPr>
          <w:rFonts w:ascii="Times New Roman" w:hAnsi="Times New Roman"/>
          <w:bCs/>
          <w:lang w:val="es-MX"/>
        </w:rPr>
        <w:lastRenderedPageBreak/>
        <w:t>La sociedad mexicana está consciente de las realidades políticas y mantiene una constante vigilancia sobre el quehacer gubernamental e institucional. Este cambio trascendente debe ser conducido a una forma superior de ejercicio del poder: la democracia participativa.</w:t>
      </w:r>
    </w:p>
    <w:p w14:paraId="48B931E2" w14:textId="77777777" w:rsidR="00380210" w:rsidRPr="00380210" w:rsidRDefault="00380210" w:rsidP="00380210">
      <w:pPr>
        <w:pStyle w:val="PRIMERAPLANA"/>
        <w:spacing w:line="360" w:lineRule="auto"/>
        <w:rPr>
          <w:rFonts w:ascii="Times New Roman" w:hAnsi="Times New Roman"/>
          <w:bCs/>
          <w:lang w:val="es-MX"/>
        </w:rPr>
      </w:pPr>
    </w:p>
    <w:p w14:paraId="59666024" w14:textId="77777777" w:rsidR="00380210" w:rsidRDefault="00380210" w:rsidP="00380210">
      <w:pPr>
        <w:pStyle w:val="PRIMERAPLANA"/>
        <w:spacing w:line="360" w:lineRule="auto"/>
        <w:rPr>
          <w:rFonts w:ascii="Times New Roman" w:hAnsi="Times New Roman"/>
          <w:bCs/>
          <w:lang w:val="es-MX"/>
        </w:rPr>
      </w:pPr>
      <w:r w:rsidRPr="00380210">
        <w:rPr>
          <w:rFonts w:ascii="Times New Roman" w:hAnsi="Times New Roman"/>
          <w:bCs/>
          <w:lang w:val="es-MX"/>
        </w:rPr>
        <w:t>La realidad de Tlaxcala, su situación económica, política, social y cultural, es más compleja que cualquier planteamiento que pretenda explicarla y, mucho más aún, que el intento para modificarla mediante un ejercicio de planeación y un presupuesto gubernamental que siempre será limitado. Esta administración busca consolidar un Estado de Derecho, que sea el fundamento de una eficaz lucha contra la delincuencia, a fin de que las personas y sus familias gocen de una vida tranquila, en paz, alejada de la violencia y la ilegalidad.</w:t>
      </w:r>
    </w:p>
    <w:p w14:paraId="4A557554" w14:textId="77777777" w:rsidR="00380210" w:rsidRPr="00380210" w:rsidRDefault="00380210" w:rsidP="00380210">
      <w:pPr>
        <w:pStyle w:val="PRIMERAPLANA"/>
        <w:spacing w:line="360" w:lineRule="auto"/>
        <w:rPr>
          <w:rFonts w:ascii="Times New Roman" w:hAnsi="Times New Roman"/>
          <w:bCs/>
          <w:lang w:val="es-MX"/>
        </w:rPr>
      </w:pPr>
    </w:p>
    <w:p w14:paraId="478338C4" w14:textId="77777777" w:rsidR="00380210" w:rsidRDefault="00380210" w:rsidP="00380210">
      <w:pPr>
        <w:pStyle w:val="PRIMERAPLANA"/>
        <w:spacing w:line="360" w:lineRule="auto"/>
        <w:rPr>
          <w:rFonts w:ascii="Times New Roman" w:hAnsi="Times New Roman"/>
          <w:bCs/>
          <w:lang w:val="es-MX"/>
        </w:rPr>
      </w:pPr>
      <w:r w:rsidRPr="00380210">
        <w:rPr>
          <w:rFonts w:ascii="Times New Roman" w:hAnsi="Times New Roman"/>
          <w:bCs/>
          <w:lang w:val="es-MX"/>
        </w:rPr>
        <w:t>La Cuarta Transformación busca cambiar la vida pública de Tlaxcala, romper los añejos estilos y dañinas prácticas de corrupción, mentira y gasto sin sentido social. Se pretende conferir a la palabra “transformación” un contenido distinto, un sentido de gobierno con objetivos precisos, con esquemas de acción que movilicen a las personas a partir del diálogo social.</w:t>
      </w:r>
    </w:p>
    <w:p w14:paraId="799A3FEB" w14:textId="77777777" w:rsidR="00380210" w:rsidRPr="00380210" w:rsidRDefault="00380210" w:rsidP="00380210">
      <w:pPr>
        <w:pStyle w:val="PRIMERAPLANA"/>
        <w:spacing w:line="360" w:lineRule="auto"/>
        <w:rPr>
          <w:rFonts w:ascii="Times New Roman" w:hAnsi="Times New Roman"/>
          <w:bCs/>
          <w:lang w:val="es-MX"/>
        </w:rPr>
      </w:pPr>
    </w:p>
    <w:p w14:paraId="1025A26E" w14:textId="54F57DA0" w:rsidR="00380210" w:rsidRDefault="00380210" w:rsidP="00380210">
      <w:pPr>
        <w:pStyle w:val="PRIMERAPLANA"/>
        <w:spacing w:line="360" w:lineRule="auto"/>
        <w:rPr>
          <w:rFonts w:ascii="Times New Roman" w:hAnsi="Times New Roman"/>
          <w:bCs/>
          <w:lang w:val="es-MX"/>
        </w:rPr>
      </w:pPr>
      <w:r w:rsidRPr="00380210">
        <w:rPr>
          <w:rFonts w:ascii="Times New Roman" w:hAnsi="Times New Roman"/>
          <w:bCs/>
          <w:lang w:val="es-MX"/>
        </w:rPr>
        <w:t xml:space="preserve">Hoy en día, en Tlaxcala impulsamos una estrategia integral y coordinada de bienestar con enfoque humano, comprometida con los ideales de la Cuarta Transformación. Una estrategia que involucra la coordinación efectiva entre los tres órdenes de gobierno y de todas las dependencias e instancias </w:t>
      </w:r>
      <w:r w:rsidR="00B259BE" w:rsidRPr="00380210">
        <w:rPr>
          <w:rFonts w:ascii="Times New Roman" w:hAnsi="Times New Roman"/>
          <w:bCs/>
          <w:lang w:val="es-MX"/>
        </w:rPr>
        <w:t>estatales</w:t>
      </w:r>
      <w:r w:rsidR="00CA3D2B">
        <w:rPr>
          <w:rFonts w:ascii="Times New Roman" w:hAnsi="Times New Roman"/>
          <w:bCs/>
          <w:lang w:val="es-MX"/>
        </w:rPr>
        <w:t>;</w:t>
      </w:r>
      <w:r w:rsidRPr="00380210">
        <w:rPr>
          <w:rFonts w:ascii="Times New Roman" w:hAnsi="Times New Roman"/>
          <w:bCs/>
          <w:lang w:val="es-MX"/>
        </w:rPr>
        <w:t xml:space="preserve"> </w:t>
      </w:r>
      <w:proofErr w:type="gramStart"/>
      <w:r w:rsidR="00B259BE" w:rsidRPr="00380210">
        <w:rPr>
          <w:rFonts w:ascii="Times New Roman" w:hAnsi="Times New Roman"/>
          <w:bCs/>
          <w:lang w:val="es-MX"/>
        </w:rPr>
        <w:t>pero</w:t>
      </w:r>
      <w:proofErr w:type="gramEnd"/>
      <w:r w:rsidRPr="00380210">
        <w:rPr>
          <w:rFonts w:ascii="Times New Roman" w:hAnsi="Times New Roman"/>
          <w:bCs/>
          <w:lang w:val="es-MX"/>
        </w:rPr>
        <w:t xml:space="preserve"> sobre todo, considera la coparticipación de la sociedad</w:t>
      </w:r>
      <w:r w:rsidR="0016347D">
        <w:rPr>
          <w:rFonts w:ascii="Times New Roman" w:hAnsi="Times New Roman"/>
          <w:bCs/>
          <w:lang w:val="es-MX"/>
        </w:rPr>
        <w:t>,</w:t>
      </w:r>
      <w:r w:rsidRPr="00380210">
        <w:rPr>
          <w:rFonts w:ascii="Times New Roman" w:hAnsi="Times New Roman"/>
          <w:bCs/>
          <w:lang w:val="es-MX"/>
        </w:rPr>
        <w:t xml:space="preserve"> constru</w:t>
      </w:r>
      <w:r w:rsidR="0016347D">
        <w:rPr>
          <w:rFonts w:ascii="Times New Roman" w:hAnsi="Times New Roman"/>
          <w:bCs/>
          <w:lang w:val="es-MX"/>
        </w:rPr>
        <w:t>yendo</w:t>
      </w:r>
      <w:r w:rsidRPr="00380210">
        <w:rPr>
          <w:rFonts w:ascii="Times New Roman" w:hAnsi="Times New Roman"/>
          <w:bCs/>
          <w:lang w:val="es-MX"/>
        </w:rPr>
        <w:t xml:space="preserve"> la modernidad desde abajo, entre todos y sin excluir a nadie.</w:t>
      </w:r>
    </w:p>
    <w:p w14:paraId="7C786D4A" w14:textId="77777777" w:rsidR="00380210" w:rsidRPr="00380210" w:rsidRDefault="00380210" w:rsidP="00380210">
      <w:pPr>
        <w:pStyle w:val="PRIMERAPLANA"/>
        <w:spacing w:line="360" w:lineRule="auto"/>
        <w:rPr>
          <w:rFonts w:ascii="Times New Roman" w:hAnsi="Times New Roman"/>
          <w:bCs/>
          <w:lang w:val="es-MX"/>
        </w:rPr>
      </w:pPr>
    </w:p>
    <w:p w14:paraId="1D6D8426" w14:textId="3A0C2F26" w:rsidR="00380210" w:rsidRDefault="0016347D" w:rsidP="00380210">
      <w:pPr>
        <w:pStyle w:val="PRIMERAPLANA"/>
        <w:spacing w:line="360" w:lineRule="auto"/>
        <w:rPr>
          <w:rFonts w:ascii="Times New Roman" w:hAnsi="Times New Roman"/>
          <w:bCs/>
          <w:lang w:val="es-MX"/>
        </w:rPr>
      </w:pPr>
      <w:r>
        <w:rPr>
          <w:rFonts w:ascii="Times New Roman" w:hAnsi="Times New Roman"/>
          <w:bCs/>
          <w:lang w:val="es-MX"/>
        </w:rPr>
        <w:t xml:space="preserve">Hemos realizado acciones que han permitido </w:t>
      </w:r>
      <w:r w:rsidR="00380210" w:rsidRPr="00380210">
        <w:rPr>
          <w:rFonts w:ascii="Times New Roman" w:hAnsi="Times New Roman"/>
          <w:bCs/>
          <w:lang w:val="es-MX"/>
        </w:rPr>
        <w:t>la creación de empleos mediante programas sectoriales, proyectos regionales y obras de infraestructura, pero también facilitando el acceso al crédito a las pequeñas y medianas empresas, al reducir y simplificar los requisitos para crear empresas nuevas</w:t>
      </w:r>
      <w:r>
        <w:rPr>
          <w:rFonts w:ascii="Times New Roman" w:hAnsi="Times New Roman"/>
          <w:bCs/>
          <w:lang w:val="es-MX"/>
        </w:rPr>
        <w:t xml:space="preserve">, </w:t>
      </w:r>
      <w:r w:rsidR="00380210" w:rsidRPr="00380210">
        <w:rPr>
          <w:rFonts w:ascii="Times New Roman" w:hAnsi="Times New Roman"/>
          <w:bCs/>
          <w:lang w:val="es-MX"/>
        </w:rPr>
        <w:t>procura</w:t>
      </w:r>
      <w:r>
        <w:rPr>
          <w:rFonts w:ascii="Times New Roman" w:hAnsi="Times New Roman"/>
          <w:bCs/>
          <w:lang w:val="es-MX"/>
        </w:rPr>
        <w:t>n</w:t>
      </w:r>
      <w:r w:rsidR="00380210" w:rsidRPr="00380210">
        <w:rPr>
          <w:rFonts w:ascii="Times New Roman" w:hAnsi="Times New Roman"/>
          <w:bCs/>
          <w:lang w:val="es-MX"/>
        </w:rPr>
        <w:t xml:space="preserve">do integrar </w:t>
      </w:r>
      <w:r w:rsidR="00380210" w:rsidRPr="00380210">
        <w:rPr>
          <w:rFonts w:ascii="Times New Roman" w:hAnsi="Times New Roman"/>
          <w:bCs/>
          <w:lang w:val="es-MX"/>
        </w:rPr>
        <w:lastRenderedPageBreak/>
        <w:t>una propuesta de gobierno documentada y coherente en sus propósitos y acciones, que posibilite en el mediano y corto plazos la construcción, a partir de sus criterios y señalamientos, de otros instrumentos como los programas institucionales, sectoriales, regionales y especiales.</w:t>
      </w:r>
    </w:p>
    <w:p w14:paraId="798C4CFA" w14:textId="77777777" w:rsidR="00380210" w:rsidRPr="00380210" w:rsidRDefault="00380210" w:rsidP="00380210">
      <w:pPr>
        <w:pStyle w:val="PRIMERAPLANA"/>
        <w:spacing w:line="360" w:lineRule="auto"/>
        <w:rPr>
          <w:rFonts w:ascii="Times New Roman" w:hAnsi="Times New Roman"/>
          <w:bCs/>
          <w:lang w:val="es-MX"/>
        </w:rPr>
      </w:pPr>
    </w:p>
    <w:p w14:paraId="0D7357DC" w14:textId="7C6E58BB" w:rsidR="00380210" w:rsidRPr="00380210" w:rsidRDefault="00380210" w:rsidP="00380210">
      <w:pPr>
        <w:pStyle w:val="PRIMERAPLANA"/>
        <w:spacing w:line="360" w:lineRule="auto"/>
        <w:rPr>
          <w:rFonts w:ascii="Times New Roman" w:hAnsi="Times New Roman"/>
          <w:bCs/>
          <w:lang w:val="es-MX"/>
        </w:rPr>
      </w:pPr>
      <w:r w:rsidRPr="00380210">
        <w:rPr>
          <w:rFonts w:ascii="Times New Roman" w:hAnsi="Times New Roman"/>
          <w:bCs/>
          <w:lang w:val="es-MX"/>
        </w:rPr>
        <w:t>El gobierno tiene como principal función, además de la protección de los ciudadanos y sus propiedades y patrimonio, garantizar progresivamente sus derechos. La construcción de un gobierno fundamentado en el interés del pueblo y para el pueblo, que se atiene a sus designios y al planteamiento de sus necesidades, un gobierno cercano con visión extendida, que se interese y actúe más por los derechos y las libertades de las personas, que trabaje por los que menos tienen y que sirva al pueblo, que destierre la corrupción y la impunidad, que trabaje unido a quienes luchan e invierten en Tlaxcala, y que tenga un desempeño más eficiente y honesto, con base en una perspectiva abierta y sustentado en la gestión para resultados, con</w:t>
      </w:r>
      <w:r w:rsidR="00CA3D2B">
        <w:rPr>
          <w:rFonts w:ascii="Times New Roman" w:hAnsi="Times New Roman"/>
          <w:bCs/>
          <w:lang w:val="es-MX"/>
        </w:rPr>
        <w:t>siderando</w:t>
      </w:r>
      <w:r w:rsidRPr="00380210">
        <w:rPr>
          <w:rFonts w:ascii="Times New Roman" w:hAnsi="Times New Roman"/>
          <w:bCs/>
          <w:lang w:val="es-MX"/>
        </w:rPr>
        <w:t xml:space="preserve"> criterios de austeridad republicana. </w:t>
      </w:r>
    </w:p>
    <w:p w14:paraId="521D0E57" w14:textId="77777777" w:rsidR="00380210" w:rsidRDefault="00380210" w:rsidP="00270689">
      <w:pPr>
        <w:pStyle w:val="PRIMERAPLANA"/>
        <w:spacing w:line="360" w:lineRule="auto"/>
        <w:rPr>
          <w:rFonts w:ascii="Times New Roman" w:hAnsi="Times New Roman"/>
          <w:bCs/>
          <w:lang w:val="es-MX"/>
        </w:rPr>
      </w:pPr>
    </w:p>
    <w:p w14:paraId="360EF799" w14:textId="056B9549" w:rsidR="00270689" w:rsidRDefault="0020439C" w:rsidP="00270689">
      <w:pPr>
        <w:pStyle w:val="PRIMERAPLANA"/>
        <w:spacing w:line="360" w:lineRule="auto"/>
        <w:rPr>
          <w:rFonts w:ascii="Times New Roman" w:hAnsi="Times New Roman"/>
          <w:bCs/>
          <w:lang w:val="es-MX"/>
        </w:rPr>
      </w:pPr>
      <w:r w:rsidRPr="0020439C">
        <w:rPr>
          <w:rFonts w:ascii="Times New Roman" w:hAnsi="Times New Roman"/>
          <w:bCs/>
          <w:lang w:val="es-MX"/>
        </w:rPr>
        <w:t>El Gobierno del Estado se encuentra comprometido con una política de inclusión social, que promuev</w:t>
      </w:r>
      <w:r>
        <w:rPr>
          <w:rFonts w:ascii="Times New Roman" w:hAnsi="Times New Roman"/>
          <w:bCs/>
          <w:lang w:val="es-MX"/>
        </w:rPr>
        <w:t>a</w:t>
      </w:r>
      <w:r w:rsidRPr="0020439C">
        <w:rPr>
          <w:rFonts w:ascii="Times New Roman" w:hAnsi="Times New Roman"/>
          <w:bCs/>
          <w:lang w:val="es-MX"/>
        </w:rPr>
        <w:t xml:space="preserve"> </w:t>
      </w:r>
      <w:r>
        <w:rPr>
          <w:rFonts w:ascii="Times New Roman" w:hAnsi="Times New Roman"/>
          <w:bCs/>
          <w:lang w:val="es-MX"/>
        </w:rPr>
        <w:t>el</w:t>
      </w:r>
      <w:r w:rsidRPr="0020439C">
        <w:rPr>
          <w:rFonts w:ascii="Times New Roman" w:hAnsi="Times New Roman"/>
          <w:bCs/>
          <w:lang w:val="es-MX"/>
        </w:rPr>
        <w:t xml:space="preserve"> desarrollo económico </w:t>
      </w:r>
      <w:r>
        <w:rPr>
          <w:rFonts w:ascii="Times New Roman" w:hAnsi="Times New Roman"/>
          <w:bCs/>
          <w:lang w:val="es-MX"/>
        </w:rPr>
        <w:t xml:space="preserve">y </w:t>
      </w:r>
      <w:r w:rsidRPr="0020439C">
        <w:rPr>
          <w:rFonts w:ascii="Times New Roman" w:hAnsi="Times New Roman"/>
          <w:bCs/>
          <w:lang w:val="es-MX"/>
        </w:rPr>
        <w:t>sustentable</w:t>
      </w:r>
      <w:r>
        <w:rPr>
          <w:rFonts w:ascii="Times New Roman" w:hAnsi="Times New Roman"/>
          <w:bCs/>
          <w:lang w:val="es-MX"/>
        </w:rPr>
        <w:t xml:space="preserve"> de la Entidad</w:t>
      </w:r>
      <w:r w:rsidRPr="0020439C">
        <w:rPr>
          <w:rFonts w:ascii="Times New Roman" w:hAnsi="Times New Roman"/>
          <w:bCs/>
          <w:lang w:val="es-MX"/>
        </w:rPr>
        <w:t>, fomenta</w:t>
      </w:r>
      <w:r>
        <w:rPr>
          <w:rFonts w:ascii="Times New Roman" w:hAnsi="Times New Roman"/>
          <w:bCs/>
          <w:lang w:val="es-MX"/>
        </w:rPr>
        <w:t>ndo</w:t>
      </w:r>
      <w:r w:rsidRPr="0020439C">
        <w:rPr>
          <w:rFonts w:ascii="Times New Roman" w:hAnsi="Times New Roman"/>
          <w:bCs/>
          <w:lang w:val="es-MX"/>
        </w:rPr>
        <w:t xml:space="preserve"> el fortalecimiento de los ingresos tributarios</w:t>
      </w:r>
      <w:r>
        <w:rPr>
          <w:rFonts w:ascii="Times New Roman" w:hAnsi="Times New Roman"/>
          <w:bCs/>
          <w:lang w:val="es-MX"/>
        </w:rPr>
        <w:t xml:space="preserve"> que permita </w:t>
      </w:r>
      <w:r w:rsidRPr="0020439C">
        <w:rPr>
          <w:rFonts w:ascii="Times New Roman" w:hAnsi="Times New Roman"/>
          <w:bCs/>
          <w:lang w:val="es-MX"/>
        </w:rPr>
        <w:t xml:space="preserve">el sostenimiento de las finanzas públicas sanas. </w:t>
      </w:r>
      <w:r w:rsidR="00270689" w:rsidRPr="00660B42">
        <w:rPr>
          <w:rFonts w:ascii="Times New Roman" w:hAnsi="Times New Roman"/>
          <w:bCs/>
          <w:lang w:val="es-MX"/>
        </w:rPr>
        <w:t>El Plan Estatal de Desarrollo 2021-2027</w:t>
      </w:r>
      <w:r>
        <w:rPr>
          <w:rFonts w:ascii="Times New Roman" w:hAnsi="Times New Roman"/>
          <w:bCs/>
          <w:lang w:val="es-MX"/>
        </w:rPr>
        <w:t>,</w:t>
      </w:r>
      <w:r w:rsidR="00270689" w:rsidRPr="00660B42">
        <w:rPr>
          <w:rFonts w:ascii="Times New Roman" w:hAnsi="Times New Roman"/>
          <w:bCs/>
          <w:lang w:val="es-MX"/>
        </w:rPr>
        <w:t xml:space="preserve"> norma el actuar gubernamental, </w:t>
      </w:r>
      <w:r>
        <w:rPr>
          <w:rFonts w:ascii="Times New Roman" w:hAnsi="Times New Roman"/>
          <w:bCs/>
          <w:lang w:val="es-MX"/>
        </w:rPr>
        <w:t xml:space="preserve">por lo que es </w:t>
      </w:r>
      <w:r w:rsidR="00270689" w:rsidRPr="00660B42">
        <w:rPr>
          <w:rFonts w:ascii="Times New Roman" w:hAnsi="Times New Roman"/>
          <w:bCs/>
          <w:lang w:val="es-MX"/>
        </w:rPr>
        <w:t xml:space="preserve">prioridad </w:t>
      </w:r>
      <w:r w:rsidR="008255C6">
        <w:rPr>
          <w:rFonts w:ascii="Times New Roman" w:hAnsi="Times New Roman"/>
          <w:bCs/>
          <w:lang w:val="es-MX"/>
        </w:rPr>
        <w:t>que la</w:t>
      </w:r>
      <w:r w:rsidR="00270689" w:rsidRPr="00660B42">
        <w:rPr>
          <w:rFonts w:ascii="Times New Roman" w:hAnsi="Times New Roman"/>
          <w:bCs/>
          <w:lang w:val="es-MX"/>
        </w:rPr>
        <w:t xml:space="preserve"> administración pública estatal garantice la disponibilidad y transparencia de los recursos públicos, para obtener los mejores resultados, arropando las causas comunes y alimentar con ellas el trabajo del gobierno, generando mayores oportunidades de desarrollo y bienestar para las familias tlaxcaltecas.</w:t>
      </w:r>
    </w:p>
    <w:p w14:paraId="38B8693F" w14:textId="77777777" w:rsidR="00270689" w:rsidRDefault="00270689" w:rsidP="00270689">
      <w:pPr>
        <w:pStyle w:val="PRIMERAPLANA"/>
        <w:spacing w:line="360" w:lineRule="auto"/>
        <w:rPr>
          <w:rFonts w:ascii="Times New Roman" w:hAnsi="Times New Roman"/>
          <w:bCs/>
          <w:lang w:val="es-MX"/>
        </w:rPr>
      </w:pPr>
    </w:p>
    <w:p w14:paraId="773D7289" w14:textId="068DE305"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Ley de Ingresos del Estado de Tlaxcala, para el Ejercicio Fiscal 202</w:t>
      </w:r>
      <w:r w:rsidR="00380210">
        <w:rPr>
          <w:rFonts w:ascii="Times New Roman" w:hAnsi="Times New Roman"/>
          <w:bCs/>
          <w:lang w:val="es-MX"/>
        </w:rPr>
        <w:t>6</w:t>
      </w:r>
      <w:r w:rsidRPr="00660B42">
        <w:rPr>
          <w:rFonts w:ascii="Times New Roman" w:hAnsi="Times New Roman"/>
          <w:bCs/>
          <w:lang w:val="es-MX"/>
        </w:rPr>
        <w:t xml:space="preserve">, </w:t>
      </w:r>
      <w:r w:rsidR="00380210" w:rsidRPr="00660B42">
        <w:rPr>
          <w:rFonts w:ascii="Times New Roman" w:hAnsi="Times New Roman"/>
          <w:bCs/>
          <w:lang w:val="es-MX"/>
        </w:rPr>
        <w:t>e</w:t>
      </w:r>
      <w:r w:rsidR="00380210">
        <w:rPr>
          <w:rFonts w:ascii="Times New Roman" w:hAnsi="Times New Roman"/>
          <w:bCs/>
          <w:lang w:val="es-MX"/>
        </w:rPr>
        <w:t>s</w:t>
      </w:r>
      <w:r w:rsidR="00380210" w:rsidRPr="00660B42">
        <w:rPr>
          <w:rFonts w:ascii="Times New Roman" w:hAnsi="Times New Roman"/>
          <w:bCs/>
          <w:lang w:val="es-MX"/>
        </w:rPr>
        <w:t xml:space="preserve"> </w:t>
      </w:r>
      <w:r w:rsidR="00380210">
        <w:rPr>
          <w:rFonts w:ascii="Times New Roman" w:hAnsi="Times New Roman"/>
          <w:bCs/>
          <w:lang w:val="es-MX"/>
        </w:rPr>
        <w:t xml:space="preserve">un </w:t>
      </w:r>
      <w:r w:rsidR="00380210" w:rsidRPr="00660B42">
        <w:rPr>
          <w:rFonts w:ascii="Times New Roman" w:hAnsi="Times New Roman"/>
          <w:bCs/>
          <w:lang w:val="es-MX"/>
        </w:rPr>
        <w:t xml:space="preserve">documento presupuestario </w:t>
      </w:r>
      <w:r w:rsidR="00380210">
        <w:rPr>
          <w:rFonts w:ascii="Times New Roman" w:hAnsi="Times New Roman"/>
          <w:bCs/>
          <w:lang w:val="es-MX"/>
        </w:rPr>
        <w:t xml:space="preserve">que </w:t>
      </w:r>
      <w:r w:rsidR="00380210" w:rsidRPr="00660B42">
        <w:rPr>
          <w:rFonts w:ascii="Times New Roman" w:hAnsi="Times New Roman"/>
          <w:bCs/>
          <w:lang w:val="es-MX"/>
        </w:rPr>
        <w:t xml:space="preserve">ofrece información valiosa para identificar las prioridades del gobierno, además de ser una importante herramienta de transparencia y rendición de cuentas a la ciudadanía, garantizando el respeto absoluto a los </w:t>
      </w:r>
      <w:r w:rsidR="00380210" w:rsidRPr="00660B42">
        <w:rPr>
          <w:rFonts w:ascii="Times New Roman" w:hAnsi="Times New Roman"/>
          <w:bCs/>
          <w:lang w:val="es-MX"/>
        </w:rPr>
        <w:lastRenderedPageBreak/>
        <w:t>principios fundamentales de proporcionalidad, equidad y legalidad consagrados en nuestra Carta Magna</w:t>
      </w:r>
      <w:r w:rsidR="00380210">
        <w:rPr>
          <w:rFonts w:ascii="Times New Roman" w:hAnsi="Times New Roman"/>
          <w:bCs/>
          <w:lang w:val="es-MX"/>
        </w:rPr>
        <w:t>.</w:t>
      </w:r>
      <w:r w:rsidR="00380210" w:rsidRPr="00660B42">
        <w:rPr>
          <w:rFonts w:ascii="Times New Roman" w:hAnsi="Times New Roman"/>
          <w:bCs/>
          <w:lang w:val="es-MX"/>
        </w:rPr>
        <w:t xml:space="preserve"> </w:t>
      </w:r>
      <w:r w:rsidR="00380210">
        <w:rPr>
          <w:rFonts w:ascii="Times New Roman" w:hAnsi="Times New Roman"/>
          <w:bCs/>
          <w:lang w:val="es-MX"/>
        </w:rPr>
        <w:t>A través de ésta, se</w:t>
      </w:r>
      <w:r w:rsidRPr="00660B42">
        <w:rPr>
          <w:rFonts w:ascii="Times New Roman" w:hAnsi="Times New Roman"/>
          <w:bCs/>
          <w:lang w:val="es-MX"/>
        </w:rPr>
        <w:t xml:space="preserve"> establece</w:t>
      </w:r>
      <w:r w:rsidR="00380210">
        <w:rPr>
          <w:rFonts w:ascii="Times New Roman" w:hAnsi="Times New Roman"/>
          <w:bCs/>
          <w:lang w:val="es-MX"/>
        </w:rPr>
        <w:t>n</w:t>
      </w:r>
      <w:r w:rsidRPr="00660B42">
        <w:rPr>
          <w:rFonts w:ascii="Times New Roman" w:hAnsi="Times New Roman"/>
          <w:bCs/>
          <w:lang w:val="es-MX"/>
        </w:rPr>
        <w:t xml:space="preserve"> los ingresos que el Gobierno del Estado, </w:t>
      </w:r>
      <w:r w:rsidR="00380210">
        <w:rPr>
          <w:rFonts w:ascii="Times New Roman" w:hAnsi="Times New Roman"/>
          <w:bCs/>
          <w:lang w:val="es-MX"/>
        </w:rPr>
        <w:t xml:space="preserve">pretende </w:t>
      </w:r>
      <w:r w:rsidRPr="00660B42">
        <w:rPr>
          <w:rFonts w:ascii="Times New Roman" w:hAnsi="Times New Roman"/>
          <w:bCs/>
          <w:lang w:val="es-MX"/>
        </w:rPr>
        <w:t xml:space="preserve">recaudar por concepto de impuestos, derechos, productos, aprovechamientos, participaciones federales, incentivos económicos, aportaciones federales y otros ingresos federales transferidos; que serán destinados a cubrir </w:t>
      </w:r>
      <w:r w:rsidR="00380210">
        <w:rPr>
          <w:rFonts w:ascii="Times New Roman" w:hAnsi="Times New Roman"/>
          <w:bCs/>
          <w:lang w:val="es-MX"/>
        </w:rPr>
        <w:t>el</w:t>
      </w:r>
      <w:r w:rsidRPr="00660B42">
        <w:rPr>
          <w:rFonts w:ascii="Times New Roman" w:hAnsi="Times New Roman"/>
          <w:bCs/>
          <w:lang w:val="es-MX"/>
        </w:rPr>
        <w:t xml:space="preserve"> gasto </w:t>
      </w:r>
      <w:r w:rsidR="00380210">
        <w:rPr>
          <w:rFonts w:ascii="Times New Roman" w:hAnsi="Times New Roman"/>
          <w:bCs/>
          <w:lang w:val="es-MX"/>
        </w:rPr>
        <w:t>estatal</w:t>
      </w:r>
      <w:r w:rsidRPr="00660B42">
        <w:rPr>
          <w:rFonts w:ascii="Times New Roman" w:hAnsi="Times New Roman"/>
          <w:bCs/>
          <w:lang w:val="es-MX"/>
        </w:rPr>
        <w:t xml:space="preserve"> en las cantidades estimadas en la misma.</w:t>
      </w:r>
    </w:p>
    <w:p w14:paraId="0B5FD654" w14:textId="77777777" w:rsidR="00270689" w:rsidRDefault="00270689" w:rsidP="00270689">
      <w:pPr>
        <w:pStyle w:val="PRIMERAPLANA"/>
        <w:spacing w:line="360" w:lineRule="auto"/>
        <w:rPr>
          <w:rFonts w:ascii="Times New Roman" w:hAnsi="Times New Roman"/>
          <w:bCs/>
          <w:lang w:val="es-MX"/>
        </w:rPr>
      </w:pPr>
    </w:p>
    <w:p w14:paraId="76ADFEFF" w14:textId="58C2D4D0" w:rsidR="00270689" w:rsidRPr="00660B42" w:rsidRDefault="00380210" w:rsidP="00270689">
      <w:pPr>
        <w:pStyle w:val="PRIMERAPLANA"/>
        <w:spacing w:line="360" w:lineRule="auto"/>
        <w:rPr>
          <w:rFonts w:ascii="Times New Roman" w:hAnsi="Times New Roman"/>
          <w:bCs/>
          <w:lang w:val="es-MX"/>
        </w:rPr>
      </w:pPr>
      <w:r w:rsidRPr="00380210">
        <w:rPr>
          <w:rFonts w:ascii="Times New Roman" w:hAnsi="Times New Roman"/>
          <w:bCs/>
          <w:lang w:val="es-MX"/>
        </w:rPr>
        <w:t xml:space="preserve">La iniciativa </w:t>
      </w:r>
      <w:r>
        <w:rPr>
          <w:rFonts w:ascii="Times New Roman" w:hAnsi="Times New Roman"/>
          <w:bCs/>
          <w:lang w:val="es-MX"/>
        </w:rPr>
        <w:t xml:space="preserve">de Ley de Ingresos del Estado de Tlaxcala, para el Ejercicio Fiscal 2026, </w:t>
      </w:r>
      <w:r w:rsidRPr="00380210">
        <w:rPr>
          <w:rFonts w:ascii="Times New Roman" w:hAnsi="Times New Roman"/>
          <w:bCs/>
          <w:lang w:val="es-MX"/>
        </w:rPr>
        <w:t xml:space="preserve">que </w:t>
      </w:r>
      <w:r>
        <w:rPr>
          <w:rFonts w:ascii="Times New Roman" w:hAnsi="Times New Roman"/>
          <w:bCs/>
          <w:lang w:val="es-MX"/>
        </w:rPr>
        <w:t xml:space="preserve">se </w:t>
      </w:r>
      <w:r w:rsidRPr="00380210">
        <w:rPr>
          <w:rFonts w:ascii="Times New Roman" w:hAnsi="Times New Roman"/>
          <w:bCs/>
          <w:lang w:val="es-MX"/>
        </w:rPr>
        <w:t xml:space="preserve">presenta </w:t>
      </w:r>
      <w:r>
        <w:rPr>
          <w:rFonts w:ascii="Times New Roman" w:hAnsi="Times New Roman"/>
          <w:bCs/>
          <w:lang w:val="es-MX"/>
        </w:rPr>
        <w:t>a la consideración de</w:t>
      </w:r>
      <w:r w:rsidR="008255C6">
        <w:rPr>
          <w:rFonts w:ascii="Times New Roman" w:hAnsi="Times New Roman"/>
          <w:bCs/>
          <w:lang w:val="es-MX"/>
        </w:rPr>
        <w:t xml:space="preserve"> ese</w:t>
      </w:r>
      <w:r>
        <w:rPr>
          <w:rFonts w:ascii="Times New Roman" w:hAnsi="Times New Roman"/>
          <w:bCs/>
          <w:lang w:val="es-MX"/>
        </w:rPr>
        <w:t xml:space="preserve"> Congreso, </w:t>
      </w:r>
      <w:r w:rsidRPr="00380210">
        <w:rPr>
          <w:rFonts w:ascii="Times New Roman" w:hAnsi="Times New Roman"/>
          <w:bCs/>
          <w:lang w:val="es-MX"/>
        </w:rPr>
        <w:t>es congruente con el comportamiento moderado de la economía del país</w:t>
      </w:r>
      <w:r w:rsidR="008255C6">
        <w:rPr>
          <w:rFonts w:ascii="Times New Roman" w:hAnsi="Times New Roman"/>
          <w:bCs/>
          <w:lang w:val="es-MX"/>
        </w:rPr>
        <w:t>;</w:t>
      </w:r>
      <w:r w:rsidRPr="00380210">
        <w:rPr>
          <w:rFonts w:ascii="Times New Roman" w:hAnsi="Times New Roman"/>
          <w:bCs/>
          <w:lang w:val="es-MX"/>
        </w:rPr>
        <w:t xml:space="preserve"> no obstante</w:t>
      </w:r>
      <w:r w:rsidR="008255C6">
        <w:rPr>
          <w:rFonts w:ascii="Times New Roman" w:hAnsi="Times New Roman"/>
          <w:bCs/>
          <w:lang w:val="es-MX"/>
        </w:rPr>
        <w:t>,</w:t>
      </w:r>
      <w:r w:rsidRPr="00380210">
        <w:rPr>
          <w:rFonts w:ascii="Times New Roman" w:hAnsi="Times New Roman"/>
          <w:bCs/>
          <w:lang w:val="es-MX"/>
        </w:rPr>
        <w:t xml:space="preserve"> prevalece un entorno complejo, volátil y de bajo crecimiento global.</w:t>
      </w:r>
      <w:r w:rsidR="008255C6">
        <w:rPr>
          <w:rFonts w:ascii="Times New Roman" w:hAnsi="Times New Roman"/>
          <w:bCs/>
          <w:lang w:val="es-MX"/>
        </w:rPr>
        <w:t xml:space="preserve"> Bajo este escenario, se p</w:t>
      </w:r>
      <w:r w:rsidR="00270689" w:rsidRPr="00660B42">
        <w:rPr>
          <w:rFonts w:ascii="Times New Roman" w:hAnsi="Times New Roman"/>
          <w:bCs/>
          <w:lang w:val="es-MX"/>
        </w:rPr>
        <w:t xml:space="preserve">revé la orientación de los ingresos públicos hacia la atención de las necesidades más apremiantes de la sociedad tlaxcalteca, procurando aminorar los efectos desequilibrantes </w:t>
      </w:r>
      <w:r w:rsidR="008255C6">
        <w:rPr>
          <w:rFonts w:ascii="Times New Roman" w:hAnsi="Times New Roman"/>
          <w:bCs/>
          <w:lang w:val="es-MX"/>
        </w:rPr>
        <w:t xml:space="preserve">de posibles </w:t>
      </w:r>
      <w:r w:rsidR="008255C6" w:rsidRPr="00660B42">
        <w:rPr>
          <w:rFonts w:ascii="Times New Roman" w:hAnsi="Times New Roman"/>
          <w:bCs/>
          <w:lang w:val="es-MX"/>
        </w:rPr>
        <w:t>choques</w:t>
      </w:r>
      <w:r w:rsidR="008255C6">
        <w:rPr>
          <w:rFonts w:ascii="Times New Roman" w:hAnsi="Times New Roman"/>
          <w:bCs/>
          <w:lang w:val="es-MX"/>
        </w:rPr>
        <w:t xml:space="preserve"> externos</w:t>
      </w:r>
      <w:r w:rsidR="008255C6" w:rsidRPr="00660B42">
        <w:rPr>
          <w:rFonts w:ascii="Times New Roman" w:hAnsi="Times New Roman"/>
          <w:bCs/>
          <w:lang w:val="es-MX"/>
        </w:rPr>
        <w:t xml:space="preserve"> </w:t>
      </w:r>
      <w:r w:rsidR="00270689" w:rsidRPr="00660B42">
        <w:rPr>
          <w:rFonts w:ascii="Times New Roman" w:hAnsi="Times New Roman"/>
          <w:bCs/>
          <w:lang w:val="es-MX"/>
        </w:rPr>
        <w:t xml:space="preserve">que </w:t>
      </w:r>
      <w:r w:rsidR="008255C6">
        <w:rPr>
          <w:rFonts w:ascii="Times New Roman" w:hAnsi="Times New Roman"/>
          <w:bCs/>
          <w:lang w:val="es-MX"/>
        </w:rPr>
        <w:t xml:space="preserve">pudieran </w:t>
      </w:r>
      <w:r w:rsidR="00270689" w:rsidRPr="00660B42">
        <w:rPr>
          <w:rFonts w:ascii="Times New Roman" w:hAnsi="Times New Roman"/>
          <w:bCs/>
          <w:lang w:val="es-MX"/>
        </w:rPr>
        <w:t>tornarlo incierto.</w:t>
      </w:r>
    </w:p>
    <w:p w14:paraId="0C1C7C78" w14:textId="77777777" w:rsidR="00270689" w:rsidRPr="00660B42" w:rsidRDefault="00270689" w:rsidP="00270689">
      <w:pPr>
        <w:pStyle w:val="PRIMERAPLANA"/>
        <w:spacing w:line="360" w:lineRule="auto"/>
        <w:rPr>
          <w:rFonts w:ascii="Times New Roman" w:hAnsi="Times New Roman"/>
          <w:bCs/>
          <w:lang w:val="es-MX"/>
        </w:rPr>
      </w:pPr>
    </w:p>
    <w:p w14:paraId="13CDCC42"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Lograr que las familias tlaxcaltecas tengan mejores oportunidades de vida, que aumente el ingreso familiar, el que las personas puedan pasear, comprar y desplazarse con mayor seguridad y el que la población tenga más confianza en el manejo que el gobierno hace de los recursos públicos, son algunas de las acciones destinadas en beneficio del pueblo de Tlaxcala. </w:t>
      </w:r>
    </w:p>
    <w:p w14:paraId="33316FF1" w14:textId="77777777" w:rsidR="00270689" w:rsidRDefault="00270689" w:rsidP="00270689">
      <w:pPr>
        <w:pStyle w:val="PRIMERAPLANA"/>
        <w:spacing w:line="360" w:lineRule="auto"/>
        <w:rPr>
          <w:rFonts w:ascii="Times New Roman" w:hAnsi="Times New Roman"/>
          <w:bCs/>
          <w:lang w:val="es-MX"/>
        </w:rPr>
      </w:pPr>
    </w:p>
    <w:p w14:paraId="6A3E6CD0" w14:textId="444E2D00" w:rsidR="00D4418D" w:rsidRDefault="00D4418D" w:rsidP="00270689">
      <w:pPr>
        <w:pStyle w:val="PRIMERAPLANA"/>
        <w:spacing w:line="360" w:lineRule="auto"/>
        <w:rPr>
          <w:rFonts w:ascii="Times New Roman" w:hAnsi="Times New Roman"/>
          <w:bCs/>
          <w:lang w:val="es-MX"/>
        </w:rPr>
      </w:pPr>
      <w:r w:rsidRPr="00660B42">
        <w:rPr>
          <w:rFonts w:ascii="Times New Roman" w:hAnsi="Times New Roman"/>
          <w:bCs/>
          <w:lang w:val="es-MX"/>
        </w:rPr>
        <w:t>La Cuarta Transformación es construir patria, es garantizar el porvenir de las actuales y de las futuras generaciones</w:t>
      </w:r>
      <w:r>
        <w:rPr>
          <w:rFonts w:ascii="Times New Roman" w:hAnsi="Times New Roman"/>
          <w:bCs/>
          <w:lang w:val="es-MX"/>
        </w:rPr>
        <w:t xml:space="preserve">, por lo </w:t>
      </w:r>
      <w:proofErr w:type="gramStart"/>
      <w:r>
        <w:rPr>
          <w:rFonts w:ascii="Times New Roman" w:hAnsi="Times New Roman"/>
          <w:bCs/>
          <w:lang w:val="es-MX"/>
        </w:rPr>
        <w:t>que</w:t>
      </w:r>
      <w:proofErr w:type="gramEnd"/>
      <w:r>
        <w:rPr>
          <w:rFonts w:ascii="Times New Roman" w:hAnsi="Times New Roman"/>
          <w:bCs/>
          <w:lang w:val="es-MX"/>
        </w:rPr>
        <w:t xml:space="preserve"> h</w:t>
      </w:r>
      <w:r w:rsidRPr="00660B42">
        <w:rPr>
          <w:rFonts w:ascii="Times New Roman" w:hAnsi="Times New Roman"/>
          <w:bCs/>
          <w:lang w:val="es-MX"/>
        </w:rPr>
        <w:t xml:space="preserve">acia los siguientes años, se deben consolidar y ampliar las fuentes de ingreso público, con criterios de justicia, y se debe hacer un uso más intensivo de la información y las herramientas tecnológicas para acercar y simplificar </w:t>
      </w:r>
      <w:r>
        <w:rPr>
          <w:rFonts w:ascii="Times New Roman" w:hAnsi="Times New Roman"/>
          <w:bCs/>
          <w:lang w:val="es-MX"/>
        </w:rPr>
        <w:t xml:space="preserve">trámites </w:t>
      </w:r>
      <w:r w:rsidRPr="00660B42">
        <w:rPr>
          <w:rFonts w:ascii="Times New Roman" w:hAnsi="Times New Roman"/>
          <w:bCs/>
          <w:lang w:val="es-MX"/>
        </w:rPr>
        <w:t>a la hacienda pública</w:t>
      </w:r>
      <w:r>
        <w:rPr>
          <w:rFonts w:ascii="Times New Roman" w:hAnsi="Times New Roman"/>
          <w:bCs/>
          <w:lang w:val="es-MX"/>
        </w:rPr>
        <w:t xml:space="preserve">, </w:t>
      </w:r>
      <w:r w:rsidRPr="00660B42">
        <w:rPr>
          <w:rFonts w:ascii="Times New Roman" w:hAnsi="Times New Roman"/>
          <w:bCs/>
          <w:lang w:val="es-MX"/>
        </w:rPr>
        <w:t>ya que son compromisos con el bienestar de la</w:t>
      </w:r>
      <w:r>
        <w:rPr>
          <w:rFonts w:ascii="Times New Roman" w:hAnsi="Times New Roman"/>
          <w:bCs/>
          <w:lang w:val="es-MX"/>
        </w:rPr>
        <w:t xml:space="preserve"> población del Estado</w:t>
      </w:r>
      <w:r w:rsidRPr="00660B42">
        <w:rPr>
          <w:rFonts w:ascii="Times New Roman" w:hAnsi="Times New Roman"/>
          <w:bCs/>
          <w:lang w:val="es-MX"/>
        </w:rPr>
        <w:t xml:space="preserve">. </w:t>
      </w:r>
    </w:p>
    <w:p w14:paraId="1D50DC23" w14:textId="77777777" w:rsidR="00D4418D" w:rsidRDefault="00D4418D" w:rsidP="00270689">
      <w:pPr>
        <w:pStyle w:val="PRIMERAPLANA"/>
        <w:spacing w:line="360" w:lineRule="auto"/>
        <w:rPr>
          <w:rFonts w:ascii="Times New Roman" w:hAnsi="Times New Roman"/>
          <w:bCs/>
          <w:lang w:val="es-MX"/>
        </w:rPr>
      </w:pPr>
    </w:p>
    <w:p w14:paraId="2C7FB073" w14:textId="438E296E"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lastRenderedPageBreak/>
        <w:t>El Gobierno del Estado en el cumplimiento de sus objetivos, mantiene el equilibrio y la solidez de sus finanzas públicas, fortaleciendo la recaudación de ingresos y racionalizando el gasto para atender los planes estratégicos en materia de seguridad, salud, bienestar social y crecimiento económic</w:t>
      </w:r>
      <w:r w:rsidR="00D4418D">
        <w:rPr>
          <w:rFonts w:ascii="Times New Roman" w:hAnsi="Times New Roman"/>
          <w:bCs/>
          <w:lang w:val="es-MX"/>
        </w:rPr>
        <w:t>o</w:t>
      </w:r>
      <w:r w:rsidRPr="00660B42">
        <w:rPr>
          <w:rFonts w:ascii="Times New Roman" w:hAnsi="Times New Roman"/>
          <w:bCs/>
          <w:lang w:val="es-MX"/>
        </w:rPr>
        <w:t>. La rendición de cuentas responsable y transparente de las finanzas públicas en la gestión gubernamental es primordial, para fortalecer la credibilidad de los Tlaxcaltecas en sus gobernantes.</w:t>
      </w:r>
    </w:p>
    <w:p w14:paraId="39A1064B" w14:textId="77777777" w:rsidR="00270689" w:rsidRPr="00660B42" w:rsidRDefault="00270689" w:rsidP="00270689">
      <w:pPr>
        <w:pStyle w:val="PRIMERAPLANA"/>
        <w:spacing w:line="360" w:lineRule="auto"/>
        <w:rPr>
          <w:rFonts w:ascii="Times New Roman" w:hAnsi="Times New Roman"/>
          <w:bCs/>
          <w:lang w:val="es-MX"/>
        </w:rPr>
      </w:pPr>
    </w:p>
    <w:p w14:paraId="717B2EE7" w14:textId="67994205" w:rsidR="00270689"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iniciativa de Ley de Ingresos del Estado de Tlaxcala, para el Ejercicio Fiscal 202</w:t>
      </w:r>
      <w:r w:rsidR="00D4418D">
        <w:rPr>
          <w:rFonts w:ascii="Times New Roman" w:hAnsi="Times New Roman"/>
          <w:bCs/>
          <w:lang w:val="es-MX"/>
        </w:rPr>
        <w:t>6</w:t>
      </w:r>
      <w:r w:rsidRPr="00660B42">
        <w:rPr>
          <w:rFonts w:ascii="Times New Roman" w:hAnsi="Times New Roman"/>
          <w:bCs/>
          <w:lang w:val="es-MX"/>
        </w:rPr>
        <w:t>, que presenta el Poder Ejecutivo al Congreso del Estado, se enfoca en recaudar los ingresos presupuestarios que le corresponden, así como en el manejo eficiente del gasto público, que contribuya a un balance presupuestario positivo.</w:t>
      </w:r>
    </w:p>
    <w:p w14:paraId="7AF8115A" w14:textId="77777777" w:rsidR="00270689" w:rsidRDefault="00270689" w:rsidP="00B36D56">
      <w:pPr>
        <w:pStyle w:val="PRIMERAPLANA"/>
        <w:spacing w:line="360" w:lineRule="auto"/>
        <w:rPr>
          <w:rFonts w:ascii="Times New Roman" w:hAnsi="Times New Roman"/>
          <w:bCs/>
          <w:lang w:val="es-MX"/>
        </w:rPr>
      </w:pPr>
    </w:p>
    <w:p w14:paraId="2DB69FEB" w14:textId="6D00E17A" w:rsidR="00696753" w:rsidRPr="0057582B" w:rsidRDefault="00D4418D" w:rsidP="0057582B">
      <w:pPr>
        <w:pStyle w:val="Prrafodelista"/>
        <w:numPr>
          <w:ilvl w:val="0"/>
          <w:numId w:val="8"/>
        </w:numPr>
        <w:ind w:left="567" w:right="162" w:hanging="567"/>
        <w:jc w:val="both"/>
        <w:rPr>
          <w:b/>
          <w:sz w:val="20"/>
          <w:szCs w:val="20"/>
          <w:lang w:val="es-ES"/>
        </w:rPr>
      </w:pPr>
      <w:bookmarkStart w:id="1" w:name="_Hlk181093710"/>
      <w:r>
        <w:rPr>
          <w:b/>
          <w:sz w:val="20"/>
          <w:szCs w:val="20"/>
          <w:lang w:val="es-ES"/>
        </w:rPr>
        <w:t>CRITERIOS GENERALES DE POLÍTICA ECONÓMICA PARA LA INICIATIVA DE LEY DE INGRESOS Y EL PROYECTO DE PRESUPUESTO DE EGRESOS DE LA FEDERACIÓN CORRESPONDIENTES AL EJERCICIO FISCAL 2026</w:t>
      </w:r>
      <w:r w:rsidR="00BD0BF7" w:rsidRPr="0057582B">
        <w:rPr>
          <w:b/>
          <w:sz w:val="20"/>
          <w:szCs w:val="20"/>
          <w:lang w:val="es-ES"/>
        </w:rPr>
        <w:t xml:space="preserve"> (C</w:t>
      </w:r>
      <w:r>
        <w:rPr>
          <w:b/>
          <w:sz w:val="20"/>
          <w:szCs w:val="20"/>
          <w:lang w:val="es-ES"/>
        </w:rPr>
        <w:t>GPE</w:t>
      </w:r>
      <w:r w:rsidR="00BD0BF7" w:rsidRPr="0057582B">
        <w:rPr>
          <w:b/>
          <w:sz w:val="20"/>
          <w:szCs w:val="20"/>
          <w:lang w:val="es-ES"/>
        </w:rPr>
        <w:t xml:space="preserve"> 202</w:t>
      </w:r>
      <w:r>
        <w:rPr>
          <w:b/>
          <w:sz w:val="20"/>
          <w:szCs w:val="20"/>
          <w:lang w:val="es-ES"/>
        </w:rPr>
        <w:t>6</w:t>
      </w:r>
      <w:r w:rsidR="00BD0BF7" w:rsidRPr="0057582B">
        <w:rPr>
          <w:b/>
          <w:sz w:val="20"/>
          <w:szCs w:val="20"/>
          <w:lang w:val="es-ES"/>
        </w:rPr>
        <w:t>)</w:t>
      </w:r>
      <w:r w:rsidR="00696753" w:rsidRPr="0057582B">
        <w:rPr>
          <w:b/>
          <w:sz w:val="20"/>
          <w:szCs w:val="20"/>
          <w:lang w:val="es-ES"/>
        </w:rPr>
        <w:t>.</w:t>
      </w:r>
    </w:p>
    <w:bookmarkEnd w:id="1"/>
    <w:p w14:paraId="547CE737" w14:textId="77777777" w:rsidR="004641BE" w:rsidRPr="00FD37DE" w:rsidRDefault="004641BE" w:rsidP="006011E9">
      <w:pPr>
        <w:pStyle w:val="PRIMERAPLANA"/>
        <w:spacing w:line="360" w:lineRule="auto"/>
        <w:rPr>
          <w:rFonts w:ascii="Times New Roman" w:hAnsi="Times New Roman"/>
          <w:bCs/>
          <w:lang w:val="es-MX"/>
        </w:rPr>
      </w:pPr>
    </w:p>
    <w:p w14:paraId="277AA381" w14:textId="77777777" w:rsidR="00696753" w:rsidRPr="0057582B" w:rsidRDefault="00696753" w:rsidP="0057582B">
      <w:pPr>
        <w:pStyle w:val="Prrafodelista"/>
        <w:numPr>
          <w:ilvl w:val="0"/>
          <w:numId w:val="22"/>
        </w:numPr>
        <w:ind w:left="567" w:right="162" w:hanging="567"/>
        <w:jc w:val="both"/>
        <w:rPr>
          <w:b/>
          <w:sz w:val="20"/>
          <w:szCs w:val="20"/>
          <w:lang w:val="es-ES"/>
        </w:rPr>
      </w:pPr>
      <w:bookmarkStart w:id="2" w:name="_Hlk181093783"/>
      <w:r w:rsidRPr="0057582B">
        <w:rPr>
          <w:b/>
          <w:sz w:val="20"/>
          <w:szCs w:val="20"/>
          <w:lang w:val="es-ES"/>
        </w:rPr>
        <w:t>RESUMEN EJECUTIVO</w:t>
      </w:r>
    </w:p>
    <w:bookmarkEnd w:id="2"/>
    <w:p w14:paraId="00C4CCBF" w14:textId="77777777" w:rsidR="00BD0BF7" w:rsidRPr="00FD37DE" w:rsidRDefault="00BD0BF7" w:rsidP="00BD0BF7">
      <w:pPr>
        <w:pStyle w:val="PRIMERAPLANA"/>
        <w:spacing w:line="360" w:lineRule="auto"/>
        <w:rPr>
          <w:rFonts w:ascii="Times New Roman" w:hAnsi="Times New Roman"/>
          <w:bCs/>
          <w:lang w:val="es-MX"/>
        </w:rPr>
      </w:pPr>
    </w:p>
    <w:p w14:paraId="03378A18" w14:textId="13DF82B1" w:rsidR="00BD0BF7" w:rsidRPr="0057582B" w:rsidRDefault="00BD0BF7" w:rsidP="00BD0BF7">
      <w:pPr>
        <w:pStyle w:val="PRIMERAPLANA"/>
        <w:spacing w:line="360" w:lineRule="auto"/>
        <w:rPr>
          <w:rFonts w:ascii="Times New Roman" w:hAnsi="Times New Roman"/>
          <w:bCs/>
          <w:lang w:val="es-MX"/>
        </w:rPr>
      </w:pPr>
      <w:bookmarkStart w:id="3" w:name="_Hlk181093835"/>
      <w:r w:rsidRPr="0057582B">
        <w:rPr>
          <w:rFonts w:ascii="Times New Roman" w:hAnsi="Times New Roman"/>
          <w:bCs/>
          <w:lang w:val="es-MX"/>
        </w:rPr>
        <w:t xml:space="preserve">Los </w:t>
      </w:r>
      <w:r w:rsidR="00D4418D">
        <w:rPr>
          <w:rFonts w:ascii="Times New Roman" w:hAnsi="Times New Roman"/>
          <w:bCs/>
          <w:lang w:val="es-MX"/>
        </w:rPr>
        <w:t>CGPE</w:t>
      </w:r>
      <w:r w:rsidRPr="0057582B">
        <w:rPr>
          <w:rFonts w:ascii="Times New Roman" w:hAnsi="Times New Roman"/>
          <w:bCs/>
          <w:lang w:val="es-MX"/>
        </w:rPr>
        <w:t xml:space="preserve"> 202</w:t>
      </w:r>
      <w:r w:rsidR="00D4418D">
        <w:rPr>
          <w:rFonts w:ascii="Times New Roman" w:hAnsi="Times New Roman"/>
          <w:bCs/>
          <w:lang w:val="es-MX"/>
        </w:rPr>
        <w:t>6</w:t>
      </w:r>
      <w:r w:rsidR="00396C13" w:rsidRPr="0057582B">
        <w:rPr>
          <w:rFonts w:ascii="Times New Roman" w:hAnsi="Times New Roman"/>
          <w:bCs/>
          <w:lang w:val="es-MX"/>
        </w:rPr>
        <w:t>,</w:t>
      </w:r>
      <w:r w:rsidRPr="0057582B">
        <w:rPr>
          <w:rFonts w:ascii="Times New Roman" w:hAnsi="Times New Roman"/>
          <w:bCs/>
          <w:lang w:val="es-MX"/>
        </w:rPr>
        <w:t xml:space="preserve"> contienen las previsiones sobre</w:t>
      </w:r>
      <w:r w:rsidR="0081541B" w:rsidRPr="0057582B">
        <w:rPr>
          <w:rFonts w:ascii="Times New Roman" w:hAnsi="Times New Roman"/>
          <w:bCs/>
          <w:lang w:val="es-MX"/>
        </w:rPr>
        <w:t xml:space="preserve"> </w:t>
      </w:r>
      <w:r w:rsidRPr="0057582B">
        <w:rPr>
          <w:rFonts w:ascii="Times New Roman" w:hAnsi="Times New Roman"/>
          <w:bCs/>
          <w:lang w:val="es-MX"/>
        </w:rPr>
        <w:t>la evolución de la actividad económica y las finanzas públicas hacia el cierre de 202</w:t>
      </w:r>
      <w:r w:rsidR="00D4418D">
        <w:rPr>
          <w:rFonts w:ascii="Times New Roman" w:hAnsi="Times New Roman"/>
          <w:bCs/>
          <w:lang w:val="es-MX"/>
        </w:rPr>
        <w:t>5</w:t>
      </w:r>
      <w:r w:rsidRPr="0057582B">
        <w:rPr>
          <w:rFonts w:ascii="Times New Roman" w:hAnsi="Times New Roman"/>
          <w:bCs/>
          <w:lang w:val="es-MX"/>
        </w:rPr>
        <w:t xml:space="preserve"> y 202</w:t>
      </w:r>
      <w:r w:rsidR="00D4418D">
        <w:rPr>
          <w:rFonts w:ascii="Times New Roman" w:hAnsi="Times New Roman"/>
          <w:bCs/>
          <w:lang w:val="es-MX"/>
        </w:rPr>
        <w:t>6</w:t>
      </w:r>
      <w:r w:rsidRPr="0057582B">
        <w:rPr>
          <w:rFonts w:ascii="Times New Roman" w:hAnsi="Times New Roman"/>
          <w:bCs/>
          <w:lang w:val="es-MX"/>
        </w:rPr>
        <w:t>. Estas previsiones incorporan la contribución de distintas medidas de política económica cuyo propósito ha sido potenciar el crecimiento del país a través del fortalecimiento del mercado interno, reducir la desigualdad del ingreso entre la población y las regiones, así como fortalecer el posicionamiento de México como un destino atractivo para invertir.</w:t>
      </w:r>
      <w:bookmarkEnd w:id="3"/>
    </w:p>
    <w:p w14:paraId="564442AD" w14:textId="77777777" w:rsidR="00BD0BF7" w:rsidRPr="00FD37DE" w:rsidRDefault="00BD0BF7" w:rsidP="00BD0BF7">
      <w:pPr>
        <w:pStyle w:val="PRIMERAPLANA"/>
        <w:spacing w:line="360" w:lineRule="auto"/>
        <w:rPr>
          <w:rFonts w:ascii="Times New Roman" w:hAnsi="Times New Roman"/>
          <w:bCs/>
          <w:lang w:val="es-MX"/>
        </w:rPr>
      </w:pPr>
    </w:p>
    <w:p w14:paraId="26DF652E" w14:textId="184F1C9E" w:rsidR="00696753" w:rsidRPr="0057582B" w:rsidRDefault="00BD0BF7" w:rsidP="009C1CB9">
      <w:pPr>
        <w:pStyle w:val="PRIMERAPLANA"/>
        <w:numPr>
          <w:ilvl w:val="0"/>
          <w:numId w:val="23"/>
        </w:numPr>
        <w:spacing w:line="360" w:lineRule="auto"/>
        <w:ind w:left="426" w:hanging="426"/>
        <w:rPr>
          <w:rFonts w:ascii="Times New Roman" w:hAnsi="Times New Roman"/>
          <w:b/>
          <w:lang w:val="es-MX"/>
        </w:rPr>
      </w:pPr>
      <w:bookmarkStart w:id="4" w:name="_Hlk181093851"/>
      <w:r w:rsidRPr="0057582B">
        <w:rPr>
          <w:rFonts w:ascii="Times New Roman" w:hAnsi="Times New Roman"/>
          <w:b/>
          <w:lang w:val="es-MX"/>
        </w:rPr>
        <w:t>ENTORNO ECONÓMICO</w:t>
      </w:r>
      <w:r w:rsidR="00F50F07">
        <w:rPr>
          <w:rFonts w:ascii="Times New Roman" w:hAnsi="Times New Roman"/>
          <w:b/>
          <w:lang w:val="es-MX"/>
        </w:rPr>
        <w:t xml:space="preserve"> 2025</w:t>
      </w:r>
    </w:p>
    <w:bookmarkEnd w:id="4"/>
    <w:p w14:paraId="02C64AE3" w14:textId="77777777" w:rsidR="009C1CB9" w:rsidRPr="0057582B" w:rsidRDefault="009C1CB9" w:rsidP="009C1CB9">
      <w:pPr>
        <w:pStyle w:val="PRIMERAPLANA"/>
        <w:spacing w:line="360" w:lineRule="auto"/>
        <w:rPr>
          <w:rFonts w:ascii="Times New Roman" w:hAnsi="Times New Roman"/>
          <w:bCs/>
          <w:lang w:val="es-MX"/>
        </w:rPr>
      </w:pPr>
    </w:p>
    <w:p w14:paraId="402636C5" w14:textId="2A873A98" w:rsidR="00F50F07" w:rsidRDefault="00F50F07" w:rsidP="00F50F07">
      <w:pPr>
        <w:pStyle w:val="PRIMERAPLANA"/>
        <w:spacing w:line="360" w:lineRule="auto"/>
        <w:rPr>
          <w:rFonts w:ascii="Times New Roman" w:hAnsi="Times New Roman"/>
          <w:bCs/>
          <w:lang w:val="es-MX"/>
        </w:rPr>
      </w:pPr>
      <w:bookmarkStart w:id="5" w:name="_Hlk181093928"/>
      <w:r w:rsidRPr="00F50F07">
        <w:rPr>
          <w:rFonts w:ascii="Times New Roman" w:hAnsi="Times New Roman"/>
          <w:bCs/>
          <w:lang w:val="es-MX"/>
        </w:rPr>
        <w:lastRenderedPageBreak/>
        <w:t>Durante el primer semestre de 2025, la economía global mostró una moderación en su ritmo de</w:t>
      </w:r>
      <w:r>
        <w:rPr>
          <w:rFonts w:ascii="Times New Roman" w:hAnsi="Times New Roman"/>
          <w:bCs/>
          <w:lang w:val="es-MX"/>
        </w:rPr>
        <w:t xml:space="preserve"> </w:t>
      </w:r>
      <w:r w:rsidRPr="00F50F07">
        <w:rPr>
          <w:rFonts w:ascii="Times New Roman" w:hAnsi="Times New Roman"/>
          <w:bCs/>
          <w:lang w:val="es-MX"/>
        </w:rPr>
        <w:t>crecimiento, en un entorno caracterizado por elevada incertidumbre, tensiones comerciales y conflictos</w:t>
      </w:r>
      <w:r>
        <w:rPr>
          <w:rFonts w:ascii="Times New Roman" w:hAnsi="Times New Roman"/>
          <w:bCs/>
          <w:lang w:val="es-MX"/>
        </w:rPr>
        <w:t xml:space="preserve"> </w:t>
      </w:r>
      <w:r w:rsidRPr="00F50F07">
        <w:rPr>
          <w:rFonts w:ascii="Times New Roman" w:hAnsi="Times New Roman"/>
          <w:bCs/>
          <w:lang w:val="es-MX"/>
        </w:rPr>
        <w:t xml:space="preserve">geopolíticos. En </w:t>
      </w:r>
      <w:r w:rsidR="00CA3D2B">
        <w:rPr>
          <w:rFonts w:ascii="Times New Roman" w:hAnsi="Times New Roman"/>
          <w:bCs/>
          <w:lang w:val="es-MX"/>
        </w:rPr>
        <w:t>los Estados Unidos de Norteamérica (</w:t>
      </w:r>
      <w:r w:rsidRPr="00F50F07">
        <w:rPr>
          <w:rFonts w:ascii="Times New Roman" w:hAnsi="Times New Roman"/>
          <w:bCs/>
          <w:lang w:val="es-MX"/>
        </w:rPr>
        <w:t>EE.UU.</w:t>
      </w:r>
      <w:r w:rsidR="00CA3D2B">
        <w:rPr>
          <w:rFonts w:ascii="Times New Roman" w:hAnsi="Times New Roman"/>
          <w:bCs/>
          <w:lang w:val="es-MX"/>
        </w:rPr>
        <w:t>)</w:t>
      </w:r>
      <w:r w:rsidRPr="00F50F07">
        <w:rPr>
          <w:rFonts w:ascii="Times New Roman" w:hAnsi="Times New Roman"/>
          <w:bCs/>
          <w:lang w:val="es-MX"/>
        </w:rPr>
        <w:t xml:space="preserve">, el crecimiento anual del </w:t>
      </w:r>
      <w:r w:rsidR="00CA3D2B">
        <w:rPr>
          <w:rFonts w:ascii="Times New Roman" w:hAnsi="Times New Roman"/>
          <w:bCs/>
          <w:lang w:val="es-MX"/>
        </w:rPr>
        <w:t>Producto Interno Bruto (</w:t>
      </w:r>
      <w:r w:rsidRPr="00F50F07">
        <w:rPr>
          <w:rFonts w:ascii="Times New Roman" w:hAnsi="Times New Roman"/>
          <w:bCs/>
          <w:lang w:val="es-MX"/>
        </w:rPr>
        <w:t>PIB</w:t>
      </w:r>
      <w:r w:rsidR="00CA3D2B">
        <w:rPr>
          <w:rFonts w:ascii="Times New Roman" w:hAnsi="Times New Roman"/>
          <w:bCs/>
          <w:lang w:val="es-MX"/>
        </w:rPr>
        <w:t>)</w:t>
      </w:r>
      <w:r w:rsidRPr="00F50F07">
        <w:rPr>
          <w:rFonts w:ascii="Times New Roman" w:hAnsi="Times New Roman"/>
          <w:bCs/>
          <w:lang w:val="es-MX"/>
        </w:rPr>
        <w:t xml:space="preserve"> se desaceleró a 2.0%, desde el 2.6% observado en la</w:t>
      </w:r>
      <w:r>
        <w:rPr>
          <w:rFonts w:ascii="Times New Roman" w:hAnsi="Times New Roman"/>
          <w:bCs/>
          <w:lang w:val="es-MX"/>
        </w:rPr>
        <w:t xml:space="preserve"> </w:t>
      </w:r>
      <w:r w:rsidRPr="00F50F07">
        <w:rPr>
          <w:rFonts w:ascii="Times New Roman" w:hAnsi="Times New Roman"/>
          <w:bCs/>
          <w:lang w:val="es-MX"/>
        </w:rPr>
        <w:t>segunda mitad de 2024, como resultado de una menor demanda interna, en parte explicada por la mayor</w:t>
      </w:r>
      <w:r>
        <w:rPr>
          <w:rFonts w:ascii="Times New Roman" w:hAnsi="Times New Roman"/>
          <w:bCs/>
          <w:lang w:val="es-MX"/>
        </w:rPr>
        <w:t xml:space="preserve"> </w:t>
      </w:r>
      <w:r w:rsidRPr="00F50F07">
        <w:rPr>
          <w:rFonts w:ascii="Times New Roman" w:hAnsi="Times New Roman"/>
          <w:bCs/>
          <w:lang w:val="es-MX"/>
        </w:rPr>
        <w:t>cautela en hogares y empresas frente a la implementación de nuevas medidas arancelarias. En la zona</w:t>
      </w:r>
      <w:r>
        <w:rPr>
          <w:rFonts w:ascii="Times New Roman" w:hAnsi="Times New Roman"/>
          <w:bCs/>
          <w:lang w:val="es-MX"/>
        </w:rPr>
        <w:t xml:space="preserve"> </w:t>
      </w:r>
      <w:r w:rsidRPr="00F50F07">
        <w:rPr>
          <w:rFonts w:ascii="Times New Roman" w:hAnsi="Times New Roman"/>
          <w:bCs/>
          <w:lang w:val="es-MX"/>
        </w:rPr>
        <w:t>euro, la actividad económica permaneció débil, reflejando una baja demanda interna. Por su parte, China</w:t>
      </w:r>
      <w:r>
        <w:rPr>
          <w:rFonts w:ascii="Times New Roman" w:hAnsi="Times New Roman"/>
          <w:bCs/>
          <w:lang w:val="es-MX"/>
        </w:rPr>
        <w:t xml:space="preserve"> </w:t>
      </w:r>
      <w:r w:rsidRPr="00F50F07">
        <w:rPr>
          <w:rFonts w:ascii="Times New Roman" w:hAnsi="Times New Roman"/>
          <w:bCs/>
          <w:lang w:val="es-MX"/>
        </w:rPr>
        <w:t>registró un crecimiento moderado, pero resiliente, apoyado en un repunte de las exportaciones netas, así</w:t>
      </w:r>
      <w:r>
        <w:rPr>
          <w:rFonts w:ascii="Times New Roman" w:hAnsi="Times New Roman"/>
          <w:bCs/>
          <w:lang w:val="es-MX"/>
        </w:rPr>
        <w:t xml:space="preserve"> </w:t>
      </w:r>
      <w:r w:rsidRPr="00F50F07">
        <w:rPr>
          <w:rFonts w:ascii="Times New Roman" w:hAnsi="Times New Roman"/>
          <w:bCs/>
          <w:lang w:val="es-MX"/>
        </w:rPr>
        <w:t>como una política fiscal expansiva y monetaria acomodaticia.</w:t>
      </w:r>
    </w:p>
    <w:p w14:paraId="222008F4" w14:textId="77777777" w:rsidR="00F50F07" w:rsidRDefault="00F50F07" w:rsidP="009C1CB9">
      <w:pPr>
        <w:pStyle w:val="PRIMERAPLANA"/>
        <w:spacing w:line="360" w:lineRule="auto"/>
        <w:rPr>
          <w:rFonts w:ascii="Times New Roman" w:hAnsi="Times New Roman"/>
          <w:bCs/>
          <w:lang w:val="es-MX"/>
        </w:rPr>
      </w:pPr>
    </w:p>
    <w:p w14:paraId="39789A64" w14:textId="0F9D61DB" w:rsidR="00F50F07" w:rsidRDefault="00F50F07" w:rsidP="00F50F07">
      <w:pPr>
        <w:pStyle w:val="PRIMERAPLANA"/>
        <w:spacing w:line="360" w:lineRule="auto"/>
        <w:rPr>
          <w:rFonts w:ascii="Times New Roman" w:hAnsi="Times New Roman"/>
          <w:bCs/>
          <w:lang w:val="es-MX"/>
        </w:rPr>
      </w:pPr>
      <w:r w:rsidRPr="00F50F07">
        <w:rPr>
          <w:rFonts w:ascii="Times New Roman" w:hAnsi="Times New Roman"/>
          <w:bCs/>
          <w:lang w:val="es-MX"/>
        </w:rPr>
        <w:t>En los mercados internacionales, los precios de las materias primas experimentaron episodios de</w:t>
      </w:r>
      <w:r>
        <w:rPr>
          <w:rFonts w:ascii="Times New Roman" w:hAnsi="Times New Roman"/>
          <w:bCs/>
          <w:lang w:val="es-MX"/>
        </w:rPr>
        <w:t xml:space="preserve"> </w:t>
      </w:r>
      <w:r w:rsidRPr="00F50F07">
        <w:rPr>
          <w:rFonts w:ascii="Times New Roman" w:hAnsi="Times New Roman"/>
          <w:bCs/>
          <w:lang w:val="es-MX"/>
        </w:rPr>
        <w:t>volatilidad, en particular los precios de energéticos. El precio del crudo mantuvo una trayectoria</w:t>
      </w:r>
      <w:r>
        <w:rPr>
          <w:rFonts w:ascii="Times New Roman" w:hAnsi="Times New Roman"/>
          <w:bCs/>
          <w:lang w:val="es-MX"/>
        </w:rPr>
        <w:t xml:space="preserve"> </w:t>
      </w:r>
      <w:r w:rsidRPr="00F50F07">
        <w:rPr>
          <w:rFonts w:ascii="Times New Roman" w:hAnsi="Times New Roman"/>
          <w:bCs/>
          <w:lang w:val="es-MX"/>
        </w:rPr>
        <w:t>descendente, ante la percepción de una demanda global más débil y una mayor oferta por parte de la</w:t>
      </w:r>
      <w:r>
        <w:rPr>
          <w:rFonts w:ascii="Times New Roman" w:hAnsi="Times New Roman"/>
          <w:bCs/>
          <w:lang w:val="es-MX"/>
        </w:rPr>
        <w:t xml:space="preserve"> </w:t>
      </w:r>
      <w:r w:rsidRPr="00F50F07">
        <w:rPr>
          <w:rFonts w:ascii="Times New Roman" w:hAnsi="Times New Roman"/>
          <w:bCs/>
          <w:lang w:val="es-MX"/>
        </w:rPr>
        <w:t>Organización de Países Exportadores de Petróleo y sus aliados (OPEP+), a pesar del conflicto armado entre</w:t>
      </w:r>
      <w:r>
        <w:rPr>
          <w:rFonts w:ascii="Times New Roman" w:hAnsi="Times New Roman"/>
          <w:bCs/>
          <w:lang w:val="es-MX"/>
        </w:rPr>
        <w:t xml:space="preserve"> </w:t>
      </w:r>
      <w:r w:rsidRPr="00F50F07">
        <w:rPr>
          <w:rFonts w:ascii="Times New Roman" w:hAnsi="Times New Roman"/>
          <w:bCs/>
          <w:lang w:val="es-MX"/>
        </w:rPr>
        <w:t>Israel e Irán ocurrido en junio que presionó los precios al alza. En contraste, los precios del acero, aluminio</w:t>
      </w:r>
      <w:r>
        <w:rPr>
          <w:rFonts w:ascii="Times New Roman" w:hAnsi="Times New Roman"/>
          <w:bCs/>
          <w:lang w:val="es-MX"/>
        </w:rPr>
        <w:t xml:space="preserve"> </w:t>
      </w:r>
      <w:r w:rsidRPr="00F50F07">
        <w:rPr>
          <w:rFonts w:ascii="Times New Roman" w:hAnsi="Times New Roman"/>
          <w:bCs/>
          <w:lang w:val="es-MX"/>
        </w:rPr>
        <w:t>y oro aumentaron, reflejando la intensificación de las tensiones comerciales y geopolíticas.</w:t>
      </w:r>
    </w:p>
    <w:p w14:paraId="271D16DC" w14:textId="77777777" w:rsidR="00F50F07" w:rsidRDefault="00F50F07" w:rsidP="009C1CB9">
      <w:pPr>
        <w:pStyle w:val="PRIMERAPLANA"/>
        <w:spacing w:line="360" w:lineRule="auto"/>
        <w:rPr>
          <w:rFonts w:ascii="Times New Roman" w:hAnsi="Times New Roman"/>
          <w:bCs/>
          <w:lang w:val="es-MX"/>
        </w:rPr>
      </w:pPr>
    </w:p>
    <w:p w14:paraId="61003C7A" w14:textId="20DFA353" w:rsidR="00F50F07" w:rsidRDefault="00F50F07" w:rsidP="00F50F07">
      <w:pPr>
        <w:pStyle w:val="PRIMERAPLANA"/>
        <w:spacing w:line="360" w:lineRule="auto"/>
        <w:rPr>
          <w:rFonts w:ascii="Times New Roman" w:hAnsi="Times New Roman"/>
          <w:bCs/>
          <w:lang w:val="es-MX"/>
        </w:rPr>
      </w:pPr>
      <w:r w:rsidRPr="00F50F07">
        <w:rPr>
          <w:rFonts w:ascii="Times New Roman" w:hAnsi="Times New Roman"/>
          <w:bCs/>
          <w:lang w:val="es-MX"/>
        </w:rPr>
        <w:t>En el ámbito monetario, la mayoría de los bancos centrales continuó con un proceso gradual de</w:t>
      </w:r>
      <w:r>
        <w:rPr>
          <w:rFonts w:ascii="Times New Roman" w:hAnsi="Times New Roman"/>
          <w:bCs/>
          <w:lang w:val="es-MX"/>
        </w:rPr>
        <w:t xml:space="preserve"> </w:t>
      </w:r>
      <w:r w:rsidRPr="00F50F07">
        <w:rPr>
          <w:rFonts w:ascii="Times New Roman" w:hAnsi="Times New Roman"/>
          <w:bCs/>
          <w:lang w:val="es-MX"/>
        </w:rPr>
        <w:t>relajamiento, en un entorno de menores presiones inflacionarias pero alta incertidumbre. En EE.UU., la</w:t>
      </w:r>
      <w:r>
        <w:rPr>
          <w:rFonts w:ascii="Times New Roman" w:hAnsi="Times New Roman"/>
          <w:bCs/>
          <w:lang w:val="es-MX"/>
        </w:rPr>
        <w:t xml:space="preserve"> </w:t>
      </w:r>
      <w:bookmarkStart w:id="6" w:name="_Hlk211604351"/>
      <w:r w:rsidRPr="00F50F07">
        <w:rPr>
          <w:rFonts w:ascii="Times New Roman" w:hAnsi="Times New Roman"/>
          <w:bCs/>
          <w:lang w:val="es-MX"/>
        </w:rPr>
        <w:t xml:space="preserve">Reserva Federal (FED) mantuvo sin cambios el rango objetivo para la tasa de fondos federales </w:t>
      </w:r>
      <w:bookmarkEnd w:id="6"/>
      <w:r w:rsidRPr="00F50F07">
        <w:rPr>
          <w:rFonts w:ascii="Times New Roman" w:hAnsi="Times New Roman"/>
          <w:bCs/>
          <w:lang w:val="es-MX"/>
        </w:rPr>
        <w:t>en</w:t>
      </w:r>
      <w:r w:rsidR="00032FE0">
        <w:rPr>
          <w:rFonts w:ascii="Times New Roman" w:hAnsi="Times New Roman"/>
          <w:bCs/>
          <w:lang w:val="es-MX"/>
        </w:rPr>
        <w:t>tre</w:t>
      </w:r>
      <w:r w:rsidRPr="00F50F07">
        <w:rPr>
          <w:rFonts w:ascii="Times New Roman" w:hAnsi="Times New Roman"/>
          <w:bCs/>
          <w:lang w:val="es-MX"/>
        </w:rPr>
        <w:t xml:space="preserve"> 4.25</w:t>
      </w:r>
      <w:r w:rsidR="00CA3D2B">
        <w:rPr>
          <w:rFonts w:ascii="Times New Roman" w:hAnsi="Times New Roman"/>
          <w:bCs/>
          <w:lang w:val="es-MX"/>
        </w:rPr>
        <w:t>%</w:t>
      </w:r>
      <w:r w:rsidR="00032FE0">
        <w:rPr>
          <w:rFonts w:ascii="Times New Roman" w:hAnsi="Times New Roman"/>
          <w:bCs/>
          <w:lang w:val="es-MX"/>
        </w:rPr>
        <w:t xml:space="preserve"> y </w:t>
      </w:r>
      <w:r w:rsidRPr="00F50F07">
        <w:rPr>
          <w:rFonts w:ascii="Times New Roman" w:hAnsi="Times New Roman"/>
          <w:bCs/>
          <w:lang w:val="es-MX"/>
        </w:rPr>
        <w:t>4.50%,</w:t>
      </w:r>
      <w:r>
        <w:rPr>
          <w:rFonts w:ascii="Times New Roman" w:hAnsi="Times New Roman"/>
          <w:bCs/>
          <w:lang w:val="es-MX"/>
        </w:rPr>
        <w:t xml:space="preserve"> </w:t>
      </w:r>
      <w:r w:rsidRPr="00F50F07">
        <w:rPr>
          <w:rFonts w:ascii="Times New Roman" w:hAnsi="Times New Roman"/>
          <w:bCs/>
          <w:lang w:val="es-MX"/>
        </w:rPr>
        <w:t>a</w:t>
      </w:r>
      <w:r>
        <w:rPr>
          <w:rFonts w:ascii="Times New Roman" w:hAnsi="Times New Roman"/>
          <w:bCs/>
          <w:lang w:val="es-MX"/>
        </w:rPr>
        <w:t xml:space="preserve"> </w:t>
      </w:r>
      <w:r w:rsidRPr="00F50F07">
        <w:rPr>
          <w:rFonts w:ascii="Times New Roman" w:hAnsi="Times New Roman"/>
          <w:bCs/>
          <w:lang w:val="es-MX"/>
        </w:rPr>
        <w:t>la</w:t>
      </w:r>
      <w:r>
        <w:rPr>
          <w:rFonts w:ascii="Times New Roman" w:hAnsi="Times New Roman"/>
          <w:bCs/>
          <w:lang w:val="es-MX"/>
        </w:rPr>
        <w:t xml:space="preserve"> </w:t>
      </w:r>
      <w:r w:rsidRPr="00F50F07">
        <w:rPr>
          <w:rFonts w:ascii="Times New Roman" w:hAnsi="Times New Roman"/>
          <w:bCs/>
          <w:lang w:val="es-MX"/>
        </w:rPr>
        <w:t>espera</w:t>
      </w:r>
      <w:r>
        <w:rPr>
          <w:rFonts w:ascii="Times New Roman" w:hAnsi="Times New Roman"/>
          <w:bCs/>
          <w:lang w:val="es-MX"/>
        </w:rPr>
        <w:t xml:space="preserve"> </w:t>
      </w:r>
      <w:r w:rsidRPr="00F50F07">
        <w:rPr>
          <w:rFonts w:ascii="Times New Roman" w:hAnsi="Times New Roman"/>
          <w:bCs/>
          <w:lang w:val="es-MX"/>
        </w:rPr>
        <w:t>de</w:t>
      </w:r>
      <w:r>
        <w:rPr>
          <w:rFonts w:ascii="Times New Roman" w:hAnsi="Times New Roman"/>
          <w:bCs/>
          <w:lang w:val="es-MX"/>
        </w:rPr>
        <w:t xml:space="preserve"> </w:t>
      </w:r>
      <w:r w:rsidRPr="00F50F07">
        <w:rPr>
          <w:rFonts w:ascii="Times New Roman" w:hAnsi="Times New Roman"/>
          <w:bCs/>
          <w:lang w:val="es-MX"/>
        </w:rPr>
        <w:t>mayor</w:t>
      </w:r>
      <w:r>
        <w:rPr>
          <w:rFonts w:ascii="Times New Roman" w:hAnsi="Times New Roman"/>
          <w:bCs/>
          <w:lang w:val="es-MX"/>
        </w:rPr>
        <w:t xml:space="preserve"> </w:t>
      </w:r>
      <w:r w:rsidRPr="00F50F07">
        <w:rPr>
          <w:rFonts w:ascii="Times New Roman" w:hAnsi="Times New Roman"/>
          <w:bCs/>
          <w:lang w:val="es-MX"/>
        </w:rPr>
        <w:t>claridad</w:t>
      </w:r>
      <w:r>
        <w:rPr>
          <w:rFonts w:ascii="Times New Roman" w:hAnsi="Times New Roman"/>
          <w:bCs/>
          <w:lang w:val="es-MX"/>
        </w:rPr>
        <w:t xml:space="preserve"> </w:t>
      </w:r>
      <w:r w:rsidRPr="00F50F07">
        <w:rPr>
          <w:rFonts w:ascii="Times New Roman" w:hAnsi="Times New Roman"/>
          <w:bCs/>
          <w:lang w:val="es-MX"/>
        </w:rPr>
        <w:t>sobre</w:t>
      </w:r>
      <w:r>
        <w:rPr>
          <w:rFonts w:ascii="Times New Roman" w:hAnsi="Times New Roman"/>
          <w:bCs/>
          <w:lang w:val="es-MX"/>
        </w:rPr>
        <w:t xml:space="preserve"> </w:t>
      </w:r>
      <w:r w:rsidRPr="00F50F07">
        <w:rPr>
          <w:rFonts w:ascii="Times New Roman" w:hAnsi="Times New Roman"/>
          <w:bCs/>
          <w:lang w:val="es-MX"/>
        </w:rPr>
        <w:t>los</w:t>
      </w:r>
      <w:r>
        <w:rPr>
          <w:rFonts w:ascii="Times New Roman" w:hAnsi="Times New Roman"/>
          <w:bCs/>
          <w:lang w:val="es-MX"/>
        </w:rPr>
        <w:t xml:space="preserve"> </w:t>
      </w:r>
      <w:r w:rsidRPr="00F50F07">
        <w:rPr>
          <w:rFonts w:ascii="Times New Roman" w:hAnsi="Times New Roman"/>
          <w:bCs/>
          <w:lang w:val="es-MX"/>
        </w:rPr>
        <w:t>efectos</w:t>
      </w:r>
      <w:r>
        <w:rPr>
          <w:rFonts w:ascii="Times New Roman" w:hAnsi="Times New Roman"/>
          <w:bCs/>
          <w:lang w:val="es-MX"/>
        </w:rPr>
        <w:t xml:space="preserve"> </w:t>
      </w:r>
      <w:r w:rsidRPr="00F50F07">
        <w:rPr>
          <w:rFonts w:ascii="Times New Roman" w:hAnsi="Times New Roman"/>
          <w:bCs/>
          <w:lang w:val="es-MX"/>
        </w:rPr>
        <w:t>de</w:t>
      </w:r>
      <w:r>
        <w:rPr>
          <w:rFonts w:ascii="Times New Roman" w:hAnsi="Times New Roman"/>
          <w:bCs/>
          <w:lang w:val="es-MX"/>
        </w:rPr>
        <w:t xml:space="preserve"> </w:t>
      </w:r>
      <w:r w:rsidRPr="00F50F07">
        <w:rPr>
          <w:rFonts w:ascii="Times New Roman" w:hAnsi="Times New Roman"/>
          <w:bCs/>
          <w:lang w:val="es-MX"/>
        </w:rPr>
        <w:t>los</w:t>
      </w:r>
      <w:r>
        <w:rPr>
          <w:rFonts w:ascii="Times New Roman" w:hAnsi="Times New Roman"/>
          <w:bCs/>
          <w:lang w:val="es-MX"/>
        </w:rPr>
        <w:t xml:space="preserve"> a</w:t>
      </w:r>
      <w:r w:rsidRPr="00F50F07">
        <w:rPr>
          <w:rFonts w:ascii="Times New Roman" w:hAnsi="Times New Roman"/>
          <w:bCs/>
          <w:lang w:val="es-MX"/>
        </w:rPr>
        <w:t>ranceles</w:t>
      </w:r>
      <w:r>
        <w:rPr>
          <w:rFonts w:ascii="Times New Roman" w:hAnsi="Times New Roman"/>
          <w:bCs/>
          <w:lang w:val="es-MX"/>
        </w:rPr>
        <w:t xml:space="preserve"> </w:t>
      </w:r>
      <w:r w:rsidRPr="00F50F07">
        <w:rPr>
          <w:rFonts w:ascii="Times New Roman" w:hAnsi="Times New Roman"/>
          <w:bCs/>
          <w:lang w:val="es-MX"/>
        </w:rPr>
        <w:t>en</w:t>
      </w:r>
      <w:r>
        <w:rPr>
          <w:rFonts w:ascii="Times New Roman" w:hAnsi="Times New Roman"/>
          <w:bCs/>
          <w:lang w:val="es-MX"/>
        </w:rPr>
        <w:t xml:space="preserve"> </w:t>
      </w:r>
      <w:r w:rsidRPr="00F50F07">
        <w:rPr>
          <w:rFonts w:ascii="Times New Roman" w:hAnsi="Times New Roman"/>
          <w:bCs/>
          <w:lang w:val="es-MX"/>
        </w:rPr>
        <w:t>la</w:t>
      </w:r>
      <w:r>
        <w:rPr>
          <w:rFonts w:ascii="Times New Roman" w:hAnsi="Times New Roman"/>
          <w:bCs/>
          <w:lang w:val="es-MX"/>
        </w:rPr>
        <w:t xml:space="preserve"> </w:t>
      </w:r>
      <w:r w:rsidRPr="00F50F07">
        <w:rPr>
          <w:rFonts w:ascii="Times New Roman" w:hAnsi="Times New Roman"/>
          <w:bCs/>
          <w:lang w:val="es-MX"/>
        </w:rPr>
        <w:t>actividad económica y la</w:t>
      </w:r>
      <w:r>
        <w:rPr>
          <w:rFonts w:ascii="Times New Roman" w:hAnsi="Times New Roman"/>
          <w:bCs/>
          <w:lang w:val="es-MX"/>
        </w:rPr>
        <w:t xml:space="preserve"> </w:t>
      </w:r>
      <w:r w:rsidRPr="00F50F07">
        <w:rPr>
          <w:rFonts w:ascii="Times New Roman" w:hAnsi="Times New Roman"/>
          <w:bCs/>
          <w:lang w:val="es-MX"/>
        </w:rPr>
        <w:t>inflación.</w:t>
      </w:r>
    </w:p>
    <w:p w14:paraId="2EA72408" w14:textId="77777777" w:rsidR="00F50F07" w:rsidRDefault="00F50F07" w:rsidP="009C1CB9">
      <w:pPr>
        <w:pStyle w:val="PRIMERAPLANA"/>
        <w:spacing w:line="360" w:lineRule="auto"/>
        <w:rPr>
          <w:rFonts w:ascii="Times New Roman" w:hAnsi="Times New Roman"/>
          <w:bCs/>
          <w:lang w:val="es-MX"/>
        </w:rPr>
      </w:pPr>
    </w:p>
    <w:p w14:paraId="674597C8" w14:textId="3A18599D" w:rsidR="00F50F07" w:rsidRDefault="00496C2E" w:rsidP="00496C2E">
      <w:pPr>
        <w:pStyle w:val="PRIMERAPLANA"/>
        <w:spacing w:line="360" w:lineRule="auto"/>
        <w:rPr>
          <w:rFonts w:ascii="Times New Roman" w:hAnsi="Times New Roman"/>
          <w:bCs/>
          <w:lang w:val="es-MX"/>
        </w:rPr>
      </w:pPr>
      <w:r w:rsidRPr="00496C2E">
        <w:rPr>
          <w:rFonts w:ascii="Times New Roman" w:hAnsi="Times New Roman"/>
          <w:bCs/>
          <w:lang w:val="es-MX"/>
        </w:rPr>
        <w:t>La inflación global continuó su trayectoria descendente en 2025, aunque con heterogeneidad entre</w:t>
      </w:r>
      <w:r>
        <w:rPr>
          <w:rFonts w:ascii="Times New Roman" w:hAnsi="Times New Roman"/>
          <w:bCs/>
          <w:lang w:val="es-MX"/>
        </w:rPr>
        <w:t xml:space="preserve"> </w:t>
      </w:r>
      <w:r w:rsidRPr="00496C2E">
        <w:rPr>
          <w:rFonts w:ascii="Times New Roman" w:hAnsi="Times New Roman"/>
          <w:bCs/>
          <w:lang w:val="es-MX"/>
        </w:rPr>
        <w:t>países.</w:t>
      </w:r>
      <w:r>
        <w:rPr>
          <w:rFonts w:ascii="Times New Roman" w:hAnsi="Times New Roman"/>
          <w:bCs/>
          <w:lang w:val="es-MX"/>
        </w:rPr>
        <w:t xml:space="preserve"> </w:t>
      </w:r>
      <w:r w:rsidRPr="00496C2E">
        <w:rPr>
          <w:rFonts w:ascii="Times New Roman" w:hAnsi="Times New Roman"/>
          <w:bCs/>
          <w:lang w:val="es-MX"/>
        </w:rPr>
        <w:t>En la zona euro, la inflación general anual disminuyó de 2.5</w:t>
      </w:r>
      <w:r w:rsidR="00CA3D2B">
        <w:rPr>
          <w:rFonts w:ascii="Times New Roman" w:hAnsi="Times New Roman"/>
          <w:bCs/>
          <w:lang w:val="es-MX"/>
        </w:rPr>
        <w:t>%</w:t>
      </w:r>
      <w:r w:rsidRPr="00496C2E">
        <w:rPr>
          <w:rFonts w:ascii="Times New Roman" w:hAnsi="Times New Roman"/>
          <w:bCs/>
          <w:lang w:val="es-MX"/>
        </w:rPr>
        <w:t xml:space="preserve"> a 2.0% entre enero y julio, en línea</w:t>
      </w:r>
      <w:r>
        <w:rPr>
          <w:rFonts w:ascii="Times New Roman" w:hAnsi="Times New Roman"/>
          <w:bCs/>
          <w:lang w:val="es-MX"/>
        </w:rPr>
        <w:t xml:space="preserve"> </w:t>
      </w:r>
      <w:r w:rsidRPr="00496C2E">
        <w:rPr>
          <w:rFonts w:ascii="Times New Roman" w:hAnsi="Times New Roman"/>
          <w:bCs/>
          <w:lang w:val="es-MX"/>
        </w:rPr>
        <w:t>con el objetivo del Banco Central Europeo (BCE), resultado de una mayor deflación en energéticos y de</w:t>
      </w:r>
      <w:r>
        <w:rPr>
          <w:rFonts w:ascii="Times New Roman" w:hAnsi="Times New Roman"/>
          <w:bCs/>
          <w:lang w:val="es-MX"/>
        </w:rPr>
        <w:t xml:space="preserve"> </w:t>
      </w:r>
      <w:r w:rsidRPr="00496C2E">
        <w:rPr>
          <w:rFonts w:ascii="Times New Roman" w:hAnsi="Times New Roman"/>
          <w:bCs/>
          <w:lang w:val="es-MX"/>
        </w:rPr>
        <w:t xml:space="preserve">una </w:t>
      </w:r>
      <w:r w:rsidRPr="00496C2E">
        <w:rPr>
          <w:rFonts w:ascii="Times New Roman" w:hAnsi="Times New Roman"/>
          <w:bCs/>
          <w:lang w:val="es-MX"/>
        </w:rPr>
        <w:lastRenderedPageBreak/>
        <w:t>disminución en la inflación subyacente, que pasó de 2.7</w:t>
      </w:r>
      <w:r w:rsidR="00CA3D2B">
        <w:rPr>
          <w:rFonts w:ascii="Times New Roman" w:hAnsi="Times New Roman"/>
          <w:bCs/>
          <w:lang w:val="es-MX"/>
        </w:rPr>
        <w:t>%</w:t>
      </w:r>
      <w:r w:rsidRPr="00496C2E">
        <w:rPr>
          <w:rFonts w:ascii="Times New Roman" w:hAnsi="Times New Roman"/>
          <w:bCs/>
          <w:lang w:val="es-MX"/>
        </w:rPr>
        <w:t xml:space="preserve"> a 2.3%. Por su parte, China registró deflación</w:t>
      </w:r>
      <w:r>
        <w:rPr>
          <w:rFonts w:ascii="Times New Roman" w:hAnsi="Times New Roman"/>
          <w:bCs/>
          <w:lang w:val="es-MX"/>
        </w:rPr>
        <w:t xml:space="preserve"> </w:t>
      </w:r>
      <w:r w:rsidRPr="00496C2E">
        <w:rPr>
          <w:rFonts w:ascii="Times New Roman" w:hAnsi="Times New Roman"/>
          <w:bCs/>
          <w:lang w:val="es-MX"/>
        </w:rPr>
        <w:t>persistente por debilidad en la demanda interna, con caídas en los precios de alimentos, comunicación y</w:t>
      </w:r>
      <w:r>
        <w:rPr>
          <w:rFonts w:ascii="Times New Roman" w:hAnsi="Times New Roman"/>
          <w:bCs/>
          <w:lang w:val="es-MX"/>
        </w:rPr>
        <w:t xml:space="preserve"> </w:t>
      </w:r>
      <w:r w:rsidRPr="00496C2E">
        <w:rPr>
          <w:rFonts w:ascii="Times New Roman" w:hAnsi="Times New Roman"/>
          <w:bCs/>
          <w:lang w:val="es-MX"/>
        </w:rPr>
        <w:t>transporte.</w:t>
      </w:r>
    </w:p>
    <w:p w14:paraId="11378554" w14:textId="77777777" w:rsidR="00F50F07" w:rsidRDefault="00F50F07" w:rsidP="009C1CB9">
      <w:pPr>
        <w:pStyle w:val="PRIMERAPLANA"/>
        <w:spacing w:line="360" w:lineRule="auto"/>
        <w:rPr>
          <w:rFonts w:ascii="Times New Roman" w:hAnsi="Times New Roman"/>
          <w:bCs/>
          <w:lang w:val="es-MX"/>
        </w:rPr>
      </w:pPr>
    </w:p>
    <w:p w14:paraId="5465E54D" w14:textId="2EB61C62" w:rsidR="00496C2E" w:rsidRPr="00496C2E" w:rsidRDefault="00496C2E" w:rsidP="00496C2E">
      <w:pPr>
        <w:pStyle w:val="PRIMERAPLANA"/>
        <w:spacing w:line="360" w:lineRule="auto"/>
        <w:rPr>
          <w:rFonts w:ascii="Times New Roman" w:hAnsi="Times New Roman"/>
          <w:bCs/>
          <w:lang w:val="es-MX"/>
        </w:rPr>
      </w:pPr>
      <w:r w:rsidRPr="00496C2E">
        <w:rPr>
          <w:rFonts w:ascii="Times New Roman" w:hAnsi="Times New Roman"/>
          <w:bCs/>
          <w:lang w:val="es-MX"/>
        </w:rPr>
        <w:t>Se prevé que el crecimiento global se moderará en la segunda mitad del año, aunque con mayor resiliencia</w:t>
      </w:r>
      <w:r>
        <w:rPr>
          <w:rFonts w:ascii="Times New Roman" w:hAnsi="Times New Roman"/>
          <w:bCs/>
          <w:lang w:val="es-MX"/>
        </w:rPr>
        <w:t xml:space="preserve"> </w:t>
      </w:r>
      <w:r w:rsidRPr="00496C2E">
        <w:rPr>
          <w:rFonts w:ascii="Times New Roman" w:hAnsi="Times New Roman"/>
          <w:bCs/>
          <w:lang w:val="es-MX"/>
        </w:rPr>
        <w:t>que la estimada en abril. Este desempeño estaría sustentado por el avance en negociaciones comerciales</w:t>
      </w:r>
      <w:r>
        <w:rPr>
          <w:rFonts w:ascii="Times New Roman" w:hAnsi="Times New Roman"/>
          <w:bCs/>
          <w:lang w:val="es-MX"/>
        </w:rPr>
        <w:t xml:space="preserve"> </w:t>
      </w:r>
      <w:r w:rsidRPr="00496C2E">
        <w:rPr>
          <w:rFonts w:ascii="Times New Roman" w:hAnsi="Times New Roman"/>
          <w:bCs/>
          <w:lang w:val="es-MX"/>
        </w:rPr>
        <w:t>con EE.UU., una mejora gradual del comercio de bienes y servicios, un arancel efectivo promedio menor</w:t>
      </w:r>
      <w:r>
        <w:rPr>
          <w:rFonts w:ascii="Times New Roman" w:hAnsi="Times New Roman"/>
          <w:bCs/>
          <w:lang w:val="es-MX"/>
        </w:rPr>
        <w:t xml:space="preserve"> </w:t>
      </w:r>
      <w:r w:rsidRPr="00496C2E">
        <w:rPr>
          <w:rFonts w:ascii="Times New Roman" w:hAnsi="Times New Roman"/>
          <w:bCs/>
          <w:lang w:val="es-MX"/>
        </w:rPr>
        <w:t>al inicialmente anticipado y condiciones financieras más favorables. Las proyecciones recientes reflejan</w:t>
      </w:r>
      <w:r>
        <w:rPr>
          <w:rFonts w:ascii="Times New Roman" w:hAnsi="Times New Roman"/>
          <w:bCs/>
          <w:lang w:val="es-MX"/>
        </w:rPr>
        <w:t xml:space="preserve"> </w:t>
      </w:r>
      <w:r w:rsidRPr="00496C2E">
        <w:rPr>
          <w:rFonts w:ascii="Times New Roman" w:hAnsi="Times New Roman"/>
          <w:bCs/>
          <w:lang w:val="es-MX"/>
        </w:rPr>
        <w:t>revisiones al alza para EE.UU., la zona euro y China por parte del Fondo Monetario Internacional (FMI) en</w:t>
      </w:r>
      <w:r>
        <w:rPr>
          <w:rFonts w:ascii="Times New Roman" w:hAnsi="Times New Roman"/>
          <w:bCs/>
          <w:lang w:val="es-MX"/>
        </w:rPr>
        <w:t xml:space="preserve"> </w:t>
      </w:r>
      <w:r w:rsidRPr="00496C2E">
        <w:rPr>
          <w:rFonts w:ascii="Times New Roman" w:hAnsi="Times New Roman"/>
          <w:bCs/>
          <w:lang w:val="es-MX"/>
        </w:rPr>
        <w:t xml:space="preserve">su actualización de julio, mientras que la </w:t>
      </w:r>
      <w:r w:rsidR="000E473A">
        <w:rPr>
          <w:rFonts w:ascii="Times New Roman" w:hAnsi="Times New Roman"/>
          <w:bCs/>
          <w:lang w:val="es-MX"/>
        </w:rPr>
        <w:t>Organización Mundial de Comercio (</w:t>
      </w:r>
      <w:r w:rsidRPr="00496C2E">
        <w:rPr>
          <w:rFonts w:ascii="Times New Roman" w:hAnsi="Times New Roman"/>
          <w:bCs/>
          <w:lang w:val="es-MX"/>
        </w:rPr>
        <w:t>OMC</w:t>
      </w:r>
      <w:r w:rsidR="000E473A">
        <w:rPr>
          <w:rFonts w:ascii="Times New Roman" w:hAnsi="Times New Roman"/>
          <w:bCs/>
          <w:lang w:val="es-MX"/>
        </w:rPr>
        <w:t>)</w:t>
      </w:r>
      <w:r w:rsidRPr="00496C2E">
        <w:rPr>
          <w:rFonts w:ascii="Times New Roman" w:hAnsi="Times New Roman"/>
          <w:bCs/>
          <w:lang w:val="es-MX"/>
        </w:rPr>
        <w:t xml:space="preserve"> ajustó las perspectivas de comercio mundial para 2025 a</w:t>
      </w:r>
      <w:r>
        <w:rPr>
          <w:rFonts w:ascii="Times New Roman" w:hAnsi="Times New Roman"/>
          <w:bCs/>
          <w:lang w:val="es-MX"/>
        </w:rPr>
        <w:t xml:space="preserve"> </w:t>
      </w:r>
      <w:r w:rsidRPr="00496C2E">
        <w:rPr>
          <w:rFonts w:ascii="Times New Roman" w:hAnsi="Times New Roman"/>
          <w:bCs/>
          <w:lang w:val="es-MX"/>
        </w:rPr>
        <w:t>una expansión de 0.9% anual, desde una contracción de 0.2% prevista en abril, en un contexto de</w:t>
      </w:r>
      <w:r>
        <w:rPr>
          <w:rFonts w:ascii="Times New Roman" w:hAnsi="Times New Roman"/>
          <w:bCs/>
          <w:lang w:val="es-MX"/>
        </w:rPr>
        <w:t xml:space="preserve"> </w:t>
      </w:r>
      <w:r w:rsidRPr="00496C2E">
        <w:rPr>
          <w:rFonts w:ascii="Times New Roman" w:hAnsi="Times New Roman"/>
          <w:bCs/>
          <w:lang w:val="es-MX"/>
        </w:rPr>
        <w:t>normalización parcial de cadenas de suministro, costos de flete más bajos que en 2024 y cierta</w:t>
      </w:r>
      <w:r>
        <w:rPr>
          <w:rFonts w:ascii="Times New Roman" w:hAnsi="Times New Roman"/>
          <w:bCs/>
          <w:lang w:val="es-MX"/>
        </w:rPr>
        <w:t xml:space="preserve"> </w:t>
      </w:r>
      <w:r w:rsidRPr="00496C2E">
        <w:rPr>
          <w:rFonts w:ascii="Times New Roman" w:hAnsi="Times New Roman"/>
          <w:bCs/>
          <w:lang w:val="es-MX"/>
        </w:rPr>
        <w:t xml:space="preserve">estabilización de los tiempos de entrega. </w:t>
      </w:r>
    </w:p>
    <w:p w14:paraId="624AF4DD" w14:textId="77777777" w:rsidR="00496C2E" w:rsidRDefault="00496C2E" w:rsidP="00496C2E">
      <w:pPr>
        <w:pStyle w:val="PRIMERAPLANA"/>
        <w:spacing w:line="360" w:lineRule="auto"/>
        <w:rPr>
          <w:rFonts w:ascii="Times New Roman" w:hAnsi="Times New Roman"/>
          <w:bCs/>
          <w:lang w:val="es-MX"/>
        </w:rPr>
      </w:pPr>
    </w:p>
    <w:p w14:paraId="1EFDF45D" w14:textId="77777777" w:rsidR="00FA18A9" w:rsidRDefault="00496C2E" w:rsidP="00496C2E">
      <w:pPr>
        <w:pStyle w:val="PRIMERAPLANA"/>
        <w:spacing w:line="360" w:lineRule="auto"/>
        <w:rPr>
          <w:rFonts w:ascii="Times New Roman" w:hAnsi="Times New Roman"/>
          <w:bCs/>
          <w:lang w:val="es-MX"/>
        </w:rPr>
      </w:pPr>
      <w:r w:rsidRPr="00496C2E">
        <w:rPr>
          <w:rFonts w:ascii="Times New Roman" w:hAnsi="Times New Roman"/>
          <w:bCs/>
          <w:lang w:val="es-MX"/>
        </w:rPr>
        <w:t>El sesgo de crecimiento sigue siendo heterogéneo entre regiones y sectores. Las economías avanzadas</w:t>
      </w:r>
      <w:r>
        <w:rPr>
          <w:rFonts w:ascii="Times New Roman" w:hAnsi="Times New Roman"/>
          <w:bCs/>
          <w:lang w:val="es-MX"/>
        </w:rPr>
        <w:t xml:space="preserve"> </w:t>
      </w:r>
      <w:r w:rsidRPr="00496C2E">
        <w:rPr>
          <w:rFonts w:ascii="Times New Roman" w:hAnsi="Times New Roman"/>
          <w:bCs/>
          <w:lang w:val="es-MX"/>
        </w:rPr>
        <w:t>muestran mayor tracción en servicios, particularmente tecnología y servicios financieros, con</w:t>
      </w:r>
      <w:r>
        <w:rPr>
          <w:rFonts w:ascii="Times New Roman" w:hAnsi="Times New Roman"/>
          <w:bCs/>
          <w:lang w:val="es-MX"/>
        </w:rPr>
        <w:t xml:space="preserve"> </w:t>
      </w:r>
      <w:r w:rsidRPr="00496C2E">
        <w:rPr>
          <w:rFonts w:ascii="Times New Roman" w:hAnsi="Times New Roman"/>
          <w:bCs/>
          <w:lang w:val="es-MX"/>
        </w:rPr>
        <w:t>manufacturas recuperándose gradualmente por reabastecimiento de inventarios y menores costos de</w:t>
      </w:r>
      <w:r>
        <w:rPr>
          <w:rFonts w:ascii="Times New Roman" w:hAnsi="Times New Roman"/>
          <w:bCs/>
          <w:lang w:val="es-MX"/>
        </w:rPr>
        <w:t xml:space="preserve"> </w:t>
      </w:r>
      <w:r w:rsidRPr="00496C2E">
        <w:rPr>
          <w:rFonts w:ascii="Times New Roman" w:hAnsi="Times New Roman"/>
          <w:bCs/>
          <w:lang w:val="es-MX"/>
        </w:rPr>
        <w:t xml:space="preserve">transporte, aunque aún afectadas por la incertidumbre arancelaria. </w:t>
      </w:r>
    </w:p>
    <w:p w14:paraId="4B1C11DC" w14:textId="77777777" w:rsidR="00FA18A9" w:rsidRDefault="00FA18A9" w:rsidP="00496C2E">
      <w:pPr>
        <w:pStyle w:val="PRIMERAPLANA"/>
        <w:spacing w:line="360" w:lineRule="auto"/>
        <w:rPr>
          <w:rFonts w:ascii="Times New Roman" w:hAnsi="Times New Roman"/>
          <w:bCs/>
          <w:lang w:val="es-MX"/>
        </w:rPr>
      </w:pPr>
    </w:p>
    <w:p w14:paraId="6FE160E0" w14:textId="0F94660F" w:rsidR="00F50F07" w:rsidRDefault="00496C2E" w:rsidP="00496C2E">
      <w:pPr>
        <w:pStyle w:val="PRIMERAPLANA"/>
        <w:spacing w:line="360" w:lineRule="auto"/>
        <w:rPr>
          <w:rFonts w:ascii="Times New Roman" w:hAnsi="Times New Roman"/>
          <w:bCs/>
          <w:lang w:val="es-MX"/>
        </w:rPr>
      </w:pPr>
      <w:r w:rsidRPr="00496C2E">
        <w:rPr>
          <w:rFonts w:ascii="Times New Roman" w:hAnsi="Times New Roman"/>
          <w:bCs/>
          <w:lang w:val="es-MX"/>
        </w:rPr>
        <w:t>En economías emergentes, Asia,</w:t>
      </w:r>
      <w:r>
        <w:rPr>
          <w:rFonts w:ascii="Times New Roman" w:hAnsi="Times New Roman"/>
          <w:bCs/>
          <w:lang w:val="es-MX"/>
        </w:rPr>
        <w:t xml:space="preserve"> </w:t>
      </w:r>
      <w:r w:rsidRPr="00496C2E">
        <w:rPr>
          <w:rFonts w:ascii="Times New Roman" w:hAnsi="Times New Roman"/>
          <w:bCs/>
          <w:lang w:val="es-MX"/>
        </w:rPr>
        <w:t>excluyendo China, lideró el comercio en electrónica y maquinaria, mientras que América Latina moderó</w:t>
      </w:r>
      <w:r>
        <w:rPr>
          <w:rFonts w:ascii="Times New Roman" w:hAnsi="Times New Roman"/>
          <w:bCs/>
          <w:lang w:val="es-MX"/>
        </w:rPr>
        <w:t xml:space="preserve"> </w:t>
      </w:r>
      <w:r w:rsidRPr="00496C2E">
        <w:rPr>
          <w:rFonts w:ascii="Times New Roman" w:hAnsi="Times New Roman"/>
          <w:bCs/>
          <w:lang w:val="es-MX"/>
        </w:rPr>
        <w:t>su crecimiento por condiciones financieras todavía restrictivas y menor impulso de precios de materias</w:t>
      </w:r>
      <w:r>
        <w:rPr>
          <w:rFonts w:ascii="Times New Roman" w:hAnsi="Times New Roman"/>
          <w:bCs/>
          <w:lang w:val="es-MX"/>
        </w:rPr>
        <w:t xml:space="preserve"> </w:t>
      </w:r>
      <w:r w:rsidRPr="00496C2E">
        <w:rPr>
          <w:rFonts w:ascii="Times New Roman" w:hAnsi="Times New Roman"/>
          <w:bCs/>
          <w:lang w:val="es-MX"/>
        </w:rPr>
        <w:t>primas. Europa emergente, por su parte, enfrenta un arrastre por la debilidad de su demanda externa.</w:t>
      </w:r>
      <w:r>
        <w:rPr>
          <w:rFonts w:ascii="Times New Roman" w:hAnsi="Times New Roman"/>
          <w:bCs/>
          <w:lang w:val="es-MX"/>
        </w:rPr>
        <w:t xml:space="preserve"> </w:t>
      </w:r>
      <w:r w:rsidRPr="00496C2E">
        <w:rPr>
          <w:rFonts w:ascii="Times New Roman" w:hAnsi="Times New Roman"/>
          <w:bCs/>
          <w:lang w:val="es-MX"/>
        </w:rPr>
        <w:t xml:space="preserve">Pese a todo, la inversión global se apoya en tendencias estructurales de relocalización, </w:t>
      </w:r>
      <w:r w:rsidRPr="00496C2E">
        <w:rPr>
          <w:rFonts w:ascii="Times New Roman" w:hAnsi="Times New Roman"/>
          <w:bCs/>
          <w:lang w:val="es-MX"/>
        </w:rPr>
        <w:lastRenderedPageBreak/>
        <w:t>digitalización y</w:t>
      </w:r>
      <w:r>
        <w:rPr>
          <w:rFonts w:ascii="Times New Roman" w:hAnsi="Times New Roman"/>
          <w:bCs/>
          <w:lang w:val="es-MX"/>
        </w:rPr>
        <w:t xml:space="preserve"> </w:t>
      </w:r>
      <w:r w:rsidRPr="00496C2E">
        <w:rPr>
          <w:rFonts w:ascii="Times New Roman" w:hAnsi="Times New Roman"/>
          <w:bCs/>
          <w:lang w:val="es-MX"/>
        </w:rPr>
        <w:t>transición energética, pero su materialización sería desigual por brechas de infraestructura, costos de</w:t>
      </w:r>
      <w:r>
        <w:rPr>
          <w:rFonts w:ascii="Times New Roman" w:hAnsi="Times New Roman"/>
          <w:bCs/>
          <w:lang w:val="es-MX"/>
        </w:rPr>
        <w:t xml:space="preserve"> </w:t>
      </w:r>
      <w:r w:rsidRPr="00496C2E">
        <w:rPr>
          <w:rFonts w:ascii="Times New Roman" w:hAnsi="Times New Roman"/>
          <w:bCs/>
          <w:lang w:val="es-MX"/>
        </w:rPr>
        <w:t>capital y claridad regulatoria.</w:t>
      </w:r>
    </w:p>
    <w:p w14:paraId="3EDB5E5C" w14:textId="77777777" w:rsidR="00F50F07" w:rsidRDefault="00F50F07" w:rsidP="009C1CB9">
      <w:pPr>
        <w:pStyle w:val="PRIMERAPLANA"/>
        <w:spacing w:line="360" w:lineRule="auto"/>
        <w:rPr>
          <w:rFonts w:ascii="Times New Roman" w:hAnsi="Times New Roman"/>
          <w:bCs/>
          <w:lang w:val="es-MX"/>
        </w:rPr>
      </w:pPr>
    </w:p>
    <w:p w14:paraId="58904166" w14:textId="214F8490" w:rsidR="00F50F07" w:rsidRDefault="00F34EF4" w:rsidP="00496C2E">
      <w:pPr>
        <w:pStyle w:val="PRIMERAPLANA"/>
        <w:spacing w:line="360" w:lineRule="auto"/>
        <w:rPr>
          <w:rFonts w:ascii="Times New Roman" w:hAnsi="Times New Roman"/>
          <w:bCs/>
          <w:lang w:val="es-MX"/>
        </w:rPr>
      </w:pPr>
      <w:r>
        <w:rPr>
          <w:rFonts w:ascii="Times New Roman" w:hAnsi="Times New Roman"/>
          <w:bCs/>
          <w:lang w:val="es-MX"/>
        </w:rPr>
        <w:t>L</w:t>
      </w:r>
      <w:r w:rsidR="00496C2E" w:rsidRPr="00496C2E">
        <w:rPr>
          <w:rFonts w:ascii="Times New Roman" w:hAnsi="Times New Roman"/>
          <w:bCs/>
          <w:lang w:val="es-MX"/>
        </w:rPr>
        <w:t>a política arancelaria implicará efectos heterogéneos y potencialmente más persistentes en EE.UU. y en</w:t>
      </w:r>
      <w:r>
        <w:rPr>
          <w:rFonts w:ascii="Times New Roman" w:hAnsi="Times New Roman"/>
          <w:bCs/>
          <w:lang w:val="es-MX"/>
        </w:rPr>
        <w:t xml:space="preserve"> </w:t>
      </w:r>
      <w:r w:rsidR="00496C2E" w:rsidRPr="00496C2E">
        <w:rPr>
          <w:rFonts w:ascii="Times New Roman" w:hAnsi="Times New Roman"/>
          <w:bCs/>
          <w:lang w:val="es-MX"/>
        </w:rPr>
        <w:t xml:space="preserve">economías con medidas </w:t>
      </w:r>
      <w:r w:rsidR="00032FE0">
        <w:rPr>
          <w:rFonts w:ascii="Times New Roman" w:hAnsi="Times New Roman"/>
          <w:bCs/>
          <w:lang w:val="es-MX"/>
        </w:rPr>
        <w:t>contrarias</w:t>
      </w:r>
      <w:r w:rsidR="00496C2E" w:rsidRPr="00496C2E">
        <w:rPr>
          <w:rFonts w:ascii="Times New Roman" w:hAnsi="Times New Roman"/>
          <w:bCs/>
          <w:lang w:val="es-MX"/>
        </w:rPr>
        <w:t>, vía mayores costos de importación, revisión de contratos y menor</w:t>
      </w:r>
      <w:r>
        <w:rPr>
          <w:rFonts w:ascii="Times New Roman" w:hAnsi="Times New Roman"/>
          <w:bCs/>
          <w:lang w:val="es-MX"/>
        </w:rPr>
        <w:t xml:space="preserve"> </w:t>
      </w:r>
      <w:r w:rsidR="00496C2E" w:rsidRPr="00496C2E">
        <w:rPr>
          <w:rFonts w:ascii="Times New Roman" w:hAnsi="Times New Roman"/>
          <w:bCs/>
          <w:lang w:val="es-MX"/>
        </w:rPr>
        <w:t>competencia; el traslado a precios podría ser más rápido en bienes transables y más lento en servicios.</w:t>
      </w:r>
      <w:r>
        <w:rPr>
          <w:rFonts w:ascii="Times New Roman" w:hAnsi="Times New Roman"/>
          <w:bCs/>
          <w:lang w:val="es-MX"/>
        </w:rPr>
        <w:t xml:space="preserve"> </w:t>
      </w:r>
      <w:r w:rsidR="00496C2E" w:rsidRPr="00496C2E">
        <w:rPr>
          <w:rFonts w:ascii="Times New Roman" w:hAnsi="Times New Roman"/>
          <w:bCs/>
          <w:lang w:val="es-MX"/>
        </w:rPr>
        <w:t>Además, se añaden los riesgos al alza por tensiones geopolíticas en Europa y Medio Oriente y por eventos</w:t>
      </w:r>
      <w:r>
        <w:rPr>
          <w:rFonts w:ascii="Times New Roman" w:hAnsi="Times New Roman"/>
          <w:bCs/>
          <w:lang w:val="es-MX"/>
        </w:rPr>
        <w:t xml:space="preserve"> </w:t>
      </w:r>
      <w:r w:rsidR="00496C2E" w:rsidRPr="00496C2E">
        <w:rPr>
          <w:rFonts w:ascii="Times New Roman" w:hAnsi="Times New Roman"/>
          <w:bCs/>
          <w:lang w:val="es-MX"/>
        </w:rPr>
        <w:t>climáticos que podrían afectar cosechas y logística, mientras que a la baja destacan una desaceleración</w:t>
      </w:r>
      <w:r>
        <w:rPr>
          <w:rFonts w:ascii="Times New Roman" w:hAnsi="Times New Roman"/>
          <w:bCs/>
          <w:lang w:val="es-MX"/>
        </w:rPr>
        <w:t xml:space="preserve"> </w:t>
      </w:r>
      <w:r w:rsidR="00496C2E" w:rsidRPr="00496C2E">
        <w:rPr>
          <w:rFonts w:ascii="Times New Roman" w:hAnsi="Times New Roman"/>
          <w:bCs/>
          <w:lang w:val="es-MX"/>
        </w:rPr>
        <w:t>más marcada de China o una corrección de activos de riesgo que endurezcan de forma abrupta las</w:t>
      </w:r>
      <w:r>
        <w:rPr>
          <w:rFonts w:ascii="Times New Roman" w:hAnsi="Times New Roman"/>
          <w:bCs/>
          <w:lang w:val="es-MX"/>
        </w:rPr>
        <w:t xml:space="preserve"> </w:t>
      </w:r>
      <w:r w:rsidR="00496C2E" w:rsidRPr="00496C2E">
        <w:rPr>
          <w:rFonts w:ascii="Times New Roman" w:hAnsi="Times New Roman"/>
          <w:bCs/>
          <w:lang w:val="es-MX"/>
        </w:rPr>
        <w:t>condiciones financieras.</w:t>
      </w:r>
    </w:p>
    <w:p w14:paraId="7B688716" w14:textId="77777777" w:rsidR="005B0395" w:rsidRDefault="005B0395" w:rsidP="00496C2E">
      <w:pPr>
        <w:pStyle w:val="PRIMERAPLANA"/>
        <w:spacing w:line="360" w:lineRule="auto"/>
        <w:rPr>
          <w:rFonts w:ascii="Times New Roman" w:hAnsi="Times New Roman"/>
          <w:bCs/>
          <w:lang w:val="es-MX"/>
        </w:rPr>
      </w:pPr>
    </w:p>
    <w:p w14:paraId="2B7C9CC4" w14:textId="43637109" w:rsidR="00F50F07" w:rsidRDefault="00F34EF4" w:rsidP="00F34EF4">
      <w:pPr>
        <w:pStyle w:val="PRIMERAPLANA"/>
        <w:spacing w:line="360" w:lineRule="auto"/>
        <w:rPr>
          <w:rFonts w:ascii="Times New Roman" w:hAnsi="Times New Roman"/>
          <w:bCs/>
          <w:lang w:val="es-MX"/>
        </w:rPr>
      </w:pPr>
      <w:r w:rsidRPr="00F34EF4">
        <w:rPr>
          <w:rFonts w:ascii="Times New Roman" w:hAnsi="Times New Roman"/>
          <w:bCs/>
          <w:lang w:val="es-MX"/>
        </w:rPr>
        <w:t>En 2025, la economía mexicana continuó con un desempeño positivo, pese a la incertidumbre sobre la</w:t>
      </w:r>
      <w:r>
        <w:rPr>
          <w:rFonts w:ascii="Times New Roman" w:hAnsi="Times New Roman"/>
          <w:bCs/>
          <w:lang w:val="es-MX"/>
        </w:rPr>
        <w:t xml:space="preserve"> </w:t>
      </w:r>
      <w:r w:rsidRPr="00F34EF4">
        <w:rPr>
          <w:rFonts w:ascii="Times New Roman" w:hAnsi="Times New Roman"/>
          <w:bCs/>
          <w:lang w:val="es-MX"/>
        </w:rPr>
        <w:t>política comercial a nivel global. Durante el primer semestre, la actividad económica creció 0.3% respecto</w:t>
      </w:r>
      <w:r>
        <w:rPr>
          <w:rFonts w:ascii="Times New Roman" w:hAnsi="Times New Roman"/>
          <w:bCs/>
          <w:lang w:val="es-MX"/>
        </w:rPr>
        <w:t xml:space="preserve"> </w:t>
      </w:r>
      <w:r w:rsidRPr="00F34EF4">
        <w:rPr>
          <w:rFonts w:ascii="Times New Roman" w:hAnsi="Times New Roman"/>
          <w:bCs/>
          <w:lang w:val="es-MX"/>
        </w:rPr>
        <w:t>al semestre previo y acumuló un crecimiento de 0.9% en el primer semestre, con cifras ajustadas por</w:t>
      </w:r>
      <w:r>
        <w:rPr>
          <w:rFonts w:ascii="Times New Roman" w:hAnsi="Times New Roman"/>
          <w:bCs/>
          <w:lang w:val="es-MX"/>
        </w:rPr>
        <w:t xml:space="preserve"> </w:t>
      </w:r>
      <w:r w:rsidRPr="00F34EF4">
        <w:rPr>
          <w:rFonts w:ascii="Times New Roman" w:hAnsi="Times New Roman"/>
          <w:bCs/>
          <w:lang w:val="es-MX"/>
        </w:rPr>
        <w:t>estacionalidad. En ambos trimestres, el desempeño económico superó las expectativas de los analistas y,</w:t>
      </w:r>
      <w:r>
        <w:rPr>
          <w:rFonts w:ascii="Times New Roman" w:hAnsi="Times New Roman"/>
          <w:bCs/>
          <w:lang w:val="es-MX"/>
        </w:rPr>
        <w:t xml:space="preserve"> </w:t>
      </w:r>
      <w:r w:rsidRPr="00F34EF4">
        <w:rPr>
          <w:rFonts w:ascii="Times New Roman" w:hAnsi="Times New Roman"/>
          <w:bCs/>
          <w:lang w:val="es-MX"/>
        </w:rPr>
        <w:t>en el segundo, registró un crecimiento superior al promedio de 2011 a 2019.</w:t>
      </w:r>
    </w:p>
    <w:p w14:paraId="240DAAF1" w14:textId="77777777" w:rsidR="00F34EF4" w:rsidRDefault="00F34EF4" w:rsidP="009C1CB9">
      <w:pPr>
        <w:pStyle w:val="PRIMERAPLANA"/>
        <w:spacing w:line="360" w:lineRule="auto"/>
        <w:rPr>
          <w:rFonts w:ascii="Times New Roman" w:hAnsi="Times New Roman"/>
          <w:bCs/>
          <w:lang w:val="es-MX"/>
        </w:rPr>
      </w:pPr>
    </w:p>
    <w:p w14:paraId="7B4AA8D1" w14:textId="60399509" w:rsidR="00F34EF4" w:rsidRDefault="00F34EF4" w:rsidP="00F34EF4">
      <w:pPr>
        <w:pStyle w:val="PRIMERAPLANA"/>
        <w:spacing w:line="360" w:lineRule="auto"/>
        <w:rPr>
          <w:rFonts w:ascii="Times New Roman" w:hAnsi="Times New Roman"/>
          <w:bCs/>
          <w:lang w:val="es-MX"/>
        </w:rPr>
      </w:pPr>
      <w:r>
        <w:rPr>
          <w:rFonts w:ascii="Times New Roman" w:hAnsi="Times New Roman"/>
          <w:bCs/>
          <w:lang w:val="es-MX"/>
        </w:rPr>
        <w:t>P</w:t>
      </w:r>
      <w:r w:rsidRPr="00F34EF4">
        <w:rPr>
          <w:rFonts w:ascii="Times New Roman" w:hAnsi="Times New Roman"/>
          <w:bCs/>
          <w:lang w:val="es-MX"/>
        </w:rPr>
        <w:t>ara el segundo semestre de 2025, se prevé que la actividad económica mantendrá un desempeño</w:t>
      </w:r>
      <w:r>
        <w:rPr>
          <w:rFonts w:ascii="Times New Roman" w:hAnsi="Times New Roman"/>
          <w:bCs/>
          <w:lang w:val="es-MX"/>
        </w:rPr>
        <w:t xml:space="preserve"> </w:t>
      </w:r>
      <w:r w:rsidRPr="00F34EF4">
        <w:rPr>
          <w:rFonts w:ascii="Times New Roman" w:hAnsi="Times New Roman"/>
          <w:bCs/>
          <w:lang w:val="es-MX"/>
        </w:rPr>
        <w:t>positivo, apoyada en la recuperación gradual de la demanda interna y la resiliencia de la demanda externa.</w:t>
      </w:r>
      <w:r>
        <w:rPr>
          <w:rFonts w:ascii="Times New Roman" w:hAnsi="Times New Roman"/>
          <w:bCs/>
          <w:lang w:val="es-MX"/>
        </w:rPr>
        <w:t xml:space="preserve"> </w:t>
      </w:r>
      <w:r w:rsidRPr="00F34EF4">
        <w:rPr>
          <w:rFonts w:ascii="Times New Roman" w:hAnsi="Times New Roman"/>
          <w:bCs/>
          <w:lang w:val="es-MX"/>
        </w:rPr>
        <w:t>El consumo retomará su dinamismo gracias al crecimiento sostenido del ingreso laboral y el ahorro</w:t>
      </w:r>
      <w:r>
        <w:rPr>
          <w:rFonts w:ascii="Times New Roman" w:hAnsi="Times New Roman"/>
          <w:bCs/>
          <w:lang w:val="es-MX"/>
        </w:rPr>
        <w:t xml:space="preserve"> </w:t>
      </w:r>
      <w:r w:rsidRPr="00F34EF4">
        <w:rPr>
          <w:rFonts w:ascii="Times New Roman" w:hAnsi="Times New Roman"/>
          <w:bCs/>
          <w:lang w:val="es-MX"/>
        </w:rPr>
        <w:t>doméstico, así como a la generación de empleo y la continuidad de programas sociales. Hacia finales de</w:t>
      </w:r>
      <w:r>
        <w:rPr>
          <w:rFonts w:ascii="Times New Roman" w:hAnsi="Times New Roman"/>
          <w:bCs/>
          <w:lang w:val="es-MX"/>
        </w:rPr>
        <w:t xml:space="preserve"> </w:t>
      </w:r>
      <w:r w:rsidRPr="00F34EF4">
        <w:rPr>
          <w:rFonts w:ascii="Times New Roman" w:hAnsi="Times New Roman"/>
          <w:bCs/>
          <w:lang w:val="es-MX"/>
        </w:rPr>
        <w:t>año se anticipa una reactivación de la inversión nacional, favorecida por un entorno global con mayor</w:t>
      </w:r>
      <w:r>
        <w:rPr>
          <w:rFonts w:ascii="Times New Roman" w:hAnsi="Times New Roman"/>
          <w:bCs/>
          <w:lang w:val="es-MX"/>
        </w:rPr>
        <w:t xml:space="preserve"> </w:t>
      </w:r>
      <w:r w:rsidRPr="00F34EF4">
        <w:rPr>
          <w:rFonts w:ascii="Times New Roman" w:hAnsi="Times New Roman"/>
          <w:bCs/>
          <w:lang w:val="es-MX"/>
        </w:rPr>
        <w:t>certidumbre, lo que beneficiará a los sectores más expuestos a cambios en la política comercial</w:t>
      </w:r>
      <w:r>
        <w:rPr>
          <w:rFonts w:ascii="Times New Roman" w:hAnsi="Times New Roman"/>
          <w:bCs/>
          <w:lang w:val="es-MX"/>
        </w:rPr>
        <w:t xml:space="preserve"> </w:t>
      </w:r>
      <w:r w:rsidRPr="00F34EF4">
        <w:rPr>
          <w:rFonts w:ascii="Times New Roman" w:hAnsi="Times New Roman"/>
          <w:bCs/>
          <w:lang w:val="es-MX"/>
        </w:rPr>
        <w:t>internacional. Las exportaciones contarán con el respaldo de la posición favorable de México frente a</w:t>
      </w:r>
      <w:r>
        <w:rPr>
          <w:rFonts w:ascii="Times New Roman" w:hAnsi="Times New Roman"/>
          <w:bCs/>
          <w:lang w:val="es-MX"/>
        </w:rPr>
        <w:t xml:space="preserve"> </w:t>
      </w:r>
      <w:r w:rsidRPr="00F34EF4">
        <w:rPr>
          <w:rFonts w:ascii="Times New Roman" w:hAnsi="Times New Roman"/>
          <w:bCs/>
          <w:lang w:val="es-MX"/>
        </w:rPr>
        <w:t>otros competidores comerciales y la mejora en las perspectivas de crecimiento de EE.UU.</w:t>
      </w:r>
    </w:p>
    <w:p w14:paraId="50F7E16E" w14:textId="77777777" w:rsidR="00F34EF4" w:rsidRDefault="00F34EF4" w:rsidP="009C1CB9">
      <w:pPr>
        <w:pStyle w:val="PRIMERAPLANA"/>
        <w:spacing w:line="360" w:lineRule="auto"/>
        <w:rPr>
          <w:rFonts w:ascii="Times New Roman" w:hAnsi="Times New Roman"/>
          <w:bCs/>
          <w:lang w:val="es-MX"/>
        </w:rPr>
      </w:pPr>
    </w:p>
    <w:p w14:paraId="40D523AA" w14:textId="15791AB9" w:rsidR="00F34EF4"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 xml:space="preserve">En el primer semestre de 2025, la cuenta corriente de la balanza de pagos registró un déficit de 11 </w:t>
      </w:r>
      <w:proofErr w:type="spellStart"/>
      <w:r w:rsidRPr="006C443D">
        <w:rPr>
          <w:rFonts w:ascii="Times New Roman" w:hAnsi="Times New Roman"/>
          <w:bCs/>
          <w:lang w:val="es-MX"/>
        </w:rPr>
        <w:t>mmd</w:t>
      </w:r>
      <w:proofErr w:type="spellEnd"/>
      <w:r w:rsidRPr="006C443D">
        <w:rPr>
          <w:rFonts w:ascii="Times New Roman" w:hAnsi="Times New Roman"/>
          <w:bCs/>
          <w:lang w:val="es-MX"/>
        </w:rPr>
        <w:t>,</w:t>
      </w:r>
      <w:r>
        <w:rPr>
          <w:rFonts w:ascii="Times New Roman" w:hAnsi="Times New Roman"/>
          <w:bCs/>
          <w:lang w:val="es-MX"/>
        </w:rPr>
        <w:t xml:space="preserve"> </w:t>
      </w:r>
      <w:r w:rsidRPr="006C443D">
        <w:rPr>
          <w:rFonts w:ascii="Times New Roman" w:hAnsi="Times New Roman"/>
          <w:bCs/>
          <w:lang w:val="es-MX"/>
        </w:rPr>
        <w:t>equivalente al 1.2% del PIB, lo que representó una reducción frente al déficit del mismo periodo de 2024.</w:t>
      </w:r>
      <w:r>
        <w:rPr>
          <w:rFonts w:ascii="Times New Roman" w:hAnsi="Times New Roman"/>
          <w:bCs/>
          <w:lang w:val="es-MX"/>
        </w:rPr>
        <w:t xml:space="preserve"> </w:t>
      </w:r>
      <w:r w:rsidRPr="006C443D">
        <w:rPr>
          <w:rFonts w:ascii="Times New Roman" w:hAnsi="Times New Roman"/>
          <w:bCs/>
          <w:lang w:val="es-MX"/>
        </w:rPr>
        <w:t>Este comportamiento obedeció a la conversión a un superávit en la balanza de bienes y servicios,</w:t>
      </w:r>
      <w:r>
        <w:rPr>
          <w:rFonts w:ascii="Times New Roman" w:hAnsi="Times New Roman"/>
          <w:bCs/>
          <w:lang w:val="es-MX"/>
        </w:rPr>
        <w:t xml:space="preserve"> </w:t>
      </w:r>
      <w:r w:rsidRPr="006C443D">
        <w:rPr>
          <w:rFonts w:ascii="Times New Roman" w:hAnsi="Times New Roman"/>
          <w:bCs/>
          <w:lang w:val="es-MX"/>
        </w:rPr>
        <w:t>explicado por un fuerte dinamismo en el superávit de la balanza no petrolera y un menor déficit en la</w:t>
      </w:r>
      <w:r>
        <w:rPr>
          <w:rFonts w:ascii="Times New Roman" w:hAnsi="Times New Roman"/>
          <w:bCs/>
          <w:lang w:val="es-MX"/>
        </w:rPr>
        <w:t xml:space="preserve"> </w:t>
      </w:r>
      <w:r w:rsidRPr="006C443D">
        <w:rPr>
          <w:rFonts w:ascii="Times New Roman" w:hAnsi="Times New Roman"/>
          <w:bCs/>
          <w:lang w:val="es-MX"/>
        </w:rPr>
        <w:t>balanza del ingreso primario. Estos elementos compensaron un mayor déficit en la balanza petrolera y un</w:t>
      </w:r>
      <w:r>
        <w:rPr>
          <w:rFonts w:ascii="Times New Roman" w:hAnsi="Times New Roman"/>
          <w:bCs/>
          <w:lang w:val="es-MX"/>
        </w:rPr>
        <w:t xml:space="preserve"> </w:t>
      </w:r>
      <w:r w:rsidRPr="006C443D">
        <w:rPr>
          <w:rFonts w:ascii="Times New Roman" w:hAnsi="Times New Roman"/>
          <w:bCs/>
          <w:lang w:val="es-MX"/>
        </w:rPr>
        <w:t>menor superávit en el ingreso secundario, resultado de una moderación en el flujo de las remesas.</w:t>
      </w:r>
    </w:p>
    <w:p w14:paraId="06DF2947" w14:textId="77777777" w:rsidR="00F34EF4" w:rsidRDefault="00F34EF4" w:rsidP="009C1CB9">
      <w:pPr>
        <w:pStyle w:val="PRIMERAPLANA"/>
        <w:spacing w:line="360" w:lineRule="auto"/>
        <w:rPr>
          <w:rFonts w:ascii="Times New Roman" w:hAnsi="Times New Roman"/>
          <w:bCs/>
          <w:lang w:val="es-MX"/>
        </w:rPr>
      </w:pPr>
    </w:p>
    <w:p w14:paraId="277CBB3F" w14:textId="1B6BB5D1" w:rsidR="00FA18A9"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Derivado de la evolución reciente y las perspectivas sectoriales, se estima que en 2025 el crecimiento de</w:t>
      </w:r>
      <w:r>
        <w:rPr>
          <w:rFonts w:ascii="Times New Roman" w:hAnsi="Times New Roman"/>
          <w:bCs/>
          <w:lang w:val="es-MX"/>
        </w:rPr>
        <w:t xml:space="preserve"> </w:t>
      </w:r>
      <w:r w:rsidRPr="006C443D">
        <w:rPr>
          <w:rFonts w:ascii="Times New Roman" w:hAnsi="Times New Roman"/>
          <w:bCs/>
          <w:lang w:val="es-MX"/>
        </w:rPr>
        <w:t>la economía mexicana se ubique en un rango de entre 0.5</w:t>
      </w:r>
      <w:r w:rsidR="000E473A">
        <w:rPr>
          <w:rFonts w:ascii="Times New Roman" w:hAnsi="Times New Roman"/>
          <w:bCs/>
          <w:lang w:val="es-MX"/>
        </w:rPr>
        <w:t>%</w:t>
      </w:r>
      <w:r w:rsidRPr="006C443D">
        <w:rPr>
          <w:rFonts w:ascii="Times New Roman" w:hAnsi="Times New Roman"/>
          <w:bCs/>
          <w:lang w:val="es-MX"/>
        </w:rPr>
        <w:t xml:space="preserve"> y 1.5% real anual. Esta estimación refleja la</w:t>
      </w:r>
      <w:r>
        <w:rPr>
          <w:rFonts w:ascii="Times New Roman" w:hAnsi="Times New Roman"/>
          <w:bCs/>
          <w:lang w:val="es-MX"/>
        </w:rPr>
        <w:t xml:space="preserve"> </w:t>
      </w:r>
      <w:r w:rsidRPr="006C443D">
        <w:rPr>
          <w:rFonts w:ascii="Times New Roman" w:hAnsi="Times New Roman"/>
          <w:bCs/>
          <w:lang w:val="es-MX"/>
        </w:rPr>
        <w:t>resiliencia del mercado interno, el dinamismo del sector externo y el fortalecimiento de la inversión hacia</w:t>
      </w:r>
      <w:r>
        <w:rPr>
          <w:rFonts w:ascii="Times New Roman" w:hAnsi="Times New Roman"/>
          <w:bCs/>
          <w:lang w:val="es-MX"/>
        </w:rPr>
        <w:t xml:space="preserve"> </w:t>
      </w:r>
      <w:r w:rsidRPr="006C443D">
        <w:rPr>
          <w:rFonts w:ascii="Times New Roman" w:hAnsi="Times New Roman"/>
          <w:bCs/>
          <w:lang w:val="es-MX"/>
        </w:rPr>
        <w:t>la segunda mitad del año.</w:t>
      </w:r>
      <w:r>
        <w:rPr>
          <w:rFonts w:ascii="Times New Roman" w:hAnsi="Times New Roman"/>
          <w:bCs/>
          <w:lang w:val="es-MX"/>
        </w:rPr>
        <w:t xml:space="preserve"> </w:t>
      </w:r>
      <w:r w:rsidRPr="006C443D">
        <w:rPr>
          <w:rFonts w:ascii="Times New Roman" w:hAnsi="Times New Roman"/>
          <w:bCs/>
          <w:lang w:val="es-MX"/>
        </w:rPr>
        <w:t>En materia de precios, se prevé que la inflación general mantendrá su tendencia descendente y cierre el</w:t>
      </w:r>
      <w:r>
        <w:rPr>
          <w:rFonts w:ascii="Times New Roman" w:hAnsi="Times New Roman"/>
          <w:bCs/>
          <w:lang w:val="es-MX"/>
        </w:rPr>
        <w:t xml:space="preserve"> </w:t>
      </w:r>
      <w:r w:rsidRPr="006C443D">
        <w:rPr>
          <w:rFonts w:ascii="Times New Roman" w:hAnsi="Times New Roman"/>
          <w:bCs/>
          <w:lang w:val="es-MX"/>
        </w:rPr>
        <w:t>año en 3.8% anual, aunque con presiones transitorias derivadas de la disipación del efecto base en frutas</w:t>
      </w:r>
      <w:r>
        <w:rPr>
          <w:rFonts w:ascii="Times New Roman" w:hAnsi="Times New Roman"/>
          <w:bCs/>
          <w:lang w:val="es-MX"/>
        </w:rPr>
        <w:t xml:space="preserve"> </w:t>
      </w:r>
      <w:r w:rsidRPr="006C443D">
        <w:rPr>
          <w:rFonts w:ascii="Times New Roman" w:hAnsi="Times New Roman"/>
          <w:bCs/>
          <w:lang w:val="es-MX"/>
        </w:rPr>
        <w:t xml:space="preserve">y verduras. </w:t>
      </w:r>
    </w:p>
    <w:p w14:paraId="5CAE8C94" w14:textId="77777777" w:rsidR="00FA18A9" w:rsidRDefault="00FA18A9" w:rsidP="006C443D">
      <w:pPr>
        <w:pStyle w:val="PRIMERAPLANA"/>
        <w:spacing w:line="360" w:lineRule="auto"/>
        <w:rPr>
          <w:rFonts w:ascii="Times New Roman" w:hAnsi="Times New Roman"/>
          <w:bCs/>
          <w:lang w:val="es-MX"/>
        </w:rPr>
      </w:pPr>
    </w:p>
    <w:p w14:paraId="244CF331" w14:textId="0430B421" w:rsidR="005B0395"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 xml:space="preserve">Esta proyección implica un incremento de 0.3 </w:t>
      </w:r>
      <w:r w:rsidR="000E473A">
        <w:rPr>
          <w:rFonts w:ascii="Times New Roman" w:hAnsi="Times New Roman"/>
          <w:bCs/>
          <w:lang w:val="es-MX"/>
        </w:rPr>
        <w:t>puntos porcentuales (</w:t>
      </w:r>
      <w:proofErr w:type="spellStart"/>
      <w:r w:rsidRPr="006C443D">
        <w:rPr>
          <w:rFonts w:ascii="Times New Roman" w:hAnsi="Times New Roman"/>
          <w:bCs/>
          <w:lang w:val="es-MX"/>
        </w:rPr>
        <w:t>pp</w:t>
      </w:r>
      <w:proofErr w:type="spellEnd"/>
      <w:r w:rsidR="000E473A">
        <w:rPr>
          <w:rFonts w:ascii="Times New Roman" w:hAnsi="Times New Roman"/>
          <w:bCs/>
          <w:lang w:val="es-MX"/>
        </w:rPr>
        <w:t>)</w:t>
      </w:r>
      <w:r w:rsidRPr="006C443D">
        <w:rPr>
          <w:rFonts w:ascii="Times New Roman" w:hAnsi="Times New Roman"/>
          <w:bCs/>
          <w:lang w:val="es-MX"/>
        </w:rPr>
        <w:t xml:space="preserve"> respecto a lo anticipado en el Paquete</w:t>
      </w:r>
      <w:r>
        <w:rPr>
          <w:rFonts w:ascii="Times New Roman" w:hAnsi="Times New Roman"/>
          <w:bCs/>
          <w:lang w:val="es-MX"/>
        </w:rPr>
        <w:t xml:space="preserve"> </w:t>
      </w:r>
      <w:r w:rsidRPr="006C443D">
        <w:rPr>
          <w:rFonts w:ascii="Times New Roman" w:hAnsi="Times New Roman"/>
          <w:bCs/>
          <w:lang w:val="es-MX"/>
        </w:rPr>
        <w:t>Económico 2025. En línea con ello, se anticipa que la tasa de interés de referencia del Banco de México</w:t>
      </w:r>
      <w:r>
        <w:rPr>
          <w:rFonts w:ascii="Times New Roman" w:hAnsi="Times New Roman"/>
          <w:bCs/>
          <w:lang w:val="es-MX"/>
        </w:rPr>
        <w:t xml:space="preserve"> </w:t>
      </w:r>
      <w:r w:rsidRPr="006C443D">
        <w:rPr>
          <w:rFonts w:ascii="Times New Roman" w:hAnsi="Times New Roman"/>
          <w:bCs/>
          <w:lang w:val="es-MX"/>
        </w:rPr>
        <w:t xml:space="preserve">cierre en 7.25%, 75 </w:t>
      </w:r>
      <w:r w:rsidR="000E473A">
        <w:rPr>
          <w:rFonts w:ascii="Times New Roman" w:hAnsi="Times New Roman"/>
          <w:bCs/>
          <w:lang w:val="es-MX"/>
        </w:rPr>
        <w:t>puntos base (</w:t>
      </w:r>
      <w:r w:rsidRPr="006C443D">
        <w:rPr>
          <w:rFonts w:ascii="Times New Roman" w:hAnsi="Times New Roman"/>
          <w:bCs/>
          <w:lang w:val="es-MX"/>
        </w:rPr>
        <w:t>pb</w:t>
      </w:r>
      <w:r w:rsidR="000E473A">
        <w:rPr>
          <w:rFonts w:ascii="Times New Roman" w:hAnsi="Times New Roman"/>
          <w:bCs/>
          <w:lang w:val="es-MX"/>
        </w:rPr>
        <w:t>)</w:t>
      </w:r>
      <w:r w:rsidRPr="006C443D">
        <w:rPr>
          <w:rFonts w:ascii="Times New Roman" w:hAnsi="Times New Roman"/>
          <w:bCs/>
          <w:lang w:val="es-MX"/>
        </w:rPr>
        <w:t xml:space="preserve"> por debajo de lo previsto originalmente.</w:t>
      </w:r>
      <w:r>
        <w:rPr>
          <w:rFonts w:ascii="Times New Roman" w:hAnsi="Times New Roman"/>
          <w:bCs/>
          <w:lang w:val="es-MX"/>
        </w:rPr>
        <w:t xml:space="preserve"> </w:t>
      </w:r>
      <w:r w:rsidRPr="006C443D">
        <w:rPr>
          <w:rFonts w:ascii="Times New Roman" w:hAnsi="Times New Roman"/>
          <w:bCs/>
          <w:lang w:val="es-MX"/>
        </w:rPr>
        <w:t>Se estima que el tipo de cambio cierre el año en 19.9 pesos por dólar, mayor al estimado en el Paquete</w:t>
      </w:r>
      <w:r>
        <w:rPr>
          <w:rFonts w:ascii="Times New Roman" w:hAnsi="Times New Roman"/>
          <w:bCs/>
          <w:lang w:val="es-MX"/>
        </w:rPr>
        <w:t xml:space="preserve"> </w:t>
      </w:r>
      <w:r w:rsidRPr="006C443D">
        <w:rPr>
          <w:rFonts w:ascii="Times New Roman" w:hAnsi="Times New Roman"/>
          <w:bCs/>
          <w:lang w:val="es-MX"/>
        </w:rPr>
        <w:t xml:space="preserve">Económico de 18.5 pesos por dólar, debido principalmente a la incertidumbre en materia comercial. </w:t>
      </w:r>
    </w:p>
    <w:p w14:paraId="08183C5D" w14:textId="77777777" w:rsidR="005B0395" w:rsidRDefault="005B0395" w:rsidP="006C443D">
      <w:pPr>
        <w:pStyle w:val="PRIMERAPLANA"/>
        <w:spacing w:line="360" w:lineRule="auto"/>
        <w:rPr>
          <w:rFonts w:ascii="Times New Roman" w:hAnsi="Times New Roman"/>
          <w:bCs/>
          <w:lang w:val="es-MX"/>
        </w:rPr>
      </w:pPr>
    </w:p>
    <w:p w14:paraId="41C5322B" w14:textId="7C14AD18" w:rsidR="00FA18A9"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No</w:t>
      </w:r>
      <w:r>
        <w:rPr>
          <w:rFonts w:ascii="Times New Roman" w:hAnsi="Times New Roman"/>
          <w:bCs/>
          <w:lang w:val="es-MX"/>
        </w:rPr>
        <w:t xml:space="preserve"> </w:t>
      </w:r>
      <w:r w:rsidRPr="006C443D">
        <w:rPr>
          <w:rFonts w:ascii="Times New Roman" w:hAnsi="Times New Roman"/>
          <w:bCs/>
          <w:lang w:val="es-MX"/>
        </w:rPr>
        <w:t>obstante, factores como un crecimiento más sólido de EE.UU., mayores rendimientos de los bonos del</w:t>
      </w:r>
      <w:r>
        <w:rPr>
          <w:rFonts w:ascii="Times New Roman" w:hAnsi="Times New Roman"/>
          <w:bCs/>
          <w:lang w:val="es-MX"/>
        </w:rPr>
        <w:t xml:space="preserve"> </w:t>
      </w:r>
      <w:r w:rsidRPr="006C443D">
        <w:rPr>
          <w:rFonts w:ascii="Times New Roman" w:hAnsi="Times New Roman"/>
          <w:bCs/>
          <w:lang w:val="es-MX"/>
        </w:rPr>
        <w:t>Tesoro o un aumento en la aversión global al riesgo podrían ejercer presiones adicionales.</w:t>
      </w:r>
      <w:r>
        <w:rPr>
          <w:rFonts w:ascii="Times New Roman" w:hAnsi="Times New Roman"/>
          <w:bCs/>
          <w:lang w:val="es-MX"/>
        </w:rPr>
        <w:t xml:space="preserve"> </w:t>
      </w:r>
      <w:r w:rsidRPr="006C443D">
        <w:rPr>
          <w:rFonts w:ascii="Times New Roman" w:hAnsi="Times New Roman"/>
          <w:bCs/>
          <w:lang w:val="es-MX"/>
        </w:rPr>
        <w:t>En la balanza de pagos, se proyecta un déficit de cuenta corriente de 0.3% del PIB, inferior al previsto</w:t>
      </w:r>
      <w:r>
        <w:rPr>
          <w:rFonts w:ascii="Times New Roman" w:hAnsi="Times New Roman"/>
          <w:bCs/>
          <w:lang w:val="es-MX"/>
        </w:rPr>
        <w:t xml:space="preserve"> </w:t>
      </w:r>
      <w:r w:rsidRPr="006C443D">
        <w:rPr>
          <w:rFonts w:ascii="Times New Roman" w:hAnsi="Times New Roman"/>
          <w:bCs/>
          <w:lang w:val="es-MX"/>
        </w:rPr>
        <w:t xml:space="preserve">originalmente, </w:t>
      </w:r>
      <w:r w:rsidRPr="006C443D">
        <w:rPr>
          <w:rFonts w:ascii="Times New Roman" w:hAnsi="Times New Roman"/>
          <w:bCs/>
          <w:lang w:val="es-MX"/>
        </w:rPr>
        <w:lastRenderedPageBreak/>
        <w:t>explicado por una mejora en la balanza de servicios y un mayor superávit en la balanza no</w:t>
      </w:r>
      <w:r>
        <w:rPr>
          <w:rFonts w:ascii="Times New Roman" w:hAnsi="Times New Roman"/>
          <w:bCs/>
          <w:lang w:val="es-MX"/>
        </w:rPr>
        <w:t xml:space="preserve"> </w:t>
      </w:r>
      <w:r w:rsidRPr="006C443D">
        <w:rPr>
          <w:rFonts w:ascii="Times New Roman" w:hAnsi="Times New Roman"/>
          <w:bCs/>
          <w:lang w:val="es-MX"/>
        </w:rPr>
        <w:t>petrolera, lo cual compensará la ampliación del déficit petrolero y la moderación en el ingreso secundario.</w:t>
      </w:r>
      <w:r>
        <w:rPr>
          <w:rFonts w:ascii="Times New Roman" w:hAnsi="Times New Roman"/>
          <w:bCs/>
          <w:lang w:val="es-MX"/>
        </w:rPr>
        <w:t xml:space="preserve"> </w:t>
      </w:r>
      <w:r w:rsidRPr="006C443D">
        <w:rPr>
          <w:rFonts w:ascii="Times New Roman" w:hAnsi="Times New Roman"/>
          <w:bCs/>
          <w:lang w:val="es-MX"/>
        </w:rPr>
        <w:t xml:space="preserve">En cuanto al mercado petrolero, se estima un precio promedio para la </w:t>
      </w:r>
      <w:r w:rsidR="000E473A">
        <w:rPr>
          <w:rFonts w:ascii="Times New Roman" w:hAnsi="Times New Roman"/>
          <w:bCs/>
          <w:lang w:val="es-MX"/>
        </w:rPr>
        <w:t>Mezcla Mexicana de Exportación (</w:t>
      </w:r>
      <w:r w:rsidRPr="006C443D">
        <w:rPr>
          <w:rFonts w:ascii="Times New Roman" w:hAnsi="Times New Roman"/>
          <w:bCs/>
          <w:lang w:val="es-MX"/>
        </w:rPr>
        <w:t>MME</w:t>
      </w:r>
      <w:r w:rsidR="000E473A">
        <w:rPr>
          <w:rFonts w:ascii="Times New Roman" w:hAnsi="Times New Roman"/>
          <w:bCs/>
          <w:lang w:val="es-MX"/>
        </w:rPr>
        <w:t>)</w:t>
      </w:r>
      <w:r w:rsidRPr="006C443D">
        <w:rPr>
          <w:rFonts w:ascii="Times New Roman" w:hAnsi="Times New Roman"/>
          <w:bCs/>
          <w:lang w:val="es-MX"/>
        </w:rPr>
        <w:t xml:space="preserve"> de 62.0 </w:t>
      </w:r>
      <w:r w:rsidR="000E473A">
        <w:rPr>
          <w:rFonts w:ascii="Times New Roman" w:hAnsi="Times New Roman"/>
          <w:bCs/>
          <w:lang w:val="es-MX"/>
        </w:rPr>
        <w:t>dólares por barril (</w:t>
      </w:r>
      <w:r w:rsidRPr="006C443D">
        <w:rPr>
          <w:rFonts w:ascii="Times New Roman" w:hAnsi="Times New Roman"/>
          <w:bCs/>
          <w:lang w:val="es-MX"/>
        </w:rPr>
        <w:t>dpb</w:t>
      </w:r>
      <w:r w:rsidR="000E473A">
        <w:rPr>
          <w:rFonts w:ascii="Times New Roman" w:hAnsi="Times New Roman"/>
          <w:bCs/>
          <w:lang w:val="es-MX"/>
        </w:rPr>
        <w:t>)</w:t>
      </w:r>
      <w:r w:rsidRPr="006C443D">
        <w:rPr>
          <w:rFonts w:ascii="Times New Roman" w:hAnsi="Times New Roman"/>
          <w:bCs/>
          <w:lang w:val="es-MX"/>
        </w:rPr>
        <w:t>, en línea con los</w:t>
      </w:r>
      <w:r>
        <w:rPr>
          <w:rFonts w:ascii="Times New Roman" w:hAnsi="Times New Roman"/>
          <w:bCs/>
          <w:lang w:val="es-MX"/>
        </w:rPr>
        <w:t xml:space="preserve"> </w:t>
      </w:r>
      <w:r w:rsidRPr="006C443D">
        <w:rPr>
          <w:rFonts w:ascii="Times New Roman" w:hAnsi="Times New Roman"/>
          <w:bCs/>
          <w:lang w:val="es-MX"/>
        </w:rPr>
        <w:t>mercados de futuros y la evolución reciente de los precios internacionales.</w:t>
      </w:r>
    </w:p>
    <w:p w14:paraId="56237FFC" w14:textId="77777777" w:rsidR="00FA18A9" w:rsidRDefault="00FA18A9" w:rsidP="006C443D">
      <w:pPr>
        <w:pStyle w:val="PRIMERAPLANA"/>
        <w:spacing w:line="360" w:lineRule="auto"/>
        <w:rPr>
          <w:rFonts w:ascii="Times New Roman" w:hAnsi="Times New Roman"/>
          <w:bCs/>
          <w:lang w:val="es-MX"/>
        </w:rPr>
      </w:pPr>
    </w:p>
    <w:p w14:paraId="24F28C05" w14:textId="4522765C" w:rsidR="00F34EF4"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La expectativa es que el precio</w:t>
      </w:r>
      <w:r>
        <w:rPr>
          <w:rFonts w:ascii="Times New Roman" w:hAnsi="Times New Roman"/>
          <w:bCs/>
          <w:lang w:val="es-MX"/>
        </w:rPr>
        <w:t xml:space="preserve"> </w:t>
      </w:r>
      <w:r w:rsidRPr="006C443D">
        <w:rPr>
          <w:rFonts w:ascii="Times New Roman" w:hAnsi="Times New Roman"/>
          <w:bCs/>
          <w:lang w:val="es-MX"/>
        </w:rPr>
        <w:t xml:space="preserve">se mantenga estable ante la combinación de una mayor producción global </w:t>
      </w:r>
      <w:r w:rsidR="00032FE0">
        <w:rPr>
          <w:rFonts w:ascii="Times New Roman" w:hAnsi="Times New Roman"/>
          <w:bCs/>
          <w:lang w:val="es-MX"/>
        </w:rPr>
        <w:t>(</w:t>
      </w:r>
      <w:r w:rsidRPr="006C443D">
        <w:rPr>
          <w:rFonts w:ascii="Times New Roman" w:hAnsi="Times New Roman"/>
          <w:bCs/>
          <w:lang w:val="es-MX"/>
        </w:rPr>
        <w:t>particularmente por la</w:t>
      </w:r>
      <w:r>
        <w:rPr>
          <w:rFonts w:ascii="Times New Roman" w:hAnsi="Times New Roman"/>
          <w:bCs/>
          <w:lang w:val="es-MX"/>
        </w:rPr>
        <w:t xml:space="preserve"> </w:t>
      </w:r>
      <w:r w:rsidRPr="006C443D">
        <w:rPr>
          <w:rFonts w:ascii="Times New Roman" w:hAnsi="Times New Roman"/>
          <w:bCs/>
          <w:lang w:val="es-MX"/>
        </w:rPr>
        <w:t>OPEP+</w:t>
      </w:r>
      <w:r w:rsidR="00032FE0">
        <w:rPr>
          <w:rFonts w:ascii="Times New Roman" w:hAnsi="Times New Roman"/>
          <w:bCs/>
          <w:lang w:val="es-MX"/>
        </w:rPr>
        <w:t>)</w:t>
      </w:r>
      <w:r w:rsidRPr="006C443D">
        <w:rPr>
          <w:rFonts w:ascii="Times New Roman" w:hAnsi="Times New Roman"/>
          <w:bCs/>
          <w:lang w:val="es-MX"/>
        </w:rPr>
        <w:t xml:space="preserve"> y una demanda sujeta a riesgos geopolíticos y comerciales. Se prevé un aumento en la oferta</w:t>
      </w:r>
      <w:r>
        <w:rPr>
          <w:rFonts w:ascii="Times New Roman" w:hAnsi="Times New Roman"/>
          <w:bCs/>
          <w:lang w:val="es-MX"/>
        </w:rPr>
        <w:t xml:space="preserve"> </w:t>
      </w:r>
      <w:r w:rsidRPr="006C443D">
        <w:rPr>
          <w:rFonts w:ascii="Times New Roman" w:hAnsi="Times New Roman"/>
          <w:bCs/>
          <w:lang w:val="es-MX"/>
        </w:rPr>
        <w:t>global de petróleo de 2.0 millones de barriles diarios (</w:t>
      </w:r>
      <w:proofErr w:type="spellStart"/>
      <w:r w:rsidRPr="006C443D">
        <w:rPr>
          <w:rFonts w:ascii="Times New Roman" w:hAnsi="Times New Roman"/>
          <w:bCs/>
          <w:lang w:val="es-MX"/>
        </w:rPr>
        <w:t>Mbd</w:t>
      </w:r>
      <w:proofErr w:type="spellEnd"/>
      <w:r w:rsidRPr="006C443D">
        <w:rPr>
          <w:rFonts w:ascii="Times New Roman" w:hAnsi="Times New Roman"/>
          <w:bCs/>
          <w:lang w:val="es-MX"/>
        </w:rPr>
        <w:t>) en el segundo semestre, aunque persisten</w:t>
      </w:r>
      <w:r>
        <w:rPr>
          <w:rFonts w:ascii="Times New Roman" w:hAnsi="Times New Roman"/>
          <w:bCs/>
          <w:lang w:val="es-MX"/>
        </w:rPr>
        <w:t xml:space="preserve"> </w:t>
      </w:r>
      <w:r w:rsidRPr="006C443D">
        <w:rPr>
          <w:rFonts w:ascii="Times New Roman" w:hAnsi="Times New Roman"/>
          <w:bCs/>
          <w:lang w:val="es-MX"/>
        </w:rPr>
        <w:t>riesgos por conflictos en Medio Oriente y sanciones a Rusia.</w:t>
      </w:r>
      <w:r>
        <w:rPr>
          <w:rFonts w:ascii="Times New Roman" w:hAnsi="Times New Roman"/>
          <w:bCs/>
          <w:lang w:val="es-MX"/>
        </w:rPr>
        <w:t xml:space="preserve"> </w:t>
      </w:r>
      <w:r w:rsidRPr="006C443D">
        <w:rPr>
          <w:rFonts w:ascii="Times New Roman" w:hAnsi="Times New Roman"/>
          <w:bCs/>
          <w:lang w:val="es-MX"/>
        </w:rPr>
        <w:t xml:space="preserve">En México, la producción petrolera continuará alineándose paulatinamente al objetivo de 1.8 </w:t>
      </w:r>
      <w:proofErr w:type="spellStart"/>
      <w:r w:rsidRPr="006C443D">
        <w:rPr>
          <w:rFonts w:ascii="Times New Roman" w:hAnsi="Times New Roman"/>
          <w:bCs/>
          <w:lang w:val="es-MX"/>
        </w:rPr>
        <w:t>Mbd</w:t>
      </w:r>
      <w:proofErr w:type="spellEnd"/>
      <w:r w:rsidRPr="006C443D">
        <w:rPr>
          <w:rFonts w:ascii="Times New Roman" w:hAnsi="Times New Roman"/>
          <w:bCs/>
          <w:lang w:val="es-MX"/>
        </w:rPr>
        <w:t>,</w:t>
      </w:r>
      <w:r>
        <w:rPr>
          <w:rFonts w:ascii="Times New Roman" w:hAnsi="Times New Roman"/>
          <w:bCs/>
          <w:lang w:val="es-MX"/>
        </w:rPr>
        <w:t xml:space="preserve"> </w:t>
      </w:r>
      <w:r w:rsidRPr="006C443D">
        <w:rPr>
          <w:rFonts w:ascii="Times New Roman" w:hAnsi="Times New Roman"/>
          <w:bCs/>
          <w:lang w:val="es-MX"/>
        </w:rPr>
        <w:t>respaldada por el Plan Estratégico 2025–2035 de Pemex.</w:t>
      </w:r>
    </w:p>
    <w:p w14:paraId="77B5EC72" w14:textId="77777777" w:rsidR="00F34EF4" w:rsidRDefault="00F34EF4" w:rsidP="009C1CB9">
      <w:pPr>
        <w:pStyle w:val="PRIMERAPLANA"/>
        <w:spacing w:line="360" w:lineRule="auto"/>
        <w:rPr>
          <w:rFonts w:ascii="Times New Roman" w:hAnsi="Times New Roman"/>
          <w:bCs/>
          <w:lang w:val="es-MX"/>
        </w:rPr>
      </w:pPr>
    </w:p>
    <w:p w14:paraId="4E2861CC" w14:textId="12D2FF01" w:rsidR="00F34EF4"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Se estima que los ingresos presupuestarios ascenderán a 21.9% del PIB al cierre del año, nivel por encima</w:t>
      </w:r>
      <w:r>
        <w:rPr>
          <w:rFonts w:ascii="Times New Roman" w:hAnsi="Times New Roman"/>
          <w:bCs/>
          <w:lang w:val="es-MX"/>
        </w:rPr>
        <w:t xml:space="preserve"> </w:t>
      </w:r>
      <w:r w:rsidRPr="006C443D">
        <w:rPr>
          <w:rFonts w:ascii="Times New Roman" w:hAnsi="Times New Roman"/>
          <w:bCs/>
          <w:lang w:val="es-MX"/>
        </w:rPr>
        <w:t xml:space="preserve">del promedio histórico (1990-2024) en 1.7 </w:t>
      </w:r>
      <w:proofErr w:type="spellStart"/>
      <w:r w:rsidRPr="006C443D">
        <w:rPr>
          <w:rFonts w:ascii="Times New Roman" w:hAnsi="Times New Roman"/>
          <w:bCs/>
          <w:lang w:val="es-MX"/>
        </w:rPr>
        <w:t>pp</w:t>
      </w:r>
      <w:proofErr w:type="spellEnd"/>
      <w:r w:rsidRPr="006C443D">
        <w:rPr>
          <w:rFonts w:ascii="Times New Roman" w:hAnsi="Times New Roman"/>
          <w:bCs/>
          <w:lang w:val="es-MX"/>
        </w:rPr>
        <w:t xml:space="preserve"> del PIB. Este resultado refleja principalmente la evolución</w:t>
      </w:r>
      <w:r>
        <w:rPr>
          <w:rFonts w:ascii="Times New Roman" w:hAnsi="Times New Roman"/>
          <w:bCs/>
          <w:lang w:val="es-MX"/>
        </w:rPr>
        <w:t xml:space="preserve"> </w:t>
      </w:r>
      <w:r w:rsidRPr="006C443D">
        <w:rPr>
          <w:rFonts w:ascii="Times New Roman" w:hAnsi="Times New Roman"/>
          <w:bCs/>
          <w:lang w:val="es-MX"/>
        </w:rPr>
        <w:t>favorable de la recaudación tributaria, que alcanzará por primera vez 14.8% del PIB sin que haya mediado</w:t>
      </w:r>
      <w:r>
        <w:rPr>
          <w:rFonts w:ascii="Times New Roman" w:hAnsi="Times New Roman"/>
          <w:bCs/>
          <w:lang w:val="es-MX"/>
        </w:rPr>
        <w:t xml:space="preserve"> </w:t>
      </w:r>
      <w:r w:rsidRPr="006C443D">
        <w:rPr>
          <w:rFonts w:ascii="Times New Roman" w:hAnsi="Times New Roman"/>
          <w:bCs/>
          <w:lang w:val="es-MX"/>
        </w:rPr>
        <w:t>una reforma fiscal. Además, los ingresos tributarios aumentarán 3.5% real anual, lo que implicará recursos</w:t>
      </w:r>
      <w:r>
        <w:rPr>
          <w:rFonts w:ascii="Times New Roman" w:hAnsi="Times New Roman"/>
          <w:bCs/>
          <w:lang w:val="es-MX"/>
        </w:rPr>
        <w:t xml:space="preserve"> </w:t>
      </w:r>
      <w:r w:rsidRPr="006C443D">
        <w:rPr>
          <w:rFonts w:ascii="Times New Roman" w:hAnsi="Times New Roman"/>
          <w:bCs/>
          <w:lang w:val="es-MX"/>
        </w:rPr>
        <w:t>adicionales por 41.3 mil millones de pesos (</w:t>
      </w:r>
      <w:proofErr w:type="spellStart"/>
      <w:r w:rsidRPr="006C443D">
        <w:rPr>
          <w:rFonts w:ascii="Times New Roman" w:hAnsi="Times New Roman"/>
          <w:bCs/>
          <w:lang w:val="es-MX"/>
        </w:rPr>
        <w:t>mmp</w:t>
      </w:r>
      <w:proofErr w:type="spellEnd"/>
      <w:r w:rsidRPr="006C443D">
        <w:rPr>
          <w:rFonts w:ascii="Times New Roman" w:hAnsi="Times New Roman"/>
          <w:bCs/>
          <w:lang w:val="es-MX"/>
        </w:rPr>
        <w:t>) respecto al programa y permitirá incrementar las</w:t>
      </w:r>
      <w:r>
        <w:rPr>
          <w:rFonts w:ascii="Times New Roman" w:hAnsi="Times New Roman"/>
          <w:bCs/>
          <w:lang w:val="es-MX"/>
        </w:rPr>
        <w:t xml:space="preserve"> </w:t>
      </w:r>
      <w:r w:rsidRPr="006C443D">
        <w:rPr>
          <w:rFonts w:ascii="Times New Roman" w:hAnsi="Times New Roman"/>
          <w:bCs/>
          <w:lang w:val="es-MX"/>
        </w:rPr>
        <w:t>participaciones a entidades federativas y municipios en línea con el fortalecimiento de la recaudación</w:t>
      </w:r>
      <w:r>
        <w:rPr>
          <w:rFonts w:ascii="Times New Roman" w:hAnsi="Times New Roman"/>
          <w:bCs/>
          <w:lang w:val="es-MX"/>
        </w:rPr>
        <w:t xml:space="preserve"> </w:t>
      </w:r>
      <w:r w:rsidRPr="006C443D">
        <w:rPr>
          <w:rFonts w:ascii="Times New Roman" w:hAnsi="Times New Roman"/>
          <w:bCs/>
          <w:lang w:val="es-MX"/>
        </w:rPr>
        <w:t>federal participable.</w:t>
      </w:r>
    </w:p>
    <w:p w14:paraId="7B7A3DCB" w14:textId="77777777" w:rsidR="00F34EF4" w:rsidRDefault="00F34EF4" w:rsidP="009C1CB9">
      <w:pPr>
        <w:pStyle w:val="PRIMERAPLANA"/>
        <w:spacing w:line="360" w:lineRule="auto"/>
        <w:rPr>
          <w:rFonts w:ascii="Times New Roman" w:hAnsi="Times New Roman"/>
          <w:bCs/>
          <w:lang w:val="es-MX"/>
        </w:rPr>
      </w:pPr>
    </w:p>
    <w:p w14:paraId="5D847E1F" w14:textId="77777777" w:rsidR="00FA18A9"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Por otra parte, los ingresos no tributarios del Gobierno Federal ascenderán a 1.1% del PIB, lo que equivale</w:t>
      </w:r>
      <w:r>
        <w:rPr>
          <w:rFonts w:ascii="Times New Roman" w:hAnsi="Times New Roman"/>
          <w:bCs/>
          <w:lang w:val="es-MX"/>
        </w:rPr>
        <w:t xml:space="preserve"> </w:t>
      </w:r>
      <w:r w:rsidRPr="006C443D">
        <w:rPr>
          <w:rFonts w:ascii="Times New Roman" w:hAnsi="Times New Roman"/>
          <w:bCs/>
          <w:lang w:val="es-MX"/>
        </w:rPr>
        <w:t xml:space="preserve">a 16.8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adicionales a lo presupuestado, recursos que se asignarán de acuerdo con la norma</w:t>
      </w:r>
      <w:r>
        <w:rPr>
          <w:rFonts w:ascii="Times New Roman" w:hAnsi="Times New Roman"/>
          <w:bCs/>
          <w:lang w:val="es-MX"/>
        </w:rPr>
        <w:t xml:space="preserve"> </w:t>
      </w:r>
      <w:r w:rsidRPr="006C443D">
        <w:rPr>
          <w:rFonts w:ascii="Times New Roman" w:hAnsi="Times New Roman"/>
          <w:bCs/>
          <w:lang w:val="es-MX"/>
        </w:rPr>
        <w:t xml:space="preserve">presupuestaria. En contraste, los ingresos petroleros se ubicarán en 2.7% del PIB al cierre del año, 0.1 </w:t>
      </w:r>
      <w:proofErr w:type="spellStart"/>
      <w:r w:rsidRPr="006C443D">
        <w:rPr>
          <w:rFonts w:ascii="Times New Roman" w:hAnsi="Times New Roman"/>
          <w:bCs/>
          <w:lang w:val="es-MX"/>
        </w:rPr>
        <w:t>pp</w:t>
      </w:r>
      <w:proofErr w:type="spellEnd"/>
      <w:r w:rsidRPr="006C443D">
        <w:rPr>
          <w:rFonts w:ascii="Times New Roman" w:hAnsi="Times New Roman"/>
          <w:bCs/>
          <w:lang w:val="es-MX"/>
        </w:rPr>
        <w:t xml:space="preserve"> menos que en</w:t>
      </w:r>
      <w:r>
        <w:rPr>
          <w:rFonts w:ascii="Times New Roman" w:hAnsi="Times New Roman"/>
          <w:bCs/>
          <w:lang w:val="es-MX"/>
        </w:rPr>
        <w:t xml:space="preserve"> </w:t>
      </w:r>
      <w:r w:rsidRPr="006C443D">
        <w:rPr>
          <w:rFonts w:ascii="Times New Roman" w:hAnsi="Times New Roman"/>
          <w:bCs/>
          <w:lang w:val="es-MX"/>
        </w:rPr>
        <w:lastRenderedPageBreak/>
        <w:t xml:space="preserve">2024 y 175.2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por debajo de lo programado, debido a una menor producción de hidrocarburos que</w:t>
      </w:r>
      <w:r>
        <w:rPr>
          <w:rFonts w:ascii="Times New Roman" w:hAnsi="Times New Roman"/>
          <w:bCs/>
          <w:lang w:val="es-MX"/>
        </w:rPr>
        <w:t xml:space="preserve"> </w:t>
      </w:r>
      <w:r w:rsidRPr="006C443D">
        <w:rPr>
          <w:rFonts w:ascii="Times New Roman" w:hAnsi="Times New Roman"/>
          <w:bCs/>
          <w:lang w:val="es-MX"/>
        </w:rPr>
        <w:t>fue compensada parcialmente por un mayor precio del petróleo.</w:t>
      </w:r>
    </w:p>
    <w:p w14:paraId="4DBF552A" w14:textId="77777777" w:rsidR="00FA18A9" w:rsidRDefault="00FA18A9" w:rsidP="006C443D">
      <w:pPr>
        <w:pStyle w:val="PRIMERAPLANA"/>
        <w:spacing w:line="360" w:lineRule="auto"/>
        <w:rPr>
          <w:rFonts w:ascii="Times New Roman" w:hAnsi="Times New Roman"/>
          <w:bCs/>
          <w:lang w:val="es-MX"/>
        </w:rPr>
      </w:pPr>
    </w:p>
    <w:p w14:paraId="2296AC1C" w14:textId="3EE7629F" w:rsidR="00F34EF4"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 xml:space="preserve">Por su parte, los ingresos de CFE, IMSS e ISSSTE sumarán 1,229.2 </w:t>
      </w:r>
      <w:proofErr w:type="spellStart"/>
      <w:r w:rsidRPr="006C443D">
        <w:rPr>
          <w:rFonts w:ascii="Times New Roman" w:hAnsi="Times New Roman"/>
          <w:bCs/>
          <w:lang w:val="es-MX"/>
        </w:rPr>
        <w:t>mmp</w:t>
      </w:r>
      <w:proofErr w:type="spellEnd"/>
      <w:r w:rsidRPr="006C443D">
        <w:rPr>
          <w:rFonts w:ascii="Times New Roman" w:hAnsi="Times New Roman"/>
          <w:bCs/>
          <w:lang w:val="es-MX"/>
        </w:rPr>
        <w:t>, equivalentes a 3.4% del PIB, lo</w:t>
      </w:r>
      <w:r>
        <w:rPr>
          <w:rFonts w:ascii="Times New Roman" w:hAnsi="Times New Roman"/>
          <w:bCs/>
          <w:lang w:val="es-MX"/>
        </w:rPr>
        <w:t xml:space="preserve"> </w:t>
      </w:r>
      <w:r w:rsidRPr="006C443D">
        <w:rPr>
          <w:rFonts w:ascii="Times New Roman" w:hAnsi="Times New Roman"/>
          <w:bCs/>
          <w:lang w:val="es-MX"/>
        </w:rPr>
        <w:t xml:space="preserve">que implicará una disminución de 13.6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frente a lo aprobado, como resultado de menores ingresos</w:t>
      </w:r>
      <w:r>
        <w:rPr>
          <w:rFonts w:ascii="Times New Roman" w:hAnsi="Times New Roman"/>
          <w:bCs/>
          <w:lang w:val="es-MX"/>
        </w:rPr>
        <w:t xml:space="preserve"> </w:t>
      </w:r>
      <w:r w:rsidRPr="006C443D">
        <w:rPr>
          <w:rFonts w:ascii="Times New Roman" w:hAnsi="Times New Roman"/>
          <w:bCs/>
          <w:lang w:val="es-MX"/>
        </w:rPr>
        <w:t>propios de la CFE y el IMSS, mientras que los del ISSSTE se mantendrán conforme a lo previsto.</w:t>
      </w:r>
    </w:p>
    <w:p w14:paraId="2F2AA577" w14:textId="77777777" w:rsidR="00F34EF4" w:rsidRDefault="00F34EF4" w:rsidP="009C1CB9">
      <w:pPr>
        <w:pStyle w:val="PRIMERAPLANA"/>
        <w:spacing w:line="360" w:lineRule="auto"/>
        <w:rPr>
          <w:rFonts w:ascii="Times New Roman" w:hAnsi="Times New Roman"/>
          <w:bCs/>
          <w:lang w:val="es-MX"/>
        </w:rPr>
      </w:pPr>
    </w:p>
    <w:p w14:paraId="3B4A0F4B" w14:textId="029CD726" w:rsidR="006C443D" w:rsidRPr="006C443D"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El gasto público mantendrá una evolución ordenada, con un nivel equivalente a 25.5% del PIB, en línea</w:t>
      </w:r>
      <w:r>
        <w:rPr>
          <w:rFonts w:ascii="Times New Roman" w:hAnsi="Times New Roman"/>
          <w:bCs/>
          <w:lang w:val="es-MX"/>
        </w:rPr>
        <w:t xml:space="preserve"> </w:t>
      </w:r>
      <w:r w:rsidRPr="006C443D">
        <w:rPr>
          <w:rFonts w:ascii="Times New Roman" w:hAnsi="Times New Roman"/>
          <w:bCs/>
          <w:lang w:val="es-MX"/>
        </w:rPr>
        <w:t>con lo presupuestado. En su interior, el gasto programable alcanzará 17.9% del PIB, ligeramente por</w:t>
      </w:r>
      <w:r>
        <w:rPr>
          <w:rFonts w:ascii="Times New Roman" w:hAnsi="Times New Roman"/>
          <w:bCs/>
          <w:lang w:val="es-MX"/>
        </w:rPr>
        <w:t xml:space="preserve"> </w:t>
      </w:r>
      <w:r w:rsidRPr="006C443D">
        <w:rPr>
          <w:rFonts w:ascii="Times New Roman" w:hAnsi="Times New Roman"/>
          <w:bCs/>
          <w:lang w:val="es-MX"/>
        </w:rPr>
        <w:t>arriba de lo previsto, lo cual permitirá financiar las partidas prioritarias aprobadas en el Presupuesto de</w:t>
      </w:r>
      <w:r>
        <w:rPr>
          <w:rFonts w:ascii="Times New Roman" w:hAnsi="Times New Roman"/>
          <w:bCs/>
          <w:lang w:val="es-MX"/>
        </w:rPr>
        <w:t xml:space="preserve"> </w:t>
      </w:r>
      <w:r w:rsidRPr="006C443D">
        <w:rPr>
          <w:rFonts w:ascii="Times New Roman" w:hAnsi="Times New Roman"/>
          <w:bCs/>
          <w:lang w:val="es-MX"/>
        </w:rPr>
        <w:t>Egresos de la Federación (PEF) para el ejercicio 2025. Dentro de este marco, el gasto en protección social</w:t>
      </w:r>
      <w:r>
        <w:rPr>
          <w:rFonts w:ascii="Times New Roman" w:hAnsi="Times New Roman"/>
          <w:bCs/>
          <w:lang w:val="es-MX"/>
        </w:rPr>
        <w:t xml:space="preserve"> </w:t>
      </w:r>
      <w:r w:rsidRPr="006C443D">
        <w:rPr>
          <w:rFonts w:ascii="Times New Roman" w:hAnsi="Times New Roman"/>
          <w:bCs/>
          <w:lang w:val="es-MX"/>
        </w:rPr>
        <w:t>permanecerá en niveles históricos, como parte de la estrategia para reducir la pobreza, disminuir la</w:t>
      </w:r>
      <w:r>
        <w:rPr>
          <w:rFonts w:ascii="Times New Roman" w:hAnsi="Times New Roman"/>
          <w:bCs/>
          <w:lang w:val="es-MX"/>
        </w:rPr>
        <w:t xml:space="preserve"> </w:t>
      </w:r>
      <w:r w:rsidRPr="006C443D">
        <w:rPr>
          <w:rFonts w:ascii="Times New Roman" w:hAnsi="Times New Roman"/>
          <w:bCs/>
          <w:lang w:val="es-MX"/>
        </w:rPr>
        <w:t xml:space="preserve">desigualdad y garantizar un mayor bienestar para la población. </w:t>
      </w:r>
    </w:p>
    <w:p w14:paraId="6E0E4B88" w14:textId="77777777" w:rsidR="006C443D" w:rsidRDefault="006C443D" w:rsidP="006C443D">
      <w:pPr>
        <w:pStyle w:val="PRIMERAPLANA"/>
        <w:spacing w:line="360" w:lineRule="auto"/>
        <w:rPr>
          <w:rFonts w:ascii="Times New Roman" w:hAnsi="Times New Roman"/>
          <w:bCs/>
          <w:lang w:val="es-MX"/>
        </w:rPr>
      </w:pPr>
    </w:p>
    <w:p w14:paraId="0D39436F" w14:textId="682E8BB6" w:rsidR="006C443D" w:rsidRPr="006C443D"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 xml:space="preserve">En cuanto al costo financiero, se prevé una reducción de 12.4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respecto al nivel aprobado, gracias a</w:t>
      </w:r>
      <w:r>
        <w:rPr>
          <w:rFonts w:ascii="Times New Roman" w:hAnsi="Times New Roman"/>
          <w:bCs/>
          <w:lang w:val="es-MX"/>
        </w:rPr>
        <w:t xml:space="preserve"> </w:t>
      </w:r>
      <w:r w:rsidRPr="006C443D">
        <w:rPr>
          <w:rFonts w:ascii="Times New Roman" w:hAnsi="Times New Roman"/>
          <w:bCs/>
          <w:lang w:val="es-MX"/>
        </w:rPr>
        <w:t>gestiones de manejo de deuda que optimizaron el perfil de vencimientos del Gobierno Federal. Asimismo,</w:t>
      </w:r>
      <w:r>
        <w:rPr>
          <w:rFonts w:ascii="Times New Roman" w:hAnsi="Times New Roman"/>
          <w:bCs/>
          <w:lang w:val="es-MX"/>
        </w:rPr>
        <w:t xml:space="preserve"> </w:t>
      </w:r>
      <w:r w:rsidRPr="006C443D">
        <w:rPr>
          <w:rFonts w:ascii="Times New Roman" w:hAnsi="Times New Roman"/>
          <w:bCs/>
          <w:lang w:val="es-MX"/>
        </w:rPr>
        <w:t>el pago de Adeudos de Ejercicios Fiscales Anteriores (</w:t>
      </w:r>
      <w:proofErr w:type="spellStart"/>
      <w:r w:rsidRPr="006C443D">
        <w:rPr>
          <w:rFonts w:ascii="Times New Roman" w:hAnsi="Times New Roman"/>
          <w:bCs/>
          <w:lang w:val="es-MX"/>
        </w:rPr>
        <w:t>Adefas</w:t>
      </w:r>
      <w:proofErr w:type="spellEnd"/>
      <w:r w:rsidRPr="006C443D">
        <w:rPr>
          <w:rFonts w:ascii="Times New Roman" w:hAnsi="Times New Roman"/>
          <w:bCs/>
          <w:lang w:val="es-MX"/>
        </w:rPr>
        <w:t xml:space="preserve">) será menor en 10.0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frente a lo</w:t>
      </w:r>
      <w:r>
        <w:rPr>
          <w:rFonts w:ascii="Times New Roman" w:hAnsi="Times New Roman"/>
          <w:bCs/>
          <w:lang w:val="es-MX"/>
        </w:rPr>
        <w:t xml:space="preserve"> </w:t>
      </w:r>
      <w:r w:rsidRPr="006C443D">
        <w:rPr>
          <w:rFonts w:ascii="Times New Roman" w:hAnsi="Times New Roman"/>
          <w:bCs/>
          <w:lang w:val="es-MX"/>
        </w:rPr>
        <w:t>programado, mientras que las participaciones a entidades federativas y municipios superarán lo previsto</w:t>
      </w:r>
      <w:r>
        <w:rPr>
          <w:rFonts w:ascii="Times New Roman" w:hAnsi="Times New Roman"/>
          <w:bCs/>
          <w:lang w:val="es-MX"/>
        </w:rPr>
        <w:t xml:space="preserve"> </w:t>
      </w:r>
      <w:r w:rsidRPr="006C443D">
        <w:rPr>
          <w:rFonts w:ascii="Times New Roman" w:hAnsi="Times New Roman"/>
          <w:bCs/>
          <w:lang w:val="es-MX"/>
        </w:rPr>
        <w:t xml:space="preserve">en 9.9 </w:t>
      </w:r>
      <w:proofErr w:type="spellStart"/>
      <w:r w:rsidRPr="006C443D">
        <w:rPr>
          <w:rFonts w:ascii="Times New Roman" w:hAnsi="Times New Roman"/>
          <w:bCs/>
          <w:lang w:val="es-MX"/>
        </w:rPr>
        <w:t>mmp</w:t>
      </w:r>
      <w:proofErr w:type="spellEnd"/>
      <w:r w:rsidRPr="006C443D">
        <w:rPr>
          <w:rFonts w:ascii="Times New Roman" w:hAnsi="Times New Roman"/>
          <w:bCs/>
          <w:lang w:val="es-MX"/>
        </w:rPr>
        <w:t xml:space="preserve"> por el mayor dinamismo de la recaudación federal participable. </w:t>
      </w:r>
    </w:p>
    <w:p w14:paraId="4EB66A13" w14:textId="77777777" w:rsidR="006C443D" w:rsidRDefault="006C443D" w:rsidP="006C443D">
      <w:pPr>
        <w:pStyle w:val="PRIMERAPLANA"/>
        <w:spacing w:line="360" w:lineRule="auto"/>
        <w:rPr>
          <w:rFonts w:ascii="Times New Roman" w:hAnsi="Times New Roman"/>
          <w:bCs/>
          <w:lang w:val="es-MX"/>
        </w:rPr>
      </w:pPr>
    </w:p>
    <w:p w14:paraId="1FA464EF" w14:textId="4055746E" w:rsidR="00F34EF4" w:rsidRDefault="006C443D" w:rsidP="006C443D">
      <w:pPr>
        <w:pStyle w:val="PRIMERAPLANA"/>
        <w:spacing w:line="360" w:lineRule="auto"/>
        <w:rPr>
          <w:rFonts w:ascii="Times New Roman" w:hAnsi="Times New Roman"/>
          <w:bCs/>
          <w:lang w:val="es-MX"/>
        </w:rPr>
      </w:pPr>
      <w:r w:rsidRPr="006C443D">
        <w:rPr>
          <w:rFonts w:ascii="Times New Roman" w:hAnsi="Times New Roman"/>
          <w:bCs/>
          <w:lang w:val="es-MX"/>
        </w:rPr>
        <w:t>Al cierre de 2025, se estima un déficit presupuestario de 3.6% del PIB, por debajo del 4.9% registrado en</w:t>
      </w:r>
      <w:r>
        <w:rPr>
          <w:rFonts w:ascii="Times New Roman" w:hAnsi="Times New Roman"/>
          <w:bCs/>
          <w:lang w:val="es-MX"/>
        </w:rPr>
        <w:t xml:space="preserve"> </w:t>
      </w:r>
      <w:r w:rsidRPr="006C443D">
        <w:rPr>
          <w:rFonts w:ascii="Times New Roman" w:hAnsi="Times New Roman"/>
          <w:bCs/>
          <w:lang w:val="es-MX"/>
        </w:rPr>
        <w:t>2024. Asimismo, se anticipa un superávit primario de 0.2% del PIB, en contraste con el déficit observado</w:t>
      </w:r>
      <w:r>
        <w:rPr>
          <w:rFonts w:ascii="Times New Roman" w:hAnsi="Times New Roman"/>
          <w:bCs/>
          <w:lang w:val="es-MX"/>
        </w:rPr>
        <w:t xml:space="preserve"> </w:t>
      </w:r>
      <w:r w:rsidRPr="006C443D">
        <w:rPr>
          <w:rFonts w:ascii="Times New Roman" w:hAnsi="Times New Roman"/>
          <w:bCs/>
          <w:lang w:val="es-MX"/>
        </w:rPr>
        <w:t xml:space="preserve">el año anterior. Los </w:t>
      </w:r>
      <w:r w:rsidR="00F43B8C">
        <w:rPr>
          <w:rFonts w:ascii="Times New Roman" w:hAnsi="Times New Roman"/>
          <w:bCs/>
          <w:lang w:val="es-MX"/>
        </w:rPr>
        <w:t>Requerimientos Financieros del Sector Público (</w:t>
      </w:r>
      <w:r w:rsidRPr="006C443D">
        <w:rPr>
          <w:rFonts w:ascii="Times New Roman" w:hAnsi="Times New Roman"/>
          <w:bCs/>
          <w:lang w:val="es-MX"/>
        </w:rPr>
        <w:t>RFSP</w:t>
      </w:r>
      <w:r w:rsidR="00F43B8C">
        <w:rPr>
          <w:rFonts w:ascii="Times New Roman" w:hAnsi="Times New Roman"/>
          <w:bCs/>
          <w:lang w:val="es-MX"/>
        </w:rPr>
        <w:t>)</w:t>
      </w:r>
      <w:r w:rsidRPr="006C443D">
        <w:rPr>
          <w:rFonts w:ascii="Times New Roman" w:hAnsi="Times New Roman"/>
          <w:bCs/>
          <w:lang w:val="es-MX"/>
        </w:rPr>
        <w:t xml:space="preserve"> se ubicarán en 4.3% del PIB, 1.4 </w:t>
      </w:r>
      <w:proofErr w:type="spellStart"/>
      <w:r w:rsidRPr="006C443D">
        <w:rPr>
          <w:rFonts w:ascii="Times New Roman" w:hAnsi="Times New Roman"/>
          <w:bCs/>
          <w:lang w:val="es-MX"/>
        </w:rPr>
        <w:t>pp</w:t>
      </w:r>
      <w:proofErr w:type="spellEnd"/>
      <w:r w:rsidRPr="006C443D">
        <w:rPr>
          <w:rFonts w:ascii="Times New Roman" w:hAnsi="Times New Roman"/>
          <w:bCs/>
          <w:lang w:val="es-MX"/>
        </w:rPr>
        <w:t xml:space="preserve"> menos que en 2024, aunque ligeramente</w:t>
      </w:r>
      <w:r>
        <w:rPr>
          <w:rFonts w:ascii="Times New Roman" w:hAnsi="Times New Roman"/>
          <w:bCs/>
          <w:lang w:val="es-MX"/>
        </w:rPr>
        <w:t xml:space="preserve"> </w:t>
      </w:r>
      <w:r w:rsidRPr="006C443D">
        <w:rPr>
          <w:rFonts w:ascii="Times New Roman" w:hAnsi="Times New Roman"/>
          <w:bCs/>
          <w:lang w:val="es-MX"/>
        </w:rPr>
        <w:t xml:space="preserve">por encima de lo previsto en el programa, reflejo de las </w:t>
      </w:r>
      <w:r w:rsidRPr="006C443D">
        <w:rPr>
          <w:rFonts w:ascii="Times New Roman" w:hAnsi="Times New Roman"/>
          <w:bCs/>
          <w:lang w:val="es-MX"/>
        </w:rPr>
        <w:lastRenderedPageBreak/>
        <w:t>revisiones al marco macroeconómico ante un</w:t>
      </w:r>
      <w:r>
        <w:rPr>
          <w:rFonts w:ascii="Times New Roman" w:hAnsi="Times New Roman"/>
          <w:bCs/>
          <w:lang w:val="es-MX"/>
        </w:rPr>
        <w:t xml:space="preserve"> </w:t>
      </w:r>
      <w:r w:rsidRPr="006C443D">
        <w:rPr>
          <w:rFonts w:ascii="Times New Roman" w:hAnsi="Times New Roman"/>
          <w:bCs/>
          <w:lang w:val="es-MX"/>
        </w:rPr>
        <w:t>entorno externo menos favorable, así como los ajustes en las proyecciones para el cierre del año de las</w:t>
      </w:r>
      <w:r>
        <w:rPr>
          <w:rFonts w:ascii="Times New Roman" w:hAnsi="Times New Roman"/>
          <w:bCs/>
          <w:lang w:val="es-MX"/>
        </w:rPr>
        <w:t xml:space="preserve"> </w:t>
      </w:r>
      <w:r w:rsidRPr="006C443D">
        <w:rPr>
          <w:rFonts w:ascii="Times New Roman" w:hAnsi="Times New Roman"/>
          <w:bCs/>
          <w:lang w:val="es-MX"/>
        </w:rPr>
        <w:t xml:space="preserve">Empresas Públicas del Estado y de las instituciones de seguridad social. Finalmente, el </w:t>
      </w:r>
      <w:r w:rsidR="00F43B8C">
        <w:rPr>
          <w:rFonts w:ascii="Times New Roman" w:hAnsi="Times New Roman"/>
          <w:bCs/>
          <w:lang w:val="es-MX"/>
        </w:rPr>
        <w:t>Saldo Histórico de los Requerimientos Financieros del Sector Público (</w:t>
      </w:r>
      <w:r w:rsidRPr="006C443D">
        <w:rPr>
          <w:rFonts w:ascii="Times New Roman" w:hAnsi="Times New Roman"/>
          <w:bCs/>
          <w:lang w:val="es-MX"/>
        </w:rPr>
        <w:t>SHRFSP</w:t>
      </w:r>
      <w:r w:rsidR="00F43B8C">
        <w:rPr>
          <w:rFonts w:ascii="Times New Roman" w:hAnsi="Times New Roman"/>
          <w:bCs/>
          <w:lang w:val="es-MX"/>
        </w:rPr>
        <w:t>)</w:t>
      </w:r>
      <w:r w:rsidRPr="006C443D">
        <w:rPr>
          <w:rFonts w:ascii="Times New Roman" w:hAnsi="Times New Roman"/>
          <w:bCs/>
          <w:lang w:val="es-MX"/>
        </w:rPr>
        <w:t xml:space="preserve"> se situará</w:t>
      </w:r>
      <w:r>
        <w:rPr>
          <w:rFonts w:ascii="Times New Roman" w:hAnsi="Times New Roman"/>
          <w:bCs/>
          <w:lang w:val="es-MX"/>
        </w:rPr>
        <w:t xml:space="preserve"> </w:t>
      </w:r>
      <w:r w:rsidRPr="006C443D">
        <w:rPr>
          <w:rFonts w:ascii="Times New Roman" w:hAnsi="Times New Roman"/>
          <w:bCs/>
          <w:lang w:val="es-MX"/>
        </w:rPr>
        <w:t>en 52.3% del PIB, lo que confirma que, pese a la volatilidad internacional, la deuda pública mantiene una</w:t>
      </w:r>
      <w:r>
        <w:rPr>
          <w:rFonts w:ascii="Times New Roman" w:hAnsi="Times New Roman"/>
          <w:bCs/>
          <w:lang w:val="es-MX"/>
        </w:rPr>
        <w:t xml:space="preserve"> </w:t>
      </w:r>
      <w:r w:rsidRPr="006C443D">
        <w:rPr>
          <w:rFonts w:ascii="Times New Roman" w:hAnsi="Times New Roman"/>
          <w:bCs/>
          <w:lang w:val="es-MX"/>
        </w:rPr>
        <w:t>trayectoria estable y sostenible, respaldada por fundamentos macroeconómicos sólidos y una gestión</w:t>
      </w:r>
      <w:r>
        <w:rPr>
          <w:rFonts w:ascii="Times New Roman" w:hAnsi="Times New Roman"/>
          <w:bCs/>
          <w:lang w:val="es-MX"/>
        </w:rPr>
        <w:t xml:space="preserve"> </w:t>
      </w:r>
      <w:r w:rsidRPr="006C443D">
        <w:rPr>
          <w:rFonts w:ascii="Times New Roman" w:hAnsi="Times New Roman"/>
          <w:bCs/>
          <w:lang w:val="es-MX"/>
        </w:rPr>
        <w:t>fiscal prudente.</w:t>
      </w:r>
    </w:p>
    <w:bookmarkEnd w:id="5"/>
    <w:p w14:paraId="276FB156" w14:textId="77777777" w:rsidR="00BD1B03" w:rsidRPr="00FD37DE" w:rsidRDefault="00BD1B03" w:rsidP="009C1CB9">
      <w:pPr>
        <w:pStyle w:val="PRIMERAPLANA"/>
        <w:spacing w:line="360" w:lineRule="auto"/>
        <w:rPr>
          <w:rFonts w:ascii="Times New Roman" w:hAnsi="Times New Roman"/>
          <w:bCs/>
          <w:lang w:val="es-MX"/>
        </w:rPr>
      </w:pPr>
    </w:p>
    <w:p w14:paraId="63395CF7" w14:textId="07BBADB0" w:rsidR="00696753" w:rsidRPr="00906252" w:rsidRDefault="005B0395" w:rsidP="00270689">
      <w:pPr>
        <w:pStyle w:val="PRIMERAPLANA"/>
        <w:numPr>
          <w:ilvl w:val="0"/>
          <w:numId w:val="23"/>
        </w:numPr>
        <w:spacing w:line="360" w:lineRule="auto"/>
        <w:ind w:left="284" w:hanging="284"/>
        <w:rPr>
          <w:rFonts w:ascii="Times New Roman" w:hAnsi="Times New Roman"/>
          <w:b/>
        </w:rPr>
      </w:pPr>
      <w:r>
        <w:rPr>
          <w:rFonts w:ascii="Times New Roman" w:hAnsi="Times New Roman"/>
          <w:b/>
          <w:lang w:val="es-ES"/>
        </w:rPr>
        <w:t>LINEAMIENTOS DE POLÍTICA ECONÓMICA PARA 2026</w:t>
      </w:r>
    </w:p>
    <w:p w14:paraId="1F3EFBDD" w14:textId="77777777" w:rsidR="00BD1B03" w:rsidRPr="0057582B" w:rsidRDefault="00BD1B03" w:rsidP="00BD1B03">
      <w:pPr>
        <w:pStyle w:val="PRIMERAPLANA"/>
        <w:spacing w:line="360" w:lineRule="auto"/>
        <w:rPr>
          <w:rFonts w:ascii="Times New Roman" w:hAnsi="Times New Roman"/>
          <w:bCs/>
        </w:rPr>
      </w:pPr>
    </w:p>
    <w:p w14:paraId="78B8D5BD" w14:textId="7BF50B6B" w:rsidR="005B0395" w:rsidRDefault="005B0395" w:rsidP="005B0395">
      <w:pPr>
        <w:pStyle w:val="PRIMERAPLANA"/>
        <w:spacing w:line="360" w:lineRule="auto"/>
        <w:rPr>
          <w:rFonts w:ascii="Times New Roman" w:hAnsi="Times New Roman"/>
          <w:bCs/>
        </w:rPr>
      </w:pPr>
      <w:r w:rsidRPr="005B0395">
        <w:rPr>
          <w:rFonts w:ascii="Times New Roman" w:hAnsi="Times New Roman"/>
          <w:bCs/>
        </w:rPr>
        <w:t>En 2026 la economía mexicana retomará una senda de crecimiento más sólida, impulsada por la fortaleza</w:t>
      </w:r>
      <w:r>
        <w:rPr>
          <w:rFonts w:ascii="Times New Roman" w:hAnsi="Times New Roman"/>
          <w:bCs/>
        </w:rPr>
        <w:t xml:space="preserve"> </w:t>
      </w:r>
      <w:r w:rsidRPr="005B0395">
        <w:rPr>
          <w:rFonts w:ascii="Times New Roman" w:hAnsi="Times New Roman"/>
          <w:bCs/>
        </w:rPr>
        <w:t>sostenida de la demanda interna y un entorno internacional más favorable, con menor incertidumbre</w:t>
      </w:r>
      <w:r>
        <w:rPr>
          <w:rFonts w:ascii="Times New Roman" w:hAnsi="Times New Roman"/>
          <w:bCs/>
        </w:rPr>
        <w:t xml:space="preserve"> </w:t>
      </w:r>
      <w:r w:rsidRPr="005B0395">
        <w:rPr>
          <w:rFonts w:ascii="Times New Roman" w:hAnsi="Times New Roman"/>
          <w:bCs/>
        </w:rPr>
        <w:t>sobre las políticas comerciales</w:t>
      </w:r>
      <w:r>
        <w:rPr>
          <w:rFonts w:ascii="Times New Roman" w:hAnsi="Times New Roman"/>
          <w:bCs/>
        </w:rPr>
        <w:t xml:space="preserve">. </w:t>
      </w:r>
      <w:r w:rsidRPr="005B0395">
        <w:rPr>
          <w:rFonts w:ascii="Times New Roman" w:hAnsi="Times New Roman"/>
          <w:bCs/>
        </w:rPr>
        <w:t>El Plan México se consolidará como el principal instrumento del Gobierno Federal para promover el</w:t>
      </w:r>
      <w:r>
        <w:rPr>
          <w:rFonts w:ascii="Times New Roman" w:hAnsi="Times New Roman"/>
          <w:bCs/>
        </w:rPr>
        <w:t xml:space="preserve"> </w:t>
      </w:r>
      <w:r w:rsidRPr="005B0395">
        <w:rPr>
          <w:rFonts w:ascii="Times New Roman" w:hAnsi="Times New Roman"/>
          <w:bCs/>
        </w:rPr>
        <w:t>crecimiento y el desarrollo económico de forma equitativa y sustentable, articulando políticas públicas</w:t>
      </w:r>
      <w:r>
        <w:rPr>
          <w:rFonts w:ascii="Times New Roman" w:hAnsi="Times New Roman"/>
          <w:bCs/>
        </w:rPr>
        <w:t xml:space="preserve"> </w:t>
      </w:r>
      <w:r w:rsidRPr="005B0395">
        <w:rPr>
          <w:rFonts w:ascii="Times New Roman" w:hAnsi="Times New Roman"/>
          <w:bCs/>
        </w:rPr>
        <w:t>dirigidas a incrementar la producción para el mercado interno, la sustitución de importaciones, el</w:t>
      </w:r>
      <w:r>
        <w:rPr>
          <w:rFonts w:ascii="Times New Roman" w:hAnsi="Times New Roman"/>
          <w:bCs/>
        </w:rPr>
        <w:t xml:space="preserve"> </w:t>
      </w:r>
      <w:r w:rsidRPr="005B0395">
        <w:rPr>
          <w:rFonts w:ascii="Times New Roman" w:hAnsi="Times New Roman"/>
          <w:bCs/>
        </w:rPr>
        <w:t>desarrollo regional, la innovación productiva y la transición hacia una economía más incluyente, resiliente</w:t>
      </w:r>
      <w:r>
        <w:rPr>
          <w:rFonts w:ascii="Times New Roman" w:hAnsi="Times New Roman"/>
          <w:bCs/>
        </w:rPr>
        <w:t xml:space="preserve"> </w:t>
      </w:r>
      <w:r w:rsidRPr="005B0395">
        <w:rPr>
          <w:rFonts w:ascii="Times New Roman" w:hAnsi="Times New Roman"/>
          <w:bCs/>
        </w:rPr>
        <w:t xml:space="preserve">y ambientalmente </w:t>
      </w:r>
      <w:r>
        <w:rPr>
          <w:rFonts w:ascii="Times New Roman" w:hAnsi="Times New Roman"/>
          <w:bCs/>
        </w:rPr>
        <w:t>responsable.</w:t>
      </w:r>
    </w:p>
    <w:p w14:paraId="427B311A" w14:textId="77777777" w:rsidR="005B0395" w:rsidRDefault="005B0395" w:rsidP="00AD7E91">
      <w:pPr>
        <w:pStyle w:val="PRIMERAPLANA"/>
        <w:spacing w:line="360" w:lineRule="auto"/>
        <w:rPr>
          <w:rFonts w:ascii="Times New Roman" w:hAnsi="Times New Roman"/>
          <w:bCs/>
        </w:rPr>
      </w:pPr>
    </w:p>
    <w:p w14:paraId="211A41F2" w14:textId="2E34E0AD" w:rsidR="005B0395" w:rsidRDefault="00CA5DED" w:rsidP="00CA5DED">
      <w:pPr>
        <w:pStyle w:val="PRIMERAPLANA"/>
        <w:spacing w:line="360" w:lineRule="auto"/>
        <w:rPr>
          <w:rFonts w:ascii="Times New Roman" w:hAnsi="Times New Roman"/>
          <w:bCs/>
        </w:rPr>
      </w:pPr>
      <w:r w:rsidRPr="00CA5DED">
        <w:rPr>
          <w:rFonts w:ascii="Times New Roman" w:hAnsi="Times New Roman"/>
          <w:bCs/>
        </w:rPr>
        <w:t>La sinergia entre la inversión pública y la privada permitirá cerrar brechas de infraestructura y</w:t>
      </w:r>
      <w:r>
        <w:rPr>
          <w:rFonts w:ascii="Times New Roman" w:hAnsi="Times New Roman"/>
          <w:bCs/>
        </w:rPr>
        <w:t xml:space="preserve"> </w:t>
      </w:r>
      <w:r w:rsidRPr="00CA5DED">
        <w:rPr>
          <w:rFonts w:ascii="Times New Roman" w:hAnsi="Times New Roman"/>
          <w:bCs/>
        </w:rPr>
        <w:t>conectividad, facilitar el intercambio comercial y reducir costos de transacción. Esta colaboración también</w:t>
      </w:r>
      <w:r>
        <w:rPr>
          <w:rFonts w:ascii="Times New Roman" w:hAnsi="Times New Roman"/>
          <w:bCs/>
        </w:rPr>
        <w:t xml:space="preserve"> </w:t>
      </w:r>
      <w:r w:rsidRPr="00CA5DED">
        <w:rPr>
          <w:rFonts w:ascii="Times New Roman" w:hAnsi="Times New Roman"/>
          <w:bCs/>
        </w:rPr>
        <w:t>impulsará la modernización tecnológica, ampliará la capacidad logística y sentará bases sólidas para un</w:t>
      </w:r>
      <w:r>
        <w:rPr>
          <w:rFonts w:ascii="Times New Roman" w:hAnsi="Times New Roman"/>
          <w:bCs/>
        </w:rPr>
        <w:t xml:space="preserve"> </w:t>
      </w:r>
      <w:r w:rsidRPr="00CA5DED">
        <w:rPr>
          <w:rFonts w:ascii="Times New Roman" w:hAnsi="Times New Roman"/>
          <w:bCs/>
        </w:rPr>
        <w:t>crecimiento más diversificado.</w:t>
      </w:r>
    </w:p>
    <w:p w14:paraId="1FC1EB26" w14:textId="77777777" w:rsidR="005B0395" w:rsidRDefault="005B0395" w:rsidP="00AD7E91">
      <w:pPr>
        <w:pStyle w:val="PRIMERAPLANA"/>
        <w:spacing w:line="360" w:lineRule="auto"/>
        <w:rPr>
          <w:rFonts w:ascii="Times New Roman" w:hAnsi="Times New Roman"/>
          <w:bCs/>
        </w:rPr>
      </w:pPr>
    </w:p>
    <w:p w14:paraId="1C36DC4D" w14:textId="29606918" w:rsidR="005B0395" w:rsidRDefault="00CA5DED" w:rsidP="00CA5DED">
      <w:pPr>
        <w:pStyle w:val="PRIMERAPLANA"/>
        <w:spacing w:line="360" w:lineRule="auto"/>
        <w:rPr>
          <w:rFonts w:ascii="Times New Roman" w:hAnsi="Times New Roman"/>
          <w:bCs/>
        </w:rPr>
      </w:pPr>
      <w:r w:rsidRPr="00CA5DED">
        <w:rPr>
          <w:rFonts w:ascii="Times New Roman" w:hAnsi="Times New Roman"/>
          <w:bCs/>
        </w:rPr>
        <w:t>En 2026, se anticipa una aceleración del consumo privado, respaldada por un incremento sostenido de</w:t>
      </w:r>
      <w:r>
        <w:rPr>
          <w:rFonts w:ascii="Times New Roman" w:hAnsi="Times New Roman"/>
          <w:bCs/>
        </w:rPr>
        <w:t xml:space="preserve"> </w:t>
      </w:r>
      <w:r w:rsidRPr="00CA5DED">
        <w:rPr>
          <w:rFonts w:ascii="Times New Roman" w:hAnsi="Times New Roman"/>
          <w:bCs/>
        </w:rPr>
        <w:t>los salarios reales, la generación de empleo y la expansión de la red de protección social.</w:t>
      </w:r>
      <w:r>
        <w:rPr>
          <w:rFonts w:ascii="Times New Roman" w:hAnsi="Times New Roman"/>
          <w:bCs/>
        </w:rPr>
        <w:t xml:space="preserve"> </w:t>
      </w:r>
      <w:r w:rsidR="00F43B8C">
        <w:rPr>
          <w:rFonts w:ascii="Times New Roman" w:hAnsi="Times New Roman"/>
          <w:bCs/>
        </w:rPr>
        <w:t>S</w:t>
      </w:r>
      <w:r w:rsidRPr="00CA5DED">
        <w:rPr>
          <w:rFonts w:ascii="Times New Roman" w:hAnsi="Times New Roman"/>
          <w:bCs/>
        </w:rPr>
        <w:t xml:space="preserve">e prevé además un </w:t>
      </w:r>
      <w:r w:rsidRPr="00CA5DED">
        <w:rPr>
          <w:rFonts w:ascii="Times New Roman" w:hAnsi="Times New Roman"/>
          <w:bCs/>
        </w:rPr>
        <w:lastRenderedPageBreak/>
        <w:t>efecto positivo en el ingreso disponible de los hogares derivado de la expansión de</w:t>
      </w:r>
      <w:r>
        <w:rPr>
          <w:rFonts w:ascii="Times New Roman" w:hAnsi="Times New Roman"/>
          <w:bCs/>
        </w:rPr>
        <w:t xml:space="preserve"> </w:t>
      </w:r>
      <w:r w:rsidRPr="00CA5DED">
        <w:rPr>
          <w:rFonts w:ascii="Times New Roman" w:hAnsi="Times New Roman"/>
          <w:bCs/>
        </w:rPr>
        <w:t>los programas sociales, como la Pensión Mujeres Bienestar para mujeres de 60 a 64 años, que en 2026</w:t>
      </w:r>
      <w:r>
        <w:rPr>
          <w:rFonts w:ascii="Times New Roman" w:hAnsi="Times New Roman"/>
          <w:bCs/>
        </w:rPr>
        <w:t xml:space="preserve"> </w:t>
      </w:r>
      <w:r w:rsidRPr="00CA5DED">
        <w:rPr>
          <w:rFonts w:ascii="Times New Roman" w:hAnsi="Times New Roman"/>
          <w:bCs/>
        </w:rPr>
        <w:t>cubrirá al 100% de su población objetivo. Asimismo, se ampliarán los beneficios de la Beca Universal de</w:t>
      </w:r>
      <w:r>
        <w:rPr>
          <w:rFonts w:ascii="Times New Roman" w:hAnsi="Times New Roman"/>
          <w:bCs/>
        </w:rPr>
        <w:t xml:space="preserve"> </w:t>
      </w:r>
      <w:r w:rsidRPr="00CA5DED">
        <w:rPr>
          <w:rFonts w:ascii="Times New Roman" w:hAnsi="Times New Roman"/>
          <w:bCs/>
        </w:rPr>
        <w:t>Educación Básica Rita Cetina a nivel de primaria, con un potencial de cobertura de hasta 11.6 millones de</w:t>
      </w:r>
      <w:r>
        <w:rPr>
          <w:rFonts w:ascii="Times New Roman" w:hAnsi="Times New Roman"/>
          <w:bCs/>
        </w:rPr>
        <w:t xml:space="preserve"> </w:t>
      </w:r>
      <w:r w:rsidRPr="00CA5DED">
        <w:rPr>
          <w:rFonts w:ascii="Times New Roman" w:hAnsi="Times New Roman"/>
          <w:bCs/>
        </w:rPr>
        <w:t>estudiantes. Otro aspecto de igual relevancia será la influencia de las medidas para fortalecer el Sistema</w:t>
      </w:r>
      <w:r>
        <w:rPr>
          <w:rFonts w:ascii="Times New Roman" w:hAnsi="Times New Roman"/>
          <w:bCs/>
        </w:rPr>
        <w:t xml:space="preserve"> </w:t>
      </w:r>
      <w:r w:rsidRPr="00CA5DED">
        <w:rPr>
          <w:rFonts w:ascii="Times New Roman" w:hAnsi="Times New Roman"/>
          <w:bCs/>
        </w:rPr>
        <w:t>Nacional de Cuidados, lo cual fomentará una mayor participación laboral de las mujeres y, por ende, una</w:t>
      </w:r>
      <w:r>
        <w:rPr>
          <w:rFonts w:ascii="Times New Roman" w:hAnsi="Times New Roman"/>
          <w:bCs/>
        </w:rPr>
        <w:t xml:space="preserve"> </w:t>
      </w:r>
      <w:r w:rsidRPr="00CA5DED">
        <w:rPr>
          <w:rFonts w:ascii="Times New Roman" w:hAnsi="Times New Roman"/>
          <w:bCs/>
        </w:rPr>
        <w:t>mejora en su poder adquisitivo.</w:t>
      </w:r>
    </w:p>
    <w:p w14:paraId="5BE57F7E" w14:textId="77777777" w:rsidR="005B0395" w:rsidRDefault="005B0395" w:rsidP="00AD7E91">
      <w:pPr>
        <w:pStyle w:val="PRIMERAPLANA"/>
        <w:spacing w:line="360" w:lineRule="auto"/>
        <w:rPr>
          <w:rFonts w:ascii="Times New Roman" w:hAnsi="Times New Roman"/>
          <w:bCs/>
        </w:rPr>
      </w:pPr>
    </w:p>
    <w:p w14:paraId="063252BD" w14:textId="1978044C" w:rsidR="005B0395" w:rsidRDefault="00CA5DED" w:rsidP="00CA5DED">
      <w:pPr>
        <w:pStyle w:val="PRIMERAPLANA"/>
        <w:spacing w:line="360" w:lineRule="auto"/>
        <w:rPr>
          <w:rFonts w:ascii="Times New Roman" w:hAnsi="Times New Roman"/>
          <w:bCs/>
        </w:rPr>
      </w:pPr>
      <w:r w:rsidRPr="00CA5DED">
        <w:rPr>
          <w:rFonts w:ascii="Times New Roman" w:hAnsi="Times New Roman"/>
          <w:bCs/>
        </w:rPr>
        <w:t>En el ámbito internacional, la producción industrial de EE.UU. se verá favorecida por los incentivos fiscales</w:t>
      </w:r>
      <w:r>
        <w:rPr>
          <w:rFonts w:ascii="Times New Roman" w:hAnsi="Times New Roman"/>
          <w:bCs/>
        </w:rPr>
        <w:t xml:space="preserve"> </w:t>
      </w:r>
      <w:r w:rsidRPr="00CA5DED">
        <w:rPr>
          <w:rFonts w:ascii="Times New Roman" w:hAnsi="Times New Roman"/>
          <w:bCs/>
        </w:rPr>
        <w:t>aprobados para 2026, aunque persistirá el riesgo asociado a la incertidumbre en materia de política</w:t>
      </w:r>
      <w:r>
        <w:rPr>
          <w:rFonts w:ascii="Times New Roman" w:hAnsi="Times New Roman"/>
          <w:bCs/>
        </w:rPr>
        <w:t xml:space="preserve"> </w:t>
      </w:r>
      <w:r w:rsidRPr="00CA5DED">
        <w:rPr>
          <w:rFonts w:ascii="Times New Roman" w:hAnsi="Times New Roman"/>
          <w:bCs/>
        </w:rPr>
        <w:t xml:space="preserve">comercial. La normalización monetaria de la </w:t>
      </w:r>
      <w:r w:rsidR="00F43B8C">
        <w:rPr>
          <w:rFonts w:ascii="Times New Roman" w:hAnsi="Times New Roman"/>
          <w:bCs/>
        </w:rPr>
        <w:t>FED</w:t>
      </w:r>
      <w:r w:rsidRPr="00CA5DED">
        <w:rPr>
          <w:rFonts w:ascii="Times New Roman" w:hAnsi="Times New Roman"/>
          <w:bCs/>
        </w:rPr>
        <w:t xml:space="preserve"> reducirá los costos de financiamiento,</w:t>
      </w:r>
      <w:r>
        <w:rPr>
          <w:rFonts w:ascii="Times New Roman" w:hAnsi="Times New Roman"/>
          <w:bCs/>
        </w:rPr>
        <w:t xml:space="preserve"> </w:t>
      </w:r>
      <w:r w:rsidRPr="00CA5DED">
        <w:rPr>
          <w:rFonts w:ascii="Times New Roman" w:hAnsi="Times New Roman"/>
          <w:bCs/>
        </w:rPr>
        <w:t>facilitando la reactivación de proyectos diferidos.</w:t>
      </w:r>
      <w:r>
        <w:rPr>
          <w:rFonts w:ascii="Times New Roman" w:hAnsi="Times New Roman"/>
          <w:bCs/>
        </w:rPr>
        <w:t xml:space="preserve"> Por último, </w:t>
      </w:r>
      <w:r w:rsidRPr="00CA5DED">
        <w:rPr>
          <w:rFonts w:ascii="Times New Roman" w:hAnsi="Times New Roman"/>
          <w:bCs/>
        </w:rPr>
        <w:t>la disciplina fiscal, el manejo prudente de la deuda y una política monetaria menos restrictiva</w:t>
      </w:r>
      <w:r>
        <w:rPr>
          <w:rFonts w:ascii="Times New Roman" w:hAnsi="Times New Roman"/>
          <w:bCs/>
        </w:rPr>
        <w:t xml:space="preserve"> </w:t>
      </w:r>
      <w:r w:rsidRPr="00CA5DED">
        <w:rPr>
          <w:rFonts w:ascii="Times New Roman" w:hAnsi="Times New Roman"/>
          <w:bCs/>
        </w:rPr>
        <w:t>continuarán fortaleciendo la confianza y el apetito por invertir en México, asegurando además un acceso</w:t>
      </w:r>
      <w:r>
        <w:rPr>
          <w:rFonts w:ascii="Times New Roman" w:hAnsi="Times New Roman"/>
          <w:bCs/>
        </w:rPr>
        <w:t xml:space="preserve"> </w:t>
      </w:r>
      <w:r w:rsidRPr="00CA5DED">
        <w:rPr>
          <w:rFonts w:ascii="Times New Roman" w:hAnsi="Times New Roman"/>
          <w:bCs/>
        </w:rPr>
        <w:t>sostenido al financiamiento en condiciones favorables. Estos elementos seguirán impulsando tanto la</w:t>
      </w:r>
      <w:r>
        <w:rPr>
          <w:rFonts w:ascii="Times New Roman" w:hAnsi="Times New Roman"/>
          <w:bCs/>
        </w:rPr>
        <w:t xml:space="preserve"> </w:t>
      </w:r>
      <w:r w:rsidRPr="00CA5DED">
        <w:rPr>
          <w:rFonts w:ascii="Times New Roman" w:hAnsi="Times New Roman"/>
          <w:bCs/>
        </w:rPr>
        <w:t xml:space="preserve">inversión nacional como la </w:t>
      </w:r>
      <w:r w:rsidR="00F43B8C">
        <w:rPr>
          <w:rFonts w:ascii="Times New Roman" w:hAnsi="Times New Roman"/>
          <w:bCs/>
        </w:rPr>
        <w:t>Inversión Extranjera Directa (</w:t>
      </w:r>
      <w:r w:rsidRPr="00CA5DED">
        <w:rPr>
          <w:rFonts w:ascii="Times New Roman" w:hAnsi="Times New Roman"/>
          <w:bCs/>
        </w:rPr>
        <w:t>IED</w:t>
      </w:r>
      <w:r w:rsidR="00F43B8C">
        <w:rPr>
          <w:rFonts w:ascii="Times New Roman" w:hAnsi="Times New Roman"/>
          <w:bCs/>
        </w:rPr>
        <w:t>)</w:t>
      </w:r>
      <w:r w:rsidRPr="00CA5DED">
        <w:rPr>
          <w:rFonts w:ascii="Times New Roman" w:hAnsi="Times New Roman"/>
          <w:bCs/>
        </w:rPr>
        <w:t>, como ya se observó en la primera mitad de 2025, cuando se alcanzó un</w:t>
      </w:r>
      <w:r>
        <w:rPr>
          <w:rFonts w:ascii="Times New Roman" w:hAnsi="Times New Roman"/>
          <w:bCs/>
        </w:rPr>
        <w:t xml:space="preserve"> </w:t>
      </w:r>
      <w:r w:rsidRPr="00CA5DED">
        <w:rPr>
          <w:rFonts w:ascii="Times New Roman" w:hAnsi="Times New Roman"/>
          <w:bCs/>
        </w:rPr>
        <w:t>máximo histórico de flujos de entrada, confirmando el atractivo estructural de México como plataforma</w:t>
      </w:r>
      <w:r>
        <w:rPr>
          <w:rFonts w:ascii="Times New Roman" w:hAnsi="Times New Roman"/>
          <w:bCs/>
        </w:rPr>
        <w:t xml:space="preserve"> </w:t>
      </w:r>
      <w:r w:rsidRPr="00CA5DED">
        <w:rPr>
          <w:rFonts w:ascii="Times New Roman" w:hAnsi="Times New Roman"/>
          <w:bCs/>
        </w:rPr>
        <w:t>productiva y de exportación.</w:t>
      </w:r>
    </w:p>
    <w:p w14:paraId="4495C19B" w14:textId="77777777" w:rsidR="005B0395" w:rsidRDefault="005B0395" w:rsidP="00AD7E91">
      <w:pPr>
        <w:pStyle w:val="PRIMERAPLANA"/>
        <w:spacing w:line="360" w:lineRule="auto"/>
        <w:rPr>
          <w:rFonts w:ascii="Times New Roman" w:hAnsi="Times New Roman"/>
          <w:bCs/>
        </w:rPr>
      </w:pPr>
    </w:p>
    <w:p w14:paraId="5A1EE656" w14:textId="2C49865E" w:rsidR="00CA5DED" w:rsidRPr="00CA5DED" w:rsidRDefault="00CA5DED" w:rsidP="00CA5DED">
      <w:pPr>
        <w:pStyle w:val="PRIMERAPLANA"/>
        <w:spacing w:line="360" w:lineRule="auto"/>
        <w:rPr>
          <w:rFonts w:ascii="Times New Roman" w:hAnsi="Times New Roman"/>
          <w:bCs/>
        </w:rPr>
      </w:pPr>
      <w:r>
        <w:rPr>
          <w:rFonts w:ascii="Times New Roman" w:hAnsi="Times New Roman"/>
          <w:bCs/>
        </w:rPr>
        <w:t>E</w:t>
      </w:r>
      <w:r w:rsidRPr="00CA5DED">
        <w:rPr>
          <w:rFonts w:ascii="Times New Roman" w:hAnsi="Times New Roman"/>
          <w:bCs/>
        </w:rPr>
        <w:t>n 2026 la economía mexicana registrará un</w:t>
      </w:r>
      <w:r>
        <w:rPr>
          <w:rFonts w:ascii="Times New Roman" w:hAnsi="Times New Roman"/>
          <w:bCs/>
        </w:rPr>
        <w:t xml:space="preserve"> </w:t>
      </w:r>
      <w:r w:rsidRPr="00CA5DED">
        <w:rPr>
          <w:rFonts w:ascii="Times New Roman" w:hAnsi="Times New Roman"/>
          <w:bCs/>
        </w:rPr>
        <w:t>crecimiento en un rango de entre 1.8</w:t>
      </w:r>
      <w:r w:rsidR="00F43B8C">
        <w:rPr>
          <w:rFonts w:ascii="Times New Roman" w:hAnsi="Times New Roman"/>
          <w:bCs/>
        </w:rPr>
        <w:t>%</w:t>
      </w:r>
      <w:r w:rsidRPr="00CA5DED">
        <w:rPr>
          <w:rFonts w:ascii="Times New Roman" w:hAnsi="Times New Roman"/>
          <w:bCs/>
        </w:rPr>
        <w:t xml:space="preserve"> y 2.8%. Se prevé que la inflación seguirá una trayectoria descendente</w:t>
      </w:r>
      <w:r>
        <w:rPr>
          <w:rFonts w:ascii="Times New Roman" w:hAnsi="Times New Roman"/>
          <w:bCs/>
        </w:rPr>
        <w:t xml:space="preserve"> </w:t>
      </w:r>
      <w:r w:rsidRPr="00CA5DED">
        <w:rPr>
          <w:rFonts w:ascii="Times New Roman" w:hAnsi="Times New Roman"/>
          <w:bCs/>
        </w:rPr>
        <w:t>y cierre el año en 3.0% anual. En este contexto, la tasa de interés de política monetaria del Banco de</w:t>
      </w:r>
      <w:r>
        <w:rPr>
          <w:rFonts w:ascii="Times New Roman" w:hAnsi="Times New Roman"/>
          <w:bCs/>
        </w:rPr>
        <w:t xml:space="preserve"> </w:t>
      </w:r>
      <w:r w:rsidRPr="00CA5DED">
        <w:rPr>
          <w:rFonts w:ascii="Times New Roman" w:hAnsi="Times New Roman"/>
          <w:bCs/>
        </w:rPr>
        <w:t>México cerraría el año en 6.0%, lo cual resultará en una reducción de 125 pb respecto al cierre estimado</w:t>
      </w:r>
      <w:r>
        <w:rPr>
          <w:rFonts w:ascii="Times New Roman" w:hAnsi="Times New Roman"/>
          <w:bCs/>
        </w:rPr>
        <w:t xml:space="preserve"> </w:t>
      </w:r>
      <w:r w:rsidRPr="00CA5DED">
        <w:rPr>
          <w:rFonts w:ascii="Times New Roman" w:hAnsi="Times New Roman"/>
          <w:bCs/>
        </w:rPr>
        <w:t>de 2025.</w:t>
      </w:r>
    </w:p>
    <w:p w14:paraId="1E6C8571" w14:textId="77777777" w:rsidR="00CA5DED" w:rsidRDefault="00CA5DED" w:rsidP="00CA5DED">
      <w:pPr>
        <w:pStyle w:val="PRIMERAPLANA"/>
        <w:spacing w:line="360" w:lineRule="auto"/>
        <w:rPr>
          <w:rFonts w:ascii="Times New Roman" w:hAnsi="Times New Roman"/>
          <w:bCs/>
        </w:rPr>
      </w:pPr>
    </w:p>
    <w:p w14:paraId="29A542AF" w14:textId="425F0806" w:rsidR="00CA5DED" w:rsidRPr="00CA5DED" w:rsidRDefault="00CA5DED" w:rsidP="00CA5DED">
      <w:pPr>
        <w:pStyle w:val="PRIMERAPLANA"/>
        <w:spacing w:line="360" w:lineRule="auto"/>
        <w:rPr>
          <w:rFonts w:ascii="Times New Roman" w:hAnsi="Times New Roman"/>
          <w:bCs/>
        </w:rPr>
      </w:pPr>
      <w:r w:rsidRPr="00CA5DED">
        <w:rPr>
          <w:rFonts w:ascii="Times New Roman" w:hAnsi="Times New Roman"/>
          <w:bCs/>
        </w:rPr>
        <w:t>El tipo de cambio se proyecta en 18.9 pesos por dólar al cierre de 2026, esto es, una apreciación de 5.6%</w:t>
      </w:r>
      <w:r>
        <w:rPr>
          <w:rFonts w:ascii="Times New Roman" w:hAnsi="Times New Roman"/>
          <w:bCs/>
        </w:rPr>
        <w:t xml:space="preserve"> </w:t>
      </w:r>
      <w:r w:rsidRPr="00CA5DED">
        <w:rPr>
          <w:rFonts w:ascii="Times New Roman" w:hAnsi="Times New Roman"/>
          <w:bCs/>
        </w:rPr>
        <w:t>respecto al nivel estimado para el cierre de 2025. Esta evolución es consistente con episodios históricos</w:t>
      </w:r>
      <w:r>
        <w:rPr>
          <w:rFonts w:ascii="Times New Roman" w:hAnsi="Times New Roman"/>
          <w:bCs/>
        </w:rPr>
        <w:t xml:space="preserve"> </w:t>
      </w:r>
      <w:r w:rsidRPr="00CA5DED">
        <w:rPr>
          <w:rFonts w:ascii="Times New Roman" w:hAnsi="Times New Roman"/>
          <w:bCs/>
        </w:rPr>
        <w:t xml:space="preserve">en </w:t>
      </w:r>
      <w:r w:rsidRPr="00CA5DED">
        <w:rPr>
          <w:rFonts w:ascii="Times New Roman" w:hAnsi="Times New Roman"/>
          <w:bCs/>
        </w:rPr>
        <w:lastRenderedPageBreak/>
        <w:t>los que periodos de depreciación del peso son seguidos por fases de apreciación cambiaria. Por su</w:t>
      </w:r>
      <w:r>
        <w:rPr>
          <w:rFonts w:ascii="Times New Roman" w:hAnsi="Times New Roman"/>
          <w:bCs/>
        </w:rPr>
        <w:t xml:space="preserve"> </w:t>
      </w:r>
      <w:r w:rsidRPr="00CA5DED">
        <w:rPr>
          <w:rFonts w:ascii="Times New Roman" w:hAnsi="Times New Roman"/>
          <w:bCs/>
        </w:rPr>
        <w:t>parte, la cuenta corriente de la balanza de pagos presentará un déficit de 0.6% del PIB, resultado de una</w:t>
      </w:r>
      <w:r>
        <w:rPr>
          <w:rFonts w:ascii="Times New Roman" w:hAnsi="Times New Roman"/>
          <w:bCs/>
        </w:rPr>
        <w:t xml:space="preserve"> </w:t>
      </w:r>
      <w:r w:rsidRPr="00CA5DED">
        <w:rPr>
          <w:rFonts w:ascii="Times New Roman" w:hAnsi="Times New Roman"/>
          <w:bCs/>
        </w:rPr>
        <w:t>moderación en el superávit de la balanza no petrolera, una disminución en el déficit de la balanza petrolera</w:t>
      </w:r>
      <w:r>
        <w:rPr>
          <w:rFonts w:ascii="Times New Roman" w:hAnsi="Times New Roman"/>
          <w:bCs/>
        </w:rPr>
        <w:t xml:space="preserve"> </w:t>
      </w:r>
      <w:r w:rsidRPr="00CA5DED">
        <w:rPr>
          <w:rFonts w:ascii="Times New Roman" w:hAnsi="Times New Roman"/>
          <w:bCs/>
        </w:rPr>
        <w:t>y un comportamiento estable del ingreso primario y secundario.</w:t>
      </w:r>
    </w:p>
    <w:p w14:paraId="7E8F54FF" w14:textId="77777777" w:rsidR="00FA18A9" w:rsidRDefault="00FA18A9" w:rsidP="00CA5DED">
      <w:pPr>
        <w:pStyle w:val="PRIMERAPLANA"/>
        <w:spacing w:line="360" w:lineRule="auto"/>
        <w:rPr>
          <w:rFonts w:ascii="Times New Roman" w:hAnsi="Times New Roman"/>
          <w:bCs/>
        </w:rPr>
      </w:pPr>
    </w:p>
    <w:p w14:paraId="3CA4348B" w14:textId="4032F936" w:rsidR="005B0395" w:rsidRDefault="00CA5DED" w:rsidP="00CA5DED">
      <w:pPr>
        <w:pStyle w:val="PRIMERAPLANA"/>
        <w:spacing w:line="360" w:lineRule="auto"/>
        <w:rPr>
          <w:rFonts w:ascii="Times New Roman" w:hAnsi="Times New Roman"/>
          <w:bCs/>
        </w:rPr>
      </w:pPr>
      <w:r w:rsidRPr="00CA5DED">
        <w:rPr>
          <w:rFonts w:ascii="Times New Roman" w:hAnsi="Times New Roman"/>
          <w:bCs/>
        </w:rPr>
        <w:t>Finalmente, se estima un precio promedio de la MME de 54.9 dpb para 2026, en línea con la metodología</w:t>
      </w:r>
      <w:r>
        <w:rPr>
          <w:rFonts w:ascii="Times New Roman" w:hAnsi="Times New Roman"/>
          <w:bCs/>
        </w:rPr>
        <w:t xml:space="preserve"> </w:t>
      </w:r>
      <w:r w:rsidRPr="00CA5DED">
        <w:rPr>
          <w:rFonts w:ascii="Times New Roman" w:hAnsi="Times New Roman"/>
          <w:bCs/>
        </w:rPr>
        <w:t>establecida en el artículo 31 de la Ley Federal de Presupuesto y Responsabilidad Hacendaria (LFPRH) y el</w:t>
      </w:r>
      <w:r>
        <w:rPr>
          <w:rFonts w:ascii="Times New Roman" w:hAnsi="Times New Roman"/>
          <w:bCs/>
        </w:rPr>
        <w:t xml:space="preserve"> </w:t>
      </w:r>
      <w:r w:rsidRPr="00CA5DED">
        <w:rPr>
          <w:rFonts w:ascii="Times New Roman" w:hAnsi="Times New Roman"/>
          <w:bCs/>
        </w:rPr>
        <w:t>artículo 15 de su Reglamento. Por su parte, la producción petrolera nacional se alineará con el objetivo de</w:t>
      </w:r>
      <w:r>
        <w:rPr>
          <w:rFonts w:ascii="Times New Roman" w:hAnsi="Times New Roman"/>
          <w:bCs/>
        </w:rPr>
        <w:t xml:space="preserve"> </w:t>
      </w:r>
      <w:r w:rsidRPr="00CA5DED">
        <w:rPr>
          <w:rFonts w:ascii="Times New Roman" w:hAnsi="Times New Roman"/>
          <w:bCs/>
        </w:rPr>
        <w:t xml:space="preserve">1.8 </w:t>
      </w:r>
      <w:proofErr w:type="spellStart"/>
      <w:r w:rsidRPr="00CA5DED">
        <w:rPr>
          <w:rFonts w:ascii="Times New Roman" w:hAnsi="Times New Roman"/>
          <w:bCs/>
        </w:rPr>
        <w:t>Mbd</w:t>
      </w:r>
      <w:proofErr w:type="spellEnd"/>
      <w:r w:rsidRPr="00CA5DED">
        <w:rPr>
          <w:rFonts w:ascii="Times New Roman" w:hAnsi="Times New Roman"/>
          <w:bCs/>
        </w:rPr>
        <w:t>, impulsado por el Plan Estratégico 2025–2035 de Pemex, que contempla más de 20 proyectos de</w:t>
      </w:r>
      <w:r>
        <w:rPr>
          <w:rFonts w:ascii="Times New Roman" w:hAnsi="Times New Roman"/>
          <w:bCs/>
        </w:rPr>
        <w:t xml:space="preserve"> </w:t>
      </w:r>
      <w:r w:rsidRPr="00CA5DED">
        <w:rPr>
          <w:rFonts w:ascii="Times New Roman" w:hAnsi="Times New Roman"/>
          <w:bCs/>
        </w:rPr>
        <w:t>exploración y producción con participación privada y en esquemas de inversión mixta.</w:t>
      </w:r>
    </w:p>
    <w:p w14:paraId="183E8D25" w14:textId="77777777" w:rsidR="005B0395" w:rsidRDefault="005B0395" w:rsidP="00AD7E91">
      <w:pPr>
        <w:pStyle w:val="PRIMERAPLANA"/>
        <w:spacing w:line="360" w:lineRule="auto"/>
        <w:rPr>
          <w:rFonts w:ascii="Times New Roman" w:hAnsi="Times New Roman"/>
          <w:bCs/>
        </w:rPr>
      </w:pPr>
    </w:p>
    <w:tbl>
      <w:tblPr>
        <w:tblW w:w="7274" w:type="dxa"/>
        <w:jc w:val="center"/>
        <w:tblCellMar>
          <w:left w:w="70" w:type="dxa"/>
          <w:right w:w="70" w:type="dxa"/>
        </w:tblCellMar>
        <w:tblLook w:val="04A0" w:firstRow="1" w:lastRow="0" w:firstColumn="1" w:lastColumn="0" w:noHBand="0" w:noVBand="1"/>
      </w:tblPr>
      <w:tblGrid>
        <w:gridCol w:w="3969"/>
        <w:gridCol w:w="992"/>
        <w:gridCol w:w="1156"/>
        <w:gridCol w:w="1157"/>
      </w:tblGrid>
      <w:tr w:rsidR="009C339D" w:rsidRPr="00906252" w14:paraId="649E1E7C" w14:textId="77777777" w:rsidTr="00AB514F">
        <w:trPr>
          <w:trHeight w:val="300"/>
          <w:tblHeader/>
          <w:jc w:val="center"/>
        </w:trPr>
        <w:tc>
          <w:tcPr>
            <w:tcW w:w="7274" w:type="dxa"/>
            <w:gridSpan w:val="4"/>
            <w:tcBorders>
              <w:top w:val="nil"/>
              <w:left w:val="nil"/>
              <w:bottom w:val="nil"/>
              <w:right w:val="nil"/>
            </w:tcBorders>
          </w:tcPr>
          <w:p w14:paraId="5EF7D473" w14:textId="2683ABB5" w:rsidR="009C339D" w:rsidRPr="00906252" w:rsidRDefault="009C339D" w:rsidP="007245B8">
            <w:pPr>
              <w:jc w:val="center"/>
              <w:rPr>
                <w:b/>
                <w:bCs/>
                <w:color w:val="000000"/>
                <w:sz w:val="22"/>
                <w:szCs w:val="22"/>
                <w:lang w:eastAsia="es-MX"/>
              </w:rPr>
            </w:pPr>
            <w:r>
              <w:rPr>
                <w:b/>
                <w:bCs/>
                <w:color w:val="000000"/>
                <w:sz w:val="22"/>
                <w:szCs w:val="22"/>
              </w:rPr>
              <w:t>M</w:t>
            </w:r>
            <w:r w:rsidRPr="00906252">
              <w:rPr>
                <w:b/>
                <w:bCs/>
                <w:color w:val="000000"/>
                <w:sz w:val="22"/>
                <w:szCs w:val="22"/>
              </w:rPr>
              <w:t xml:space="preserve">arco </w:t>
            </w:r>
            <w:r>
              <w:rPr>
                <w:b/>
                <w:bCs/>
                <w:color w:val="000000"/>
                <w:sz w:val="22"/>
                <w:szCs w:val="22"/>
              </w:rPr>
              <w:t>M</w:t>
            </w:r>
            <w:r w:rsidRPr="00906252">
              <w:rPr>
                <w:b/>
                <w:bCs/>
                <w:color w:val="000000"/>
                <w:sz w:val="22"/>
                <w:szCs w:val="22"/>
              </w:rPr>
              <w:t>acroeconómico 202</w:t>
            </w:r>
            <w:r>
              <w:rPr>
                <w:b/>
                <w:bCs/>
                <w:color w:val="000000"/>
                <w:sz w:val="22"/>
                <w:szCs w:val="22"/>
              </w:rPr>
              <w:t>5</w:t>
            </w:r>
            <w:r w:rsidRPr="00906252">
              <w:rPr>
                <w:b/>
                <w:bCs/>
                <w:color w:val="000000"/>
                <w:sz w:val="22"/>
                <w:szCs w:val="22"/>
              </w:rPr>
              <w:t>-202</w:t>
            </w:r>
            <w:r>
              <w:rPr>
                <w:b/>
                <w:bCs/>
                <w:color w:val="000000"/>
                <w:sz w:val="22"/>
                <w:szCs w:val="22"/>
              </w:rPr>
              <w:t>6</w:t>
            </w:r>
          </w:p>
        </w:tc>
      </w:tr>
      <w:tr w:rsidR="0047517D" w:rsidRPr="00906252" w14:paraId="634C79AC" w14:textId="77777777" w:rsidTr="009C339D">
        <w:trPr>
          <w:trHeight w:val="300"/>
          <w:tblHeader/>
          <w:jc w:val="center"/>
        </w:trPr>
        <w:tc>
          <w:tcPr>
            <w:tcW w:w="3969" w:type="dxa"/>
            <w:tcBorders>
              <w:top w:val="single" w:sz="4" w:space="0" w:color="auto"/>
              <w:left w:val="nil"/>
              <w:bottom w:val="single" w:sz="4" w:space="0" w:color="auto"/>
              <w:right w:val="nil"/>
            </w:tcBorders>
            <w:shd w:val="clear" w:color="auto" w:fill="E4C776"/>
            <w:noWrap/>
            <w:vAlign w:val="center"/>
            <w:hideMark/>
          </w:tcPr>
          <w:p w14:paraId="21046BAB" w14:textId="77777777" w:rsidR="0047517D" w:rsidRPr="00906252" w:rsidRDefault="0047517D" w:rsidP="007245B8">
            <w:pPr>
              <w:rPr>
                <w:color w:val="000000"/>
                <w:sz w:val="18"/>
                <w:szCs w:val="18"/>
              </w:rPr>
            </w:pPr>
            <w:r w:rsidRPr="00906252">
              <w:rPr>
                <w:color w:val="000000"/>
                <w:sz w:val="18"/>
                <w:szCs w:val="18"/>
              </w:rPr>
              <w:t xml:space="preserve">  </w:t>
            </w:r>
          </w:p>
        </w:tc>
        <w:tc>
          <w:tcPr>
            <w:tcW w:w="992" w:type="dxa"/>
            <w:tcBorders>
              <w:top w:val="single" w:sz="4" w:space="0" w:color="auto"/>
              <w:left w:val="nil"/>
              <w:bottom w:val="single" w:sz="4" w:space="0" w:color="auto"/>
            </w:tcBorders>
            <w:shd w:val="clear" w:color="auto" w:fill="E4C776"/>
            <w:noWrap/>
            <w:vAlign w:val="center"/>
            <w:hideMark/>
          </w:tcPr>
          <w:p w14:paraId="7E76C552" w14:textId="77777777" w:rsidR="0047517D" w:rsidRDefault="0047517D" w:rsidP="007245B8">
            <w:pPr>
              <w:jc w:val="center"/>
              <w:rPr>
                <w:b/>
                <w:bCs/>
                <w:color w:val="740000"/>
                <w:sz w:val="18"/>
                <w:szCs w:val="18"/>
              </w:rPr>
            </w:pPr>
            <w:r>
              <w:rPr>
                <w:b/>
                <w:bCs/>
                <w:color w:val="740000"/>
                <w:sz w:val="18"/>
                <w:szCs w:val="18"/>
              </w:rPr>
              <w:t>Aprobado</w:t>
            </w:r>
          </w:p>
          <w:p w14:paraId="41A332D2" w14:textId="2B378505" w:rsidR="0047517D" w:rsidRPr="00906252" w:rsidRDefault="0047517D" w:rsidP="007245B8">
            <w:pPr>
              <w:jc w:val="center"/>
              <w:rPr>
                <w:b/>
                <w:bCs/>
                <w:color w:val="740000"/>
                <w:sz w:val="18"/>
                <w:szCs w:val="18"/>
              </w:rPr>
            </w:pPr>
            <w:r w:rsidRPr="00906252">
              <w:rPr>
                <w:b/>
                <w:bCs/>
                <w:color w:val="740000"/>
                <w:sz w:val="18"/>
                <w:szCs w:val="18"/>
              </w:rPr>
              <w:t>202</w:t>
            </w:r>
            <w:r>
              <w:rPr>
                <w:b/>
                <w:bCs/>
                <w:color w:val="740000"/>
                <w:sz w:val="18"/>
                <w:szCs w:val="18"/>
              </w:rPr>
              <w:t>5</w:t>
            </w:r>
          </w:p>
        </w:tc>
        <w:tc>
          <w:tcPr>
            <w:tcW w:w="1156" w:type="dxa"/>
            <w:tcBorders>
              <w:top w:val="single" w:sz="4" w:space="0" w:color="auto"/>
              <w:bottom w:val="single" w:sz="4" w:space="0" w:color="auto"/>
              <w:right w:val="nil"/>
            </w:tcBorders>
            <w:shd w:val="clear" w:color="auto" w:fill="E4C776"/>
            <w:vAlign w:val="center"/>
          </w:tcPr>
          <w:p w14:paraId="3D4CA5DF" w14:textId="77777777" w:rsidR="0047517D" w:rsidRDefault="0047517D" w:rsidP="007245B8">
            <w:pPr>
              <w:jc w:val="center"/>
              <w:rPr>
                <w:b/>
                <w:bCs/>
                <w:color w:val="740000"/>
                <w:sz w:val="18"/>
                <w:szCs w:val="18"/>
              </w:rPr>
            </w:pPr>
            <w:r>
              <w:rPr>
                <w:b/>
                <w:bCs/>
                <w:color w:val="740000"/>
                <w:sz w:val="18"/>
                <w:szCs w:val="18"/>
              </w:rPr>
              <w:t>Estimado</w:t>
            </w:r>
          </w:p>
          <w:p w14:paraId="6DB0A6EC" w14:textId="24762363" w:rsidR="0047517D" w:rsidRPr="00906252" w:rsidRDefault="0047517D" w:rsidP="007245B8">
            <w:pPr>
              <w:jc w:val="center"/>
              <w:rPr>
                <w:b/>
                <w:bCs/>
                <w:color w:val="740000"/>
                <w:sz w:val="18"/>
                <w:szCs w:val="18"/>
              </w:rPr>
            </w:pPr>
            <w:r>
              <w:rPr>
                <w:b/>
                <w:bCs/>
                <w:color w:val="740000"/>
                <w:sz w:val="18"/>
                <w:szCs w:val="18"/>
              </w:rPr>
              <w:t>2025</w:t>
            </w:r>
          </w:p>
        </w:tc>
        <w:tc>
          <w:tcPr>
            <w:tcW w:w="1157" w:type="dxa"/>
            <w:tcBorders>
              <w:top w:val="single" w:sz="4" w:space="0" w:color="auto"/>
              <w:left w:val="nil"/>
              <w:bottom w:val="single" w:sz="4" w:space="0" w:color="auto"/>
              <w:right w:val="nil"/>
            </w:tcBorders>
            <w:shd w:val="clear" w:color="auto" w:fill="E4C776"/>
            <w:noWrap/>
            <w:vAlign w:val="center"/>
            <w:hideMark/>
          </w:tcPr>
          <w:p w14:paraId="2CE188DE" w14:textId="00B0D95B" w:rsidR="0047517D" w:rsidRPr="00906252" w:rsidRDefault="0047517D" w:rsidP="007245B8">
            <w:pPr>
              <w:jc w:val="center"/>
              <w:rPr>
                <w:b/>
                <w:bCs/>
                <w:color w:val="740000"/>
                <w:sz w:val="18"/>
                <w:szCs w:val="18"/>
              </w:rPr>
            </w:pPr>
            <w:r w:rsidRPr="00906252">
              <w:rPr>
                <w:b/>
                <w:bCs/>
                <w:color w:val="740000"/>
                <w:sz w:val="18"/>
                <w:szCs w:val="18"/>
              </w:rPr>
              <w:t>202</w:t>
            </w:r>
            <w:r>
              <w:rPr>
                <w:b/>
                <w:bCs/>
                <w:color w:val="740000"/>
                <w:sz w:val="18"/>
                <w:szCs w:val="18"/>
              </w:rPr>
              <w:t>6</w:t>
            </w:r>
          </w:p>
        </w:tc>
      </w:tr>
      <w:tr w:rsidR="0047517D" w:rsidRPr="002A437F" w14:paraId="549A89B9" w14:textId="77777777" w:rsidTr="009C339D">
        <w:trPr>
          <w:trHeight w:val="300"/>
          <w:jc w:val="center"/>
        </w:trPr>
        <w:tc>
          <w:tcPr>
            <w:tcW w:w="3969" w:type="dxa"/>
            <w:tcBorders>
              <w:top w:val="nil"/>
              <w:left w:val="nil"/>
              <w:bottom w:val="nil"/>
              <w:right w:val="nil"/>
            </w:tcBorders>
            <w:noWrap/>
            <w:vAlign w:val="bottom"/>
            <w:hideMark/>
          </w:tcPr>
          <w:p w14:paraId="07E4B133" w14:textId="77777777" w:rsidR="0047517D" w:rsidRPr="002A437F" w:rsidRDefault="0047517D" w:rsidP="007245B8">
            <w:pPr>
              <w:rPr>
                <w:b/>
                <w:bCs/>
                <w:color w:val="000000"/>
                <w:sz w:val="18"/>
                <w:szCs w:val="18"/>
              </w:rPr>
            </w:pPr>
            <w:r w:rsidRPr="002A437F">
              <w:rPr>
                <w:b/>
                <w:bCs/>
                <w:color w:val="000000"/>
                <w:sz w:val="18"/>
                <w:szCs w:val="18"/>
              </w:rPr>
              <w:t xml:space="preserve">Producto Interno Bruto </w:t>
            </w:r>
          </w:p>
        </w:tc>
        <w:tc>
          <w:tcPr>
            <w:tcW w:w="992" w:type="dxa"/>
            <w:tcBorders>
              <w:top w:val="nil"/>
              <w:left w:val="nil"/>
              <w:bottom w:val="nil"/>
              <w:right w:val="nil"/>
            </w:tcBorders>
            <w:noWrap/>
            <w:vAlign w:val="bottom"/>
            <w:hideMark/>
          </w:tcPr>
          <w:p w14:paraId="6B6EB2B6" w14:textId="77777777" w:rsidR="0047517D" w:rsidRPr="002A437F" w:rsidRDefault="0047517D" w:rsidP="007245B8">
            <w:pPr>
              <w:rPr>
                <w:b/>
                <w:bCs/>
                <w:color w:val="000000"/>
                <w:sz w:val="18"/>
                <w:szCs w:val="18"/>
              </w:rPr>
            </w:pPr>
          </w:p>
        </w:tc>
        <w:tc>
          <w:tcPr>
            <w:tcW w:w="1156" w:type="dxa"/>
            <w:tcBorders>
              <w:top w:val="nil"/>
              <w:left w:val="nil"/>
              <w:bottom w:val="nil"/>
              <w:right w:val="nil"/>
            </w:tcBorders>
          </w:tcPr>
          <w:p w14:paraId="09759A1E" w14:textId="77777777" w:rsidR="0047517D" w:rsidRPr="002A437F" w:rsidRDefault="0047517D" w:rsidP="007245B8">
            <w:pPr>
              <w:rPr>
                <w:b/>
                <w:bCs/>
                <w:sz w:val="20"/>
                <w:szCs w:val="20"/>
              </w:rPr>
            </w:pPr>
          </w:p>
        </w:tc>
        <w:tc>
          <w:tcPr>
            <w:tcW w:w="1157" w:type="dxa"/>
            <w:tcBorders>
              <w:top w:val="nil"/>
              <w:left w:val="nil"/>
              <w:bottom w:val="nil"/>
              <w:right w:val="nil"/>
            </w:tcBorders>
            <w:noWrap/>
            <w:vAlign w:val="bottom"/>
            <w:hideMark/>
          </w:tcPr>
          <w:p w14:paraId="10CAF15F" w14:textId="2D008EDE" w:rsidR="0047517D" w:rsidRPr="002A437F" w:rsidRDefault="0047517D" w:rsidP="007245B8">
            <w:pPr>
              <w:rPr>
                <w:b/>
                <w:bCs/>
                <w:sz w:val="20"/>
                <w:szCs w:val="20"/>
              </w:rPr>
            </w:pPr>
          </w:p>
        </w:tc>
      </w:tr>
      <w:tr w:rsidR="002A437F" w:rsidRPr="00906252" w14:paraId="17AD28FB" w14:textId="77777777" w:rsidTr="009C339D">
        <w:trPr>
          <w:trHeight w:val="300"/>
          <w:jc w:val="center"/>
        </w:trPr>
        <w:tc>
          <w:tcPr>
            <w:tcW w:w="3969" w:type="dxa"/>
            <w:tcBorders>
              <w:top w:val="nil"/>
              <w:left w:val="nil"/>
              <w:bottom w:val="nil"/>
              <w:right w:val="nil"/>
            </w:tcBorders>
            <w:shd w:val="clear" w:color="000000" w:fill="F2F2F2"/>
            <w:noWrap/>
            <w:vAlign w:val="bottom"/>
            <w:hideMark/>
          </w:tcPr>
          <w:p w14:paraId="47A27199" w14:textId="77777777" w:rsidR="002A437F" w:rsidRPr="00906252" w:rsidRDefault="002A437F" w:rsidP="002A437F">
            <w:pPr>
              <w:rPr>
                <w:color w:val="000000"/>
                <w:sz w:val="18"/>
                <w:szCs w:val="18"/>
              </w:rPr>
            </w:pPr>
            <w:r w:rsidRPr="00906252">
              <w:rPr>
                <w:color w:val="000000"/>
                <w:sz w:val="18"/>
                <w:szCs w:val="18"/>
              </w:rPr>
              <w:t xml:space="preserve">     Crecimiento % real (rango) </w:t>
            </w:r>
          </w:p>
        </w:tc>
        <w:tc>
          <w:tcPr>
            <w:tcW w:w="992" w:type="dxa"/>
            <w:tcBorders>
              <w:top w:val="nil"/>
              <w:left w:val="nil"/>
              <w:bottom w:val="nil"/>
              <w:right w:val="nil"/>
            </w:tcBorders>
            <w:shd w:val="clear" w:color="000000" w:fill="F2F2F2"/>
            <w:noWrap/>
            <w:vAlign w:val="bottom"/>
            <w:hideMark/>
          </w:tcPr>
          <w:p w14:paraId="3DECC9EE" w14:textId="366EC3F2" w:rsidR="002A437F" w:rsidRPr="00906252" w:rsidRDefault="002A437F" w:rsidP="002A437F">
            <w:pPr>
              <w:jc w:val="right"/>
              <w:rPr>
                <w:color w:val="000000"/>
                <w:sz w:val="18"/>
                <w:szCs w:val="18"/>
              </w:rPr>
            </w:pPr>
            <w:r w:rsidRPr="00906252">
              <w:rPr>
                <w:color w:val="000000"/>
                <w:sz w:val="18"/>
                <w:szCs w:val="18"/>
              </w:rPr>
              <w:t>[2.</w:t>
            </w:r>
            <w:r>
              <w:rPr>
                <w:color w:val="000000"/>
                <w:sz w:val="18"/>
                <w:szCs w:val="18"/>
              </w:rPr>
              <w:t>0</w:t>
            </w:r>
            <w:r w:rsidRPr="00906252">
              <w:rPr>
                <w:color w:val="000000"/>
                <w:sz w:val="18"/>
                <w:szCs w:val="18"/>
              </w:rPr>
              <w:t>, 3.</w:t>
            </w:r>
            <w:r>
              <w:rPr>
                <w:color w:val="000000"/>
                <w:sz w:val="18"/>
                <w:szCs w:val="18"/>
              </w:rPr>
              <w:t>0</w:t>
            </w:r>
            <w:r w:rsidRPr="00906252">
              <w:rPr>
                <w:color w:val="000000"/>
                <w:sz w:val="18"/>
                <w:szCs w:val="18"/>
              </w:rPr>
              <w:t xml:space="preserve">] </w:t>
            </w:r>
          </w:p>
        </w:tc>
        <w:tc>
          <w:tcPr>
            <w:tcW w:w="1156" w:type="dxa"/>
            <w:tcBorders>
              <w:top w:val="nil"/>
              <w:left w:val="nil"/>
              <w:bottom w:val="nil"/>
              <w:right w:val="nil"/>
            </w:tcBorders>
            <w:shd w:val="clear" w:color="000000" w:fill="F2F2F2"/>
            <w:vAlign w:val="bottom"/>
          </w:tcPr>
          <w:p w14:paraId="22F0F282" w14:textId="79C488A8" w:rsidR="002A437F" w:rsidRPr="00906252" w:rsidRDefault="002A437F" w:rsidP="002A437F">
            <w:pPr>
              <w:jc w:val="right"/>
              <w:rPr>
                <w:color w:val="000000"/>
                <w:sz w:val="18"/>
                <w:szCs w:val="18"/>
              </w:rPr>
            </w:pPr>
            <w:r w:rsidRPr="00906252">
              <w:rPr>
                <w:color w:val="000000"/>
                <w:sz w:val="18"/>
                <w:szCs w:val="18"/>
              </w:rPr>
              <w:t xml:space="preserve">     [</w:t>
            </w:r>
            <w:r>
              <w:rPr>
                <w:color w:val="000000"/>
                <w:sz w:val="18"/>
                <w:szCs w:val="18"/>
              </w:rPr>
              <w:t>0</w:t>
            </w:r>
            <w:r w:rsidRPr="00906252">
              <w:rPr>
                <w:color w:val="000000"/>
                <w:sz w:val="18"/>
                <w:szCs w:val="18"/>
              </w:rPr>
              <w:t>.</w:t>
            </w:r>
            <w:r>
              <w:rPr>
                <w:color w:val="000000"/>
                <w:sz w:val="18"/>
                <w:szCs w:val="18"/>
              </w:rPr>
              <w:t>5</w:t>
            </w:r>
            <w:r w:rsidRPr="00906252">
              <w:rPr>
                <w:color w:val="000000"/>
                <w:sz w:val="18"/>
                <w:szCs w:val="18"/>
              </w:rPr>
              <w:t xml:space="preserve">, </w:t>
            </w:r>
            <w:r>
              <w:rPr>
                <w:color w:val="000000"/>
                <w:sz w:val="18"/>
                <w:szCs w:val="18"/>
              </w:rPr>
              <w:t>1</w:t>
            </w:r>
            <w:r w:rsidRPr="00906252">
              <w:rPr>
                <w:color w:val="000000"/>
                <w:sz w:val="18"/>
                <w:szCs w:val="18"/>
              </w:rPr>
              <w:t>.</w:t>
            </w:r>
            <w:r>
              <w:rPr>
                <w:color w:val="000000"/>
                <w:sz w:val="18"/>
                <w:szCs w:val="18"/>
              </w:rPr>
              <w:t>5</w:t>
            </w:r>
            <w:r w:rsidRPr="00906252">
              <w:rPr>
                <w:color w:val="000000"/>
                <w:sz w:val="18"/>
                <w:szCs w:val="18"/>
              </w:rPr>
              <w:t xml:space="preserve">] </w:t>
            </w:r>
          </w:p>
        </w:tc>
        <w:tc>
          <w:tcPr>
            <w:tcW w:w="1157" w:type="dxa"/>
            <w:tcBorders>
              <w:top w:val="nil"/>
              <w:left w:val="nil"/>
              <w:bottom w:val="nil"/>
              <w:right w:val="nil"/>
            </w:tcBorders>
            <w:shd w:val="clear" w:color="000000" w:fill="F2F2F2"/>
            <w:noWrap/>
            <w:vAlign w:val="bottom"/>
            <w:hideMark/>
          </w:tcPr>
          <w:p w14:paraId="400B9703" w14:textId="199F1B54" w:rsidR="002A437F" w:rsidRPr="00906252" w:rsidRDefault="002A437F" w:rsidP="002A437F">
            <w:pPr>
              <w:jc w:val="right"/>
              <w:rPr>
                <w:color w:val="000000"/>
                <w:sz w:val="18"/>
                <w:szCs w:val="18"/>
              </w:rPr>
            </w:pPr>
            <w:r w:rsidRPr="00906252">
              <w:rPr>
                <w:color w:val="000000"/>
                <w:sz w:val="18"/>
                <w:szCs w:val="18"/>
              </w:rPr>
              <w:t xml:space="preserve">     [</w:t>
            </w:r>
            <w:r>
              <w:rPr>
                <w:color w:val="000000"/>
                <w:sz w:val="18"/>
                <w:szCs w:val="18"/>
              </w:rPr>
              <w:t>1</w:t>
            </w:r>
            <w:r w:rsidRPr="00906252">
              <w:rPr>
                <w:color w:val="000000"/>
                <w:sz w:val="18"/>
                <w:szCs w:val="18"/>
              </w:rPr>
              <w:t>.</w:t>
            </w:r>
            <w:r>
              <w:rPr>
                <w:color w:val="000000"/>
                <w:sz w:val="18"/>
                <w:szCs w:val="18"/>
              </w:rPr>
              <w:t>8</w:t>
            </w:r>
            <w:r w:rsidRPr="00906252">
              <w:rPr>
                <w:color w:val="000000"/>
                <w:sz w:val="18"/>
                <w:szCs w:val="18"/>
              </w:rPr>
              <w:t xml:space="preserve">, </w:t>
            </w:r>
            <w:r>
              <w:rPr>
                <w:color w:val="000000"/>
                <w:sz w:val="18"/>
                <w:szCs w:val="18"/>
              </w:rPr>
              <w:t>2</w:t>
            </w:r>
            <w:r w:rsidRPr="00906252">
              <w:rPr>
                <w:color w:val="000000"/>
                <w:sz w:val="18"/>
                <w:szCs w:val="18"/>
              </w:rPr>
              <w:t>.</w:t>
            </w:r>
            <w:r>
              <w:rPr>
                <w:color w:val="000000"/>
                <w:sz w:val="18"/>
                <w:szCs w:val="18"/>
              </w:rPr>
              <w:t>8</w:t>
            </w:r>
            <w:r w:rsidRPr="00906252">
              <w:rPr>
                <w:color w:val="000000"/>
                <w:sz w:val="18"/>
                <w:szCs w:val="18"/>
              </w:rPr>
              <w:t xml:space="preserve">] </w:t>
            </w:r>
          </w:p>
        </w:tc>
      </w:tr>
      <w:tr w:rsidR="002A437F" w:rsidRPr="00906252" w14:paraId="414E712B" w14:textId="77777777" w:rsidTr="009C339D">
        <w:trPr>
          <w:trHeight w:val="300"/>
          <w:jc w:val="center"/>
        </w:trPr>
        <w:tc>
          <w:tcPr>
            <w:tcW w:w="3969" w:type="dxa"/>
            <w:tcBorders>
              <w:top w:val="nil"/>
              <w:left w:val="nil"/>
              <w:bottom w:val="nil"/>
              <w:right w:val="nil"/>
            </w:tcBorders>
            <w:noWrap/>
            <w:vAlign w:val="bottom"/>
            <w:hideMark/>
          </w:tcPr>
          <w:p w14:paraId="6909E552" w14:textId="77777777" w:rsidR="002A437F" w:rsidRPr="00906252" w:rsidRDefault="002A437F" w:rsidP="002A437F">
            <w:pPr>
              <w:rPr>
                <w:color w:val="000000"/>
                <w:sz w:val="18"/>
                <w:szCs w:val="18"/>
              </w:rPr>
            </w:pPr>
            <w:r w:rsidRPr="00906252">
              <w:rPr>
                <w:color w:val="000000"/>
                <w:sz w:val="18"/>
                <w:szCs w:val="18"/>
              </w:rPr>
              <w:t xml:space="preserve">     Nominal (miles de millones de pesos) </w:t>
            </w:r>
          </w:p>
        </w:tc>
        <w:tc>
          <w:tcPr>
            <w:tcW w:w="992" w:type="dxa"/>
            <w:tcBorders>
              <w:top w:val="nil"/>
              <w:left w:val="nil"/>
              <w:bottom w:val="nil"/>
              <w:right w:val="nil"/>
            </w:tcBorders>
            <w:noWrap/>
            <w:vAlign w:val="bottom"/>
            <w:hideMark/>
          </w:tcPr>
          <w:p w14:paraId="3BAF6736" w14:textId="58B3F966" w:rsidR="002A437F" w:rsidRPr="00906252" w:rsidRDefault="002A437F" w:rsidP="002A437F">
            <w:pPr>
              <w:jc w:val="right"/>
              <w:rPr>
                <w:color w:val="000000"/>
                <w:sz w:val="18"/>
                <w:szCs w:val="18"/>
              </w:rPr>
            </w:pPr>
            <w:r w:rsidRPr="00906252">
              <w:rPr>
                <w:color w:val="000000"/>
                <w:sz w:val="18"/>
                <w:szCs w:val="18"/>
              </w:rPr>
              <w:t>3</w:t>
            </w:r>
            <w:r>
              <w:rPr>
                <w:color w:val="000000"/>
                <w:sz w:val="18"/>
                <w:szCs w:val="18"/>
              </w:rPr>
              <w:t>6</w:t>
            </w:r>
            <w:r w:rsidRPr="00906252">
              <w:rPr>
                <w:color w:val="000000"/>
                <w:sz w:val="18"/>
                <w:szCs w:val="18"/>
              </w:rPr>
              <w:t>,</w:t>
            </w:r>
            <w:r>
              <w:rPr>
                <w:color w:val="000000"/>
                <w:sz w:val="18"/>
                <w:szCs w:val="18"/>
              </w:rPr>
              <w:t>166</w:t>
            </w:r>
            <w:r w:rsidRPr="00906252">
              <w:rPr>
                <w:color w:val="000000"/>
                <w:sz w:val="18"/>
                <w:szCs w:val="18"/>
              </w:rPr>
              <w:t>.</w:t>
            </w:r>
            <w:r>
              <w:rPr>
                <w:color w:val="000000"/>
                <w:sz w:val="18"/>
                <w:szCs w:val="18"/>
              </w:rPr>
              <w:t>4</w:t>
            </w:r>
          </w:p>
        </w:tc>
        <w:tc>
          <w:tcPr>
            <w:tcW w:w="1156" w:type="dxa"/>
            <w:tcBorders>
              <w:top w:val="nil"/>
              <w:left w:val="nil"/>
              <w:bottom w:val="nil"/>
              <w:right w:val="nil"/>
            </w:tcBorders>
            <w:vAlign w:val="bottom"/>
          </w:tcPr>
          <w:p w14:paraId="1E05B1BC" w14:textId="7956A905" w:rsidR="002A437F" w:rsidRPr="00906252" w:rsidRDefault="002A437F" w:rsidP="002A437F">
            <w:pPr>
              <w:jc w:val="right"/>
              <w:rPr>
                <w:color w:val="000000"/>
                <w:sz w:val="18"/>
                <w:szCs w:val="18"/>
              </w:rPr>
            </w:pPr>
            <w:r w:rsidRPr="00906252">
              <w:rPr>
                <w:color w:val="000000"/>
                <w:sz w:val="18"/>
                <w:szCs w:val="18"/>
              </w:rPr>
              <w:t>36,12</w:t>
            </w:r>
            <w:r>
              <w:rPr>
                <w:color w:val="000000"/>
                <w:sz w:val="18"/>
                <w:szCs w:val="18"/>
              </w:rPr>
              <w:t>5</w:t>
            </w:r>
            <w:r w:rsidRPr="00906252">
              <w:rPr>
                <w:color w:val="000000"/>
                <w:sz w:val="18"/>
                <w:szCs w:val="18"/>
              </w:rPr>
              <w:t>.</w:t>
            </w:r>
            <w:r>
              <w:rPr>
                <w:color w:val="000000"/>
                <w:sz w:val="18"/>
                <w:szCs w:val="18"/>
              </w:rPr>
              <w:t>5</w:t>
            </w:r>
          </w:p>
        </w:tc>
        <w:tc>
          <w:tcPr>
            <w:tcW w:w="1157" w:type="dxa"/>
            <w:tcBorders>
              <w:top w:val="nil"/>
              <w:left w:val="nil"/>
              <w:bottom w:val="nil"/>
              <w:right w:val="nil"/>
            </w:tcBorders>
            <w:noWrap/>
            <w:vAlign w:val="bottom"/>
            <w:hideMark/>
          </w:tcPr>
          <w:p w14:paraId="53175616" w14:textId="257337A3" w:rsidR="002A437F" w:rsidRPr="00906252" w:rsidRDefault="002A437F" w:rsidP="002A437F">
            <w:pPr>
              <w:jc w:val="right"/>
              <w:rPr>
                <w:color w:val="000000"/>
                <w:sz w:val="18"/>
                <w:szCs w:val="18"/>
              </w:rPr>
            </w:pPr>
            <w:r w:rsidRPr="00906252">
              <w:rPr>
                <w:color w:val="000000"/>
                <w:sz w:val="18"/>
                <w:szCs w:val="18"/>
              </w:rPr>
              <w:t>3</w:t>
            </w:r>
            <w:r>
              <w:rPr>
                <w:color w:val="000000"/>
                <w:sz w:val="18"/>
                <w:szCs w:val="18"/>
              </w:rPr>
              <w:t>8</w:t>
            </w:r>
            <w:r w:rsidRPr="00906252">
              <w:rPr>
                <w:color w:val="000000"/>
                <w:sz w:val="18"/>
                <w:szCs w:val="18"/>
              </w:rPr>
              <w:t>,</w:t>
            </w:r>
            <w:r>
              <w:rPr>
                <w:color w:val="000000"/>
                <w:sz w:val="18"/>
                <w:szCs w:val="18"/>
              </w:rPr>
              <w:t>715</w:t>
            </w:r>
            <w:r w:rsidRPr="00906252">
              <w:rPr>
                <w:color w:val="000000"/>
                <w:sz w:val="18"/>
                <w:szCs w:val="18"/>
              </w:rPr>
              <w:t>.</w:t>
            </w:r>
            <w:r>
              <w:rPr>
                <w:color w:val="000000"/>
                <w:sz w:val="18"/>
                <w:szCs w:val="18"/>
              </w:rPr>
              <w:t>9</w:t>
            </w:r>
          </w:p>
        </w:tc>
      </w:tr>
      <w:tr w:rsidR="002A437F" w:rsidRPr="00906252" w14:paraId="74772224" w14:textId="77777777" w:rsidTr="009C339D">
        <w:trPr>
          <w:trHeight w:val="300"/>
          <w:jc w:val="center"/>
        </w:trPr>
        <w:tc>
          <w:tcPr>
            <w:tcW w:w="3969" w:type="dxa"/>
            <w:tcBorders>
              <w:top w:val="nil"/>
              <w:left w:val="nil"/>
              <w:bottom w:val="nil"/>
              <w:right w:val="nil"/>
            </w:tcBorders>
            <w:shd w:val="clear" w:color="000000" w:fill="F2F2F2"/>
            <w:noWrap/>
            <w:vAlign w:val="bottom"/>
            <w:hideMark/>
          </w:tcPr>
          <w:p w14:paraId="79585D07" w14:textId="73DBC1FA" w:rsidR="002A437F" w:rsidRPr="00906252" w:rsidRDefault="002A437F" w:rsidP="002A437F">
            <w:pPr>
              <w:rPr>
                <w:color w:val="000000"/>
                <w:sz w:val="18"/>
                <w:szCs w:val="18"/>
              </w:rPr>
            </w:pPr>
            <w:r w:rsidRPr="00906252">
              <w:rPr>
                <w:color w:val="000000"/>
                <w:sz w:val="18"/>
                <w:szCs w:val="18"/>
              </w:rPr>
              <w:t xml:space="preserve">     Deflactor del PIB  </w:t>
            </w:r>
          </w:p>
        </w:tc>
        <w:tc>
          <w:tcPr>
            <w:tcW w:w="992" w:type="dxa"/>
            <w:tcBorders>
              <w:top w:val="nil"/>
              <w:left w:val="nil"/>
              <w:bottom w:val="nil"/>
              <w:right w:val="nil"/>
            </w:tcBorders>
            <w:shd w:val="clear" w:color="000000" w:fill="F2F2F2"/>
            <w:noWrap/>
            <w:vAlign w:val="bottom"/>
            <w:hideMark/>
          </w:tcPr>
          <w:p w14:paraId="4DF5D0A6" w14:textId="7C245392" w:rsidR="002A437F" w:rsidRPr="00906252" w:rsidRDefault="002A437F" w:rsidP="002A437F">
            <w:pPr>
              <w:jc w:val="right"/>
              <w:rPr>
                <w:color w:val="000000"/>
                <w:sz w:val="18"/>
                <w:szCs w:val="18"/>
              </w:rPr>
            </w:pPr>
            <w:r w:rsidRPr="00906252">
              <w:rPr>
                <w:color w:val="000000"/>
                <w:sz w:val="18"/>
                <w:szCs w:val="18"/>
              </w:rPr>
              <w:t>4.</w:t>
            </w:r>
            <w:r>
              <w:rPr>
                <w:color w:val="000000"/>
                <w:sz w:val="18"/>
                <w:szCs w:val="18"/>
              </w:rPr>
              <w:t>3</w:t>
            </w:r>
          </w:p>
        </w:tc>
        <w:tc>
          <w:tcPr>
            <w:tcW w:w="1156" w:type="dxa"/>
            <w:tcBorders>
              <w:top w:val="nil"/>
              <w:left w:val="nil"/>
              <w:bottom w:val="nil"/>
              <w:right w:val="nil"/>
            </w:tcBorders>
            <w:shd w:val="clear" w:color="000000" w:fill="F2F2F2"/>
            <w:vAlign w:val="bottom"/>
          </w:tcPr>
          <w:p w14:paraId="62AC5249" w14:textId="1E2D31BA" w:rsidR="002A437F" w:rsidRPr="00906252" w:rsidRDefault="002A437F" w:rsidP="002A437F">
            <w:pPr>
              <w:jc w:val="right"/>
              <w:rPr>
                <w:color w:val="000000"/>
                <w:sz w:val="18"/>
                <w:szCs w:val="18"/>
              </w:rPr>
            </w:pPr>
            <w:r>
              <w:rPr>
                <w:color w:val="000000"/>
                <w:sz w:val="18"/>
                <w:szCs w:val="18"/>
              </w:rPr>
              <w:t>5</w:t>
            </w:r>
            <w:r w:rsidRPr="00906252">
              <w:rPr>
                <w:color w:val="000000"/>
                <w:sz w:val="18"/>
                <w:szCs w:val="18"/>
              </w:rPr>
              <w:t>.</w:t>
            </w:r>
            <w:r>
              <w:rPr>
                <w:color w:val="000000"/>
                <w:sz w:val="18"/>
                <w:szCs w:val="18"/>
              </w:rPr>
              <w:t>2</w:t>
            </w:r>
          </w:p>
        </w:tc>
        <w:tc>
          <w:tcPr>
            <w:tcW w:w="1157" w:type="dxa"/>
            <w:tcBorders>
              <w:top w:val="nil"/>
              <w:left w:val="nil"/>
              <w:bottom w:val="nil"/>
              <w:right w:val="nil"/>
            </w:tcBorders>
            <w:shd w:val="clear" w:color="000000" w:fill="F2F2F2"/>
            <w:noWrap/>
            <w:vAlign w:val="bottom"/>
            <w:hideMark/>
          </w:tcPr>
          <w:p w14:paraId="6A525AED" w14:textId="2F588192" w:rsidR="002A437F" w:rsidRPr="00906252" w:rsidRDefault="002A437F" w:rsidP="002A437F">
            <w:pPr>
              <w:jc w:val="right"/>
              <w:rPr>
                <w:color w:val="000000"/>
                <w:sz w:val="18"/>
                <w:szCs w:val="18"/>
              </w:rPr>
            </w:pPr>
            <w:r>
              <w:rPr>
                <w:color w:val="000000"/>
                <w:sz w:val="18"/>
                <w:szCs w:val="18"/>
              </w:rPr>
              <w:t>4</w:t>
            </w:r>
            <w:r w:rsidRPr="00906252">
              <w:rPr>
                <w:color w:val="000000"/>
                <w:sz w:val="18"/>
                <w:szCs w:val="18"/>
              </w:rPr>
              <w:t>.</w:t>
            </w:r>
            <w:r>
              <w:rPr>
                <w:color w:val="000000"/>
                <w:sz w:val="18"/>
                <w:szCs w:val="18"/>
              </w:rPr>
              <w:t>8</w:t>
            </w:r>
          </w:p>
        </w:tc>
      </w:tr>
      <w:tr w:rsidR="002A437F" w:rsidRPr="002A437F" w14:paraId="4BE4BA31" w14:textId="77777777" w:rsidTr="009C339D">
        <w:trPr>
          <w:trHeight w:val="300"/>
          <w:jc w:val="center"/>
        </w:trPr>
        <w:tc>
          <w:tcPr>
            <w:tcW w:w="3969" w:type="dxa"/>
            <w:tcBorders>
              <w:top w:val="nil"/>
              <w:left w:val="nil"/>
              <w:bottom w:val="nil"/>
              <w:right w:val="nil"/>
            </w:tcBorders>
            <w:noWrap/>
            <w:vAlign w:val="bottom"/>
            <w:hideMark/>
          </w:tcPr>
          <w:p w14:paraId="1965BC70" w14:textId="77777777" w:rsidR="002A437F" w:rsidRPr="002A437F" w:rsidRDefault="002A437F" w:rsidP="002A437F">
            <w:pPr>
              <w:rPr>
                <w:b/>
                <w:bCs/>
                <w:color w:val="000000"/>
                <w:sz w:val="18"/>
                <w:szCs w:val="18"/>
              </w:rPr>
            </w:pPr>
            <w:r w:rsidRPr="002A437F">
              <w:rPr>
                <w:b/>
                <w:bCs/>
                <w:color w:val="000000"/>
                <w:sz w:val="18"/>
                <w:szCs w:val="18"/>
              </w:rPr>
              <w:t xml:space="preserve">Inflación (%) </w:t>
            </w:r>
          </w:p>
        </w:tc>
        <w:tc>
          <w:tcPr>
            <w:tcW w:w="992" w:type="dxa"/>
            <w:tcBorders>
              <w:top w:val="nil"/>
              <w:left w:val="nil"/>
              <w:bottom w:val="nil"/>
              <w:right w:val="nil"/>
            </w:tcBorders>
            <w:noWrap/>
            <w:vAlign w:val="bottom"/>
            <w:hideMark/>
          </w:tcPr>
          <w:p w14:paraId="6EFAC3D1" w14:textId="77777777" w:rsidR="002A437F" w:rsidRPr="002A437F" w:rsidRDefault="002A437F" w:rsidP="002A437F">
            <w:pPr>
              <w:rPr>
                <w:b/>
                <w:bCs/>
                <w:color w:val="000000"/>
                <w:sz w:val="18"/>
                <w:szCs w:val="18"/>
              </w:rPr>
            </w:pPr>
          </w:p>
        </w:tc>
        <w:tc>
          <w:tcPr>
            <w:tcW w:w="1156" w:type="dxa"/>
            <w:tcBorders>
              <w:top w:val="nil"/>
              <w:left w:val="nil"/>
              <w:bottom w:val="nil"/>
              <w:right w:val="nil"/>
            </w:tcBorders>
            <w:vAlign w:val="bottom"/>
          </w:tcPr>
          <w:p w14:paraId="5C7A091B" w14:textId="77777777" w:rsidR="002A437F" w:rsidRPr="002A437F" w:rsidRDefault="002A437F" w:rsidP="002A437F">
            <w:pPr>
              <w:rPr>
                <w:b/>
                <w:bCs/>
                <w:sz w:val="20"/>
                <w:szCs w:val="20"/>
              </w:rPr>
            </w:pPr>
          </w:p>
        </w:tc>
        <w:tc>
          <w:tcPr>
            <w:tcW w:w="1157" w:type="dxa"/>
            <w:tcBorders>
              <w:top w:val="nil"/>
              <w:left w:val="nil"/>
              <w:bottom w:val="nil"/>
              <w:right w:val="nil"/>
            </w:tcBorders>
            <w:noWrap/>
            <w:vAlign w:val="bottom"/>
            <w:hideMark/>
          </w:tcPr>
          <w:p w14:paraId="25370C6F" w14:textId="07DDA11A" w:rsidR="002A437F" w:rsidRPr="002A437F" w:rsidRDefault="002A437F" w:rsidP="002A437F">
            <w:pPr>
              <w:rPr>
                <w:b/>
                <w:bCs/>
                <w:sz w:val="20"/>
                <w:szCs w:val="20"/>
              </w:rPr>
            </w:pPr>
          </w:p>
        </w:tc>
      </w:tr>
      <w:tr w:rsidR="002A437F" w:rsidRPr="00906252" w14:paraId="58112B63" w14:textId="77777777" w:rsidTr="009C339D">
        <w:trPr>
          <w:trHeight w:val="300"/>
          <w:jc w:val="center"/>
        </w:trPr>
        <w:tc>
          <w:tcPr>
            <w:tcW w:w="3969" w:type="dxa"/>
            <w:tcBorders>
              <w:top w:val="nil"/>
              <w:left w:val="nil"/>
              <w:bottom w:val="nil"/>
              <w:right w:val="nil"/>
            </w:tcBorders>
            <w:shd w:val="clear" w:color="000000" w:fill="F2F2F2"/>
            <w:noWrap/>
            <w:vAlign w:val="bottom"/>
            <w:hideMark/>
          </w:tcPr>
          <w:p w14:paraId="20C7C8AA" w14:textId="105BC0D0" w:rsidR="002A437F" w:rsidRPr="00906252" w:rsidRDefault="002A437F" w:rsidP="002A437F">
            <w:pPr>
              <w:rPr>
                <w:color w:val="000000"/>
                <w:sz w:val="18"/>
                <w:szCs w:val="18"/>
              </w:rPr>
            </w:pPr>
            <w:r w:rsidRPr="00906252">
              <w:rPr>
                <w:color w:val="000000"/>
                <w:sz w:val="18"/>
                <w:szCs w:val="18"/>
              </w:rPr>
              <w:t xml:space="preserve">     Dic</w:t>
            </w:r>
            <w:r>
              <w:rPr>
                <w:color w:val="000000"/>
                <w:sz w:val="18"/>
                <w:szCs w:val="18"/>
              </w:rPr>
              <w:t>iembre</w:t>
            </w:r>
            <w:r w:rsidRPr="00906252">
              <w:rPr>
                <w:color w:val="000000"/>
                <w:sz w:val="18"/>
                <w:szCs w:val="18"/>
              </w:rPr>
              <w:t xml:space="preserve"> / dic</w:t>
            </w:r>
            <w:r>
              <w:rPr>
                <w:color w:val="000000"/>
                <w:sz w:val="18"/>
                <w:szCs w:val="18"/>
              </w:rPr>
              <w:t>iembre</w:t>
            </w:r>
            <w:r w:rsidRPr="00906252">
              <w:rPr>
                <w:color w:val="000000"/>
                <w:sz w:val="18"/>
                <w:szCs w:val="18"/>
              </w:rPr>
              <w:t xml:space="preserve">  </w:t>
            </w:r>
          </w:p>
        </w:tc>
        <w:tc>
          <w:tcPr>
            <w:tcW w:w="992" w:type="dxa"/>
            <w:tcBorders>
              <w:top w:val="nil"/>
              <w:left w:val="nil"/>
              <w:bottom w:val="nil"/>
              <w:right w:val="nil"/>
            </w:tcBorders>
            <w:shd w:val="clear" w:color="000000" w:fill="F2F2F2"/>
            <w:noWrap/>
            <w:vAlign w:val="bottom"/>
            <w:hideMark/>
          </w:tcPr>
          <w:p w14:paraId="2B69D396" w14:textId="5D28D231" w:rsidR="002A437F" w:rsidRPr="00906252" w:rsidRDefault="002A437F" w:rsidP="002A437F">
            <w:pPr>
              <w:jc w:val="right"/>
              <w:rPr>
                <w:color w:val="000000"/>
                <w:sz w:val="18"/>
                <w:szCs w:val="18"/>
              </w:rPr>
            </w:pPr>
            <w:r w:rsidRPr="00906252">
              <w:rPr>
                <w:color w:val="000000"/>
                <w:sz w:val="18"/>
                <w:szCs w:val="18"/>
              </w:rPr>
              <w:t>3.</w:t>
            </w:r>
            <w:r>
              <w:rPr>
                <w:color w:val="000000"/>
                <w:sz w:val="18"/>
                <w:szCs w:val="18"/>
              </w:rPr>
              <w:t>5</w:t>
            </w:r>
          </w:p>
        </w:tc>
        <w:tc>
          <w:tcPr>
            <w:tcW w:w="1156" w:type="dxa"/>
            <w:tcBorders>
              <w:top w:val="nil"/>
              <w:left w:val="nil"/>
              <w:bottom w:val="nil"/>
              <w:right w:val="nil"/>
            </w:tcBorders>
            <w:shd w:val="clear" w:color="000000" w:fill="F2F2F2"/>
            <w:vAlign w:val="bottom"/>
          </w:tcPr>
          <w:p w14:paraId="61EA43DE" w14:textId="66EF1337" w:rsidR="002A437F" w:rsidRPr="00906252" w:rsidRDefault="002A437F" w:rsidP="002A437F">
            <w:pPr>
              <w:jc w:val="right"/>
              <w:rPr>
                <w:color w:val="000000"/>
                <w:sz w:val="18"/>
                <w:szCs w:val="18"/>
              </w:rPr>
            </w:pPr>
            <w:r w:rsidRPr="00906252">
              <w:rPr>
                <w:color w:val="000000"/>
                <w:sz w:val="18"/>
                <w:szCs w:val="18"/>
              </w:rPr>
              <w:t>3.</w:t>
            </w:r>
            <w:r>
              <w:rPr>
                <w:color w:val="000000"/>
                <w:sz w:val="18"/>
                <w:szCs w:val="18"/>
              </w:rPr>
              <w:t>8</w:t>
            </w:r>
          </w:p>
        </w:tc>
        <w:tc>
          <w:tcPr>
            <w:tcW w:w="1157" w:type="dxa"/>
            <w:tcBorders>
              <w:top w:val="nil"/>
              <w:left w:val="nil"/>
              <w:bottom w:val="nil"/>
              <w:right w:val="nil"/>
            </w:tcBorders>
            <w:shd w:val="clear" w:color="000000" w:fill="F2F2F2"/>
            <w:noWrap/>
            <w:vAlign w:val="bottom"/>
            <w:hideMark/>
          </w:tcPr>
          <w:p w14:paraId="15E6F351" w14:textId="13BA5E6E" w:rsidR="002A437F" w:rsidRPr="00906252" w:rsidRDefault="002A437F" w:rsidP="002A437F">
            <w:pPr>
              <w:jc w:val="right"/>
              <w:rPr>
                <w:color w:val="000000"/>
                <w:sz w:val="18"/>
                <w:szCs w:val="18"/>
              </w:rPr>
            </w:pPr>
            <w:r w:rsidRPr="00906252">
              <w:rPr>
                <w:color w:val="000000"/>
                <w:sz w:val="18"/>
                <w:szCs w:val="18"/>
              </w:rPr>
              <w:t>3.</w:t>
            </w:r>
            <w:r>
              <w:rPr>
                <w:color w:val="000000"/>
                <w:sz w:val="18"/>
                <w:szCs w:val="18"/>
              </w:rPr>
              <w:t>0</w:t>
            </w:r>
          </w:p>
        </w:tc>
      </w:tr>
      <w:tr w:rsidR="002A437F" w:rsidRPr="00906252" w14:paraId="55586D6F" w14:textId="77777777" w:rsidTr="009C339D">
        <w:trPr>
          <w:trHeight w:val="300"/>
          <w:jc w:val="center"/>
        </w:trPr>
        <w:tc>
          <w:tcPr>
            <w:tcW w:w="3969" w:type="dxa"/>
            <w:tcBorders>
              <w:top w:val="nil"/>
              <w:left w:val="nil"/>
              <w:bottom w:val="nil"/>
              <w:right w:val="nil"/>
            </w:tcBorders>
            <w:noWrap/>
            <w:vAlign w:val="bottom"/>
          </w:tcPr>
          <w:p w14:paraId="4683FC0C" w14:textId="7FD66BE0" w:rsidR="002A437F" w:rsidRPr="00906252" w:rsidRDefault="002A437F" w:rsidP="002A437F">
            <w:pPr>
              <w:rPr>
                <w:color w:val="000000"/>
                <w:sz w:val="18"/>
                <w:szCs w:val="18"/>
              </w:rPr>
            </w:pPr>
            <w:r>
              <w:rPr>
                <w:color w:val="000000"/>
                <w:sz w:val="18"/>
                <w:szCs w:val="18"/>
              </w:rPr>
              <w:t xml:space="preserve">     Promedio</w:t>
            </w:r>
          </w:p>
        </w:tc>
        <w:tc>
          <w:tcPr>
            <w:tcW w:w="992" w:type="dxa"/>
            <w:tcBorders>
              <w:top w:val="nil"/>
              <w:left w:val="nil"/>
              <w:bottom w:val="nil"/>
              <w:right w:val="nil"/>
            </w:tcBorders>
            <w:noWrap/>
            <w:vAlign w:val="bottom"/>
          </w:tcPr>
          <w:p w14:paraId="50694382" w14:textId="438DD5C3" w:rsidR="002A437F" w:rsidRPr="00906252" w:rsidRDefault="002A437F" w:rsidP="002A437F">
            <w:pPr>
              <w:jc w:val="right"/>
              <w:rPr>
                <w:color w:val="000000"/>
                <w:sz w:val="18"/>
                <w:szCs w:val="18"/>
              </w:rPr>
            </w:pPr>
            <w:r>
              <w:rPr>
                <w:color w:val="000000"/>
                <w:sz w:val="18"/>
                <w:szCs w:val="18"/>
              </w:rPr>
              <w:t>3.8</w:t>
            </w:r>
          </w:p>
        </w:tc>
        <w:tc>
          <w:tcPr>
            <w:tcW w:w="1156" w:type="dxa"/>
            <w:tcBorders>
              <w:top w:val="nil"/>
              <w:left w:val="nil"/>
              <w:bottom w:val="nil"/>
              <w:right w:val="nil"/>
            </w:tcBorders>
            <w:vAlign w:val="bottom"/>
          </w:tcPr>
          <w:p w14:paraId="714FA252" w14:textId="469250CD" w:rsidR="002A437F" w:rsidRPr="002A437F" w:rsidRDefault="002A437F" w:rsidP="002A437F">
            <w:pPr>
              <w:jc w:val="right"/>
              <w:rPr>
                <w:color w:val="000000"/>
                <w:sz w:val="18"/>
                <w:szCs w:val="18"/>
              </w:rPr>
            </w:pPr>
            <w:r>
              <w:rPr>
                <w:color w:val="000000"/>
                <w:sz w:val="18"/>
                <w:szCs w:val="18"/>
              </w:rPr>
              <w:t>4</w:t>
            </w:r>
            <w:r w:rsidRPr="002A437F">
              <w:rPr>
                <w:color w:val="000000"/>
                <w:sz w:val="18"/>
                <w:szCs w:val="18"/>
              </w:rPr>
              <w:t>.</w:t>
            </w:r>
            <w:r>
              <w:rPr>
                <w:color w:val="000000"/>
                <w:sz w:val="18"/>
                <w:szCs w:val="18"/>
              </w:rPr>
              <w:t>2</w:t>
            </w:r>
          </w:p>
        </w:tc>
        <w:tc>
          <w:tcPr>
            <w:tcW w:w="1157" w:type="dxa"/>
            <w:tcBorders>
              <w:top w:val="nil"/>
              <w:left w:val="nil"/>
              <w:bottom w:val="nil"/>
              <w:right w:val="nil"/>
            </w:tcBorders>
            <w:noWrap/>
            <w:vAlign w:val="bottom"/>
          </w:tcPr>
          <w:p w14:paraId="17132AAA" w14:textId="72339E25" w:rsidR="002A437F" w:rsidRPr="002A437F" w:rsidRDefault="002A437F" w:rsidP="002A437F">
            <w:pPr>
              <w:jc w:val="right"/>
              <w:rPr>
                <w:color w:val="000000"/>
                <w:sz w:val="18"/>
                <w:szCs w:val="18"/>
              </w:rPr>
            </w:pPr>
            <w:r>
              <w:rPr>
                <w:color w:val="000000"/>
                <w:sz w:val="18"/>
                <w:szCs w:val="18"/>
              </w:rPr>
              <w:t>3.5</w:t>
            </w:r>
          </w:p>
        </w:tc>
      </w:tr>
      <w:tr w:rsidR="002A437F" w:rsidRPr="002A437F" w14:paraId="6ACD17B4" w14:textId="77777777" w:rsidTr="009C339D">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25BA6150" w14:textId="77777777" w:rsidR="002A437F" w:rsidRPr="002A437F" w:rsidRDefault="002A437F" w:rsidP="002A437F">
            <w:pPr>
              <w:rPr>
                <w:b/>
                <w:bCs/>
                <w:color w:val="000000"/>
                <w:sz w:val="18"/>
                <w:szCs w:val="18"/>
              </w:rPr>
            </w:pPr>
            <w:r w:rsidRPr="002A437F">
              <w:rPr>
                <w:b/>
                <w:bCs/>
                <w:color w:val="000000"/>
                <w:sz w:val="18"/>
                <w:szCs w:val="18"/>
              </w:rPr>
              <w:t xml:space="preserve">Tipo de cambio nominal (pesos por dólar) </w:t>
            </w:r>
          </w:p>
        </w:tc>
        <w:tc>
          <w:tcPr>
            <w:tcW w:w="992" w:type="dxa"/>
            <w:tcBorders>
              <w:top w:val="nil"/>
              <w:left w:val="nil"/>
              <w:bottom w:val="nil"/>
              <w:right w:val="nil"/>
            </w:tcBorders>
            <w:shd w:val="clear" w:color="auto" w:fill="F2F2F2" w:themeFill="background1" w:themeFillShade="F2"/>
            <w:noWrap/>
            <w:vAlign w:val="bottom"/>
            <w:hideMark/>
          </w:tcPr>
          <w:p w14:paraId="7A340690" w14:textId="77777777" w:rsidR="002A437F" w:rsidRPr="002A437F" w:rsidRDefault="002A437F" w:rsidP="002A437F">
            <w:pPr>
              <w:jc w:val="right"/>
              <w:rPr>
                <w:color w:val="000000"/>
                <w:sz w:val="18"/>
                <w:szCs w:val="18"/>
              </w:rPr>
            </w:pPr>
          </w:p>
        </w:tc>
        <w:tc>
          <w:tcPr>
            <w:tcW w:w="1156" w:type="dxa"/>
            <w:tcBorders>
              <w:top w:val="nil"/>
              <w:left w:val="nil"/>
              <w:bottom w:val="nil"/>
              <w:right w:val="nil"/>
            </w:tcBorders>
            <w:shd w:val="clear" w:color="auto" w:fill="F2F2F2" w:themeFill="background1" w:themeFillShade="F2"/>
            <w:vAlign w:val="bottom"/>
          </w:tcPr>
          <w:p w14:paraId="24E24C46" w14:textId="77777777" w:rsidR="002A437F" w:rsidRPr="002A437F" w:rsidRDefault="002A437F" w:rsidP="002A437F">
            <w:pPr>
              <w:jc w:val="right"/>
              <w:rPr>
                <w:color w:val="000000"/>
                <w:sz w:val="18"/>
                <w:szCs w:val="18"/>
              </w:rPr>
            </w:pPr>
          </w:p>
        </w:tc>
        <w:tc>
          <w:tcPr>
            <w:tcW w:w="1157" w:type="dxa"/>
            <w:tcBorders>
              <w:top w:val="nil"/>
              <w:left w:val="nil"/>
              <w:bottom w:val="nil"/>
              <w:right w:val="nil"/>
            </w:tcBorders>
            <w:shd w:val="clear" w:color="auto" w:fill="F2F2F2" w:themeFill="background1" w:themeFillShade="F2"/>
            <w:noWrap/>
            <w:vAlign w:val="bottom"/>
            <w:hideMark/>
          </w:tcPr>
          <w:p w14:paraId="38ECAD9C" w14:textId="733A7689" w:rsidR="002A437F" w:rsidRPr="002A437F" w:rsidRDefault="002A437F" w:rsidP="002A437F">
            <w:pPr>
              <w:jc w:val="right"/>
              <w:rPr>
                <w:color w:val="000000"/>
                <w:sz w:val="18"/>
                <w:szCs w:val="18"/>
              </w:rPr>
            </w:pPr>
          </w:p>
        </w:tc>
      </w:tr>
      <w:tr w:rsidR="002A437F" w:rsidRPr="00906252" w14:paraId="1E36E218" w14:textId="77777777" w:rsidTr="009C339D">
        <w:trPr>
          <w:trHeight w:val="300"/>
          <w:jc w:val="center"/>
        </w:trPr>
        <w:tc>
          <w:tcPr>
            <w:tcW w:w="3969" w:type="dxa"/>
            <w:tcBorders>
              <w:top w:val="nil"/>
              <w:left w:val="nil"/>
              <w:bottom w:val="nil"/>
              <w:right w:val="nil"/>
            </w:tcBorders>
            <w:shd w:val="clear" w:color="auto" w:fill="FFFFFF" w:themeFill="background1"/>
            <w:noWrap/>
            <w:vAlign w:val="bottom"/>
            <w:hideMark/>
          </w:tcPr>
          <w:p w14:paraId="59135305" w14:textId="77777777" w:rsidR="002A437F" w:rsidRPr="00906252" w:rsidRDefault="002A437F" w:rsidP="002A437F">
            <w:pPr>
              <w:rPr>
                <w:color w:val="000000"/>
                <w:sz w:val="18"/>
                <w:szCs w:val="18"/>
              </w:rPr>
            </w:pPr>
            <w:r w:rsidRPr="00906252">
              <w:rPr>
                <w:color w:val="000000"/>
                <w:sz w:val="18"/>
                <w:szCs w:val="18"/>
              </w:rPr>
              <w:t xml:space="preserve">     Fin de periodo </w:t>
            </w:r>
          </w:p>
        </w:tc>
        <w:tc>
          <w:tcPr>
            <w:tcW w:w="992" w:type="dxa"/>
            <w:tcBorders>
              <w:top w:val="nil"/>
              <w:left w:val="nil"/>
              <w:bottom w:val="nil"/>
              <w:right w:val="nil"/>
            </w:tcBorders>
            <w:shd w:val="clear" w:color="auto" w:fill="FFFFFF" w:themeFill="background1"/>
            <w:noWrap/>
            <w:vAlign w:val="bottom"/>
            <w:hideMark/>
          </w:tcPr>
          <w:p w14:paraId="5564BFC1" w14:textId="2A139E3E" w:rsidR="002A437F" w:rsidRPr="00906252" w:rsidRDefault="002A437F" w:rsidP="002A437F">
            <w:pPr>
              <w:jc w:val="right"/>
              <w:rPr>
                <w:color w:val="000000"/>
                <w:sz w:val="18"/>
                <w:szCs w:val="18"/>
              </w:rPr>
            </w:pPr>
            <w:r w:rsidRPr="00906252">
              <w:rPr>
                <w:color w:val="000000"/>
                <w:sz w:val="18"/>
                <w:szCs w:val="18"/>
              </w:rPr>
              <w:t>1</w:t>
            </w:r>
            <w:r>
              <w:rPr>
                <w:color w:val="000000"/>
                <w:sz w:val="18"/>
                <w:szCs w:val="18"/>
              </w:rPr>
              <w:t>8</w:t>
            </w:r>
            <w:r w:rsidRPr="00906252">
              <w:rPr>
                <w:color w:val="000000"/>
                <w:sz w:val="18"/>
                <w:szCs w:val="18"/>
              </w:rPr>
              <w:t>.</w:t>
            </w:r>
            <w:r>
              <w:rPr>
                <w:color w:val="000000"/>
                <w:sz w:val="18"/>
                <w:szCs w:val="18"/>
              </w:rPr>
              <w:t>5</w:t>
            </w:r>
          </w:p>
        </w:tc>
        <w:tc>
          <w:tcPr>
            <w:tcW w:w="1156" w:type="dxa"/>
            <w:tcBorders>
              <w:top w:val="nil"/>
              <w:left w:val="nil"/>
              <w:bottom w:val="nil"/>
              <w:right w:val="nil"/>
            </w:tcBorders>
            <w:shd w:val="clear" w:color="auto" w:fill="FFFFFF" w:themeFill="background1"/>
            <w:vAlign w:val="bottom"/>
          </w:tcPr>
          <w:p w14:paraId="224E91E2" w14:textId="597963F0" w:rsidR="002A437F" w:rsidRPr="00906252" w:rsidRDefault="002A437F" w:rsidP="002A437F">
            <w:pPr>
              <w:jc w:val="right"/>
              <w:rPr>
                <w:color w:val="000000"/>
                <w:sz w:val="18"/>
                <w:szCs w:val="18"/>
              </w:rPr>
            </w:pPr>
            <w:r w:rsidRPr="00906252">
              <w:rPr>
                <w:color w:val="000000"/>
                <w:sz w:val="18"/>
                <w:szCs w:val="18"/>
              </w:rPr>
              <w:t>1</w:t>
            </w:r>
            <w:r>
              <w:rPr>
                <w:color w:val="000000"/>
                <w:sz w:val="18"/>
                <w:szCs w:val="18"/>
              </w:rPr>
              <w:t>9.9</w:t>
            </w:r>
          </w:p>
        </w:tc>
        <w:tc>
          <w:tcPr>
            <w:tcW w:w="1157" w:type="dxa"/>
            <w:tcBorders>
              <w:top w:val="nil"/>
              <w:left w:val="nil"/>
              <w:bottom w:val="nil"/>
              <w:right w:val="nil"/>
            </w:tcBorders>
            <w:shd w:val="clear" w:color="auto" w:fill="FFFFFF" w:themeFill="background1"/>
            <w:noWrap/>
            <w:vAlign w:val="bottom"/>
            <w:hideMark/>
          </w:tcPr>
          <w:p w14:paraId="151D4042" w14:textId="55C5E5E6" w:rsidR="002A437F" w:rsidRPr="00906252" w:rsidRDefault="002A437F" w:rsidP="002A437F">
            <w:pPr>
              <w:jc w:val="right"/>
              <w:rPr>
                <w:color w:val="000000"/>
                <w:sz w:val="18"/>
                <w:szCs w:val="18"/>
              </w:rPr>
            </w:pPr>
            <w:r w:rsidRPr="00906252">
              <w:rPr>
                <w:color w:val="000000"/>
                <w:sz w:val="18"/>
                <w:szCs w:val="18"/>
              </w:rPr>
              <w:t>18</w:t>
            </w:r>
            <w:r>
              <w:rPr>
                <w:color w:val="000000"/>
                <w:sz w:val="18"/>
                <w:szCs w:val="18"/>
              </w:rPr>
              <w:t>.9</w:t>
            </w:r>
          </w:p>
        </w:tc>
      </w:tr>
      <w:tr w:rsidR="002A437F" w:rsidRPr="00906252" w14:paraId="118156CD" w14:textId="77777777" w:rsidTr="009C339D">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3A8C7C73" w14:textId="77777777" w:rsidR="002A437F" w:rsidRPr="00906252" w:rsidRDefault="002A437F" w:rsidP="002A437F">
            <w:pPr>
              <w:rPr>
                <w:color w:val="000000"/>
                <w:sz w:val="18"/>
                <w:szCs w:val="18"/>
              </w:rPr>
            </w:pPr>
            <w:r w:rsidRPr="00906252">
              <w:rPr>
                <w:color w:val="000000"/>
                <w:sz w:val="18"/>
                <w:szCs w:val="18"/>
              </w:rPr>
              <w:t xml:space="preserve">     Promedio  </w:t>
            </w:r>
          </w:p>
        </w:tc>
        <w:tc>
          <w:tcPr>
            <w:tcW w:w="992" w:type="dxa"/>
            <w:tcBorders>
              <w:top w:val="nil"/>
              <w:left w:val="nil"/>
              <w:bottom w:val="nil"/>
              <w:right w:val="nil"/>
            </w:tcBorders>
            <w:shd w:val="clear" w:color="auto" w:fill="F2F2F2" w:themeFill="background1" w:themeFillShade="F2"/>
            <w:noWrap/>
            <w:vAlign w:val="bottom"/>
            <w:hideMark/>
          </w:tcPr>
          <w:p w14:paraId="3A8F176D" w14:textId="252BCB2E" w:rsidR="002A437F" w:rsidRPr="00906252" w:rsidRDefault="002A437F" w:rsidP="002A437F">
            <w:pPr>
              <w:jc w:val="right"/>
              <w:rPr>
                <w:color w:val="000000"/>
                <w:sz w:val="18"/>
                <w:szCs w:val="18"/>
              </w:rPr>
            </w:pPr>
            <w:r w:rsidRPr="00906252">
              <w:rPr>
                <w:color w:val="000000"/>
                <w:sz w:val="18"/>
                <w:szCs w:val="18"/>
              </w:rPr>
              <w:t>1</w:t>
            </w:r>
            <w:r>
              <w:rPr>
                <w:color w:val="000000"/>
                <w:sz w:val="18"/>
                <w:szCs w:val="18"/>
              </w:rPr>
              <w:t>8</w:t>
            </w:r>
            <w:r w:rsidRPr="00906252">
              <w:rPr>
                <w:color w:val="000000"/>
                <w:sz w:val="18"/>
                <w:szCs w:val="18"/>
              </w:rPr>
              <w:t>.</w:t>
            </w:r>
            <w:r>
              <w:rPr>
                <w:color w:val="000000"/>
                <w:sz w:val="18"/>
                <w:szCs w:val="18"/>
              </w:rPr>
              <w:t>7</w:t>
            </w:r>
          </w:p>
        </w:tc>
        <w:tc>
          <w:tcPr>
            <w:tcW w:w="1156" w:type="dxa"/>
            <w:tcBorders>
              <w:top w:val="nil"/>
              <w:left w:val="nil"/>
              <w:bottom w:val="nil"/>
              <w:right w:val="nil"/>
            </w:tcBorders>
            <w:shd w:val="clear" w:color="auto" w:fill="F2F2F2" w:themeFill="background1" w:themeFillShade="F2"/>
            <w:vAlign w:val="bottom"/>
          </w:tcPr>
          <w:p w14:paraId="06502E6C" w14:textId="5325EA5B" w:rsidR="002A437F" w:rsidRPr="00906252" w:rsidRDefault="002A437F" w:rsidP="002A437F">
            <w:pPr>
              <w:jc w:val="right"/>
              <w:rPr>
                <w:color w:val="000000"/>
                <w:sz w:val="18"/>
                <w:szCs w:val="18"/>
              </w:rPr>
            </w:pPr>
            <w:r w:rsidRPr="00906252">
              <w:rPr>
                <w:color w:val="000000"/>
                <w:sz w:val="18"/>
                <w:szCs w:val="18"/>
              </w:rPr>
              <w:t>1</w:t>
            </w:r>
            <w:r>
              <w:rPr>
                <w:color w:val="000000"/>
                <w:sz w:val="18"/>
                <w:szCs w:val="18"/>
              </w:rPr>
              <w:t>9</w:t>
            </w:r>
            <w:r w:rsidRPr="00906252">
              <w:rPr>
                <w:color w:val="000000"/>
                <w:sz w:val="18"/>
                <w:szCs w:val="18"/>
              </w:rPr>
              <w:t>.</w:t>
            </w:r>
            <w:r>
              <w:rPr>
                <w:color w:val="000000"/>
                <w:sz w:val="18"/>
                <w:szCs w:val="18"/>
              </w:rPr>
              <w:t>6</w:t>
            </w:r>
          </w:p>
        </w:tc>
        <w:tc>
          <w:tcPr>
            <w:tcW w:w="1157" w:type="dxa"/>
            <w:tcBorders>
              <w:top w:val="nil"/>
              <w:left w:val="nil"/>
              <w:bottom w:val="nil"/>
              <w:right w:val="nil"/>
            </w:tcBorders>
            <w:shd w:val="clear" w:color="auto" w:fill="F2F2F2" w:themeFill="background1" w:themeFillShade="F2"/>
            <w:noWrap/>
            <w:vAlign w:val="bottom"/>
            <w:hideMark/>
          </w:tcPr>
          <w:p w14:paraId="1E828DA9" w14:textId="627D4F26" w:rsidR="002A437F" w:rsidRPr="00906252" w:rsidRDefault="002A437F" w:rsidP="002A437F">
            <w:pPr>
              <w:jc w:val="right"/>
              <w:rPr>
                <w:color w:val="000000"/>
                <w:sz w:val="18"/>
                <w:szCs w:val="18"/>
              </w:rPr>
            </w:pPr>
            <w:r w:rsidRPr="00906252">
              <w:rPr>
                <w:color w:val="000000"/>
                <w:sz w:val="18"/>
                <w:szCs w:val="18"/>
              </w:rPr>
              <w:t>1</w:t>
            </w:r>
            <w:r>
              <w:rPr>
                <w:color w:val="000000"/>
                <w:sz w:val="18"/>
                <w:szCs w:val="18"/>
              </w:rPr>
              <w:t>9</w:t>
            </w:r>
            <w:r w:rsidRPr="00906252">
              <w:rPr>
                <w:color w:val="000000"/>
                <w:sz w:val="18"/>
                <w:szCs w:val="18"/>
              </w:rPr>
              <w:t>.</w:t>
            </w:r>
            <w:r>
              <w:rPr>
                <w:color w:val="000000"/>
                <w:sz w:val="18"/>
                <w:szCs w:val="18"/>
              </w:rPr>
              <w:t>3</w:t>
            </w:r>
          </w:p>
        </w:tc>
      </w:tr>
      <w:tr w:rsidR="002A437F" w:rsidRPr="002A437F" w14:paraId="2B2D9BAC" w14:textId="77777777" w:rsidTr="009C339D">
        <w:trPr>
          <w:trHeight w:val="300"/>
          <w:jc w:val="center"/>
        </w:trPr>
        <w:tc>
          <w:tcPr>
            <w:tcW w:w="3969" w:type="dxa"/>
            <w:tcBorders>
              <w:top w:val="nil"/>
              <w:left w:val="nil"/>
              <w:bottom w:val="nil"/>
              <w:right w:val="nil"/>
            </w:tcBorders>
            <w:shd w:val="clear" w:color="auto" w:fill="FFFFFF" w:themeFill="background1"/>
            <w:noWrap/>
            <w:vAlign w:val="bottom"/>
            <w:hideMark/>
          </w:tcPr>
          <w:p w14:paraId="29EBB81D" w14:textId="77777777" w:rsidR="002A437F" w:rsidRPr="002A437F" w:rsidRDefault="002A437F" w:rsidP="002A437F">
            <w:pPr>
              <w:rPr>
                <w:b/>
                <w:bCs/>
                <w:color w:val="000000"/>
                <w:sz w:val="18"/>
                <w:szCs w:val="18"/>
              </w:rPr>
            </w:pPr>
            <w:r w:rsidRPr="002A437F">
              <w:rPr>
                <w:b/>
                <w:bCs/>
                <w:color w:val="000000"/>
                <w:sz w:val="18"/>
                <w:szCs w:val="18"/>
              </w:rPr>
              <w:t xml:space="preserve">Tasa de interés (Cetes 28 días, %) </w:t>
            </w:r>
          </w:p>
        </w:tc>
        <w:tc>
          <w:tcPr>
            <w:tcW w:w="992" w:type="dxa"/>
            <w:tcBorders>
              <w:top w:val="nil"/>
              <w:left w:val="nil"/>
              <w:bottom w:val="nil"/>
              <w:right w:val="nil"/>
            </w:tcBorders>
            <w:shd w:val="clear" w:color="auto" w:fill="FFFFFF" w:themeFill="background1"/>
            <w:noWrap/>
            <w:vAlign w:val="bottom"/>
            <w:hideMark/>
          </w:tcPr>
          <w:p w14:paraId="5302E881" w14:textId="77777777" w:rsidR="002A437F" w:rsidRPr="002A437F" w:rsidRDefault="002A437F" w:rsidP="002A437F">
            <w:pPr>
              <w:rPr>
                <w:b/>
                <w:bCs/>
                <w:color w:val="000000"/>
                <w:sz w:val="18"/>
                <w:szCs w:val="18"/>
              </w:rPr>
            </w:pPr>
            <w:r w:rsidRPr="002A437F">
              <w:rPr>
                <w:b/>
                <w:bCs/>
                <w:color w:val="000000"/>
                <w:sz w:val="18"/>
                <w:szCs w:val="18"/>
              </w:rPr>
              <w:t> </w:t>
            </w:r>
          </w:p>
        </w:tc>
        <w:tc>
          <w:tcPr>
            <w:tcW w:w="1156" w:type="dxa"/>
            <w:tcBorders>
              <w:top w:val="nil"/>
              <w:left w:val="nil"/>
              <w:bottom w:val="nil"/>
              <w:right w:val="nil"/>
            </w:tcBorders>
            <w:shd w:val="clear" w:color="auto" w:fill="FFFFFF" w:themeFill="background1"/>
            <w:vAlign w:val="bottom"/>
          </w:tcPr>
          <w:p w14:paraId="3658D896" w14:textId="30BBA7A7" w:rsidR="002A437F" w:rsidRPr="002A437F" w:rsidRDefault="002A437F" w:rsidP="002A437F">
            <w:pPr>
              <w:rPr>
                <w:b/>
                <w:bCs/>
                <w:color w:val="000000"/>
                <w:sz w:val="18"/>
                <w:szCs w:val="18"/>
              </w:rPr>
            </w:pPr>
            <w:r w:rsidRPr="002A437F">
              <w:rPr>
                <w:b/>
                <w:bCs/>
                <w:color w:val="000000"/>
                <w:sz w:val="18"/>
                <w:szCs w:val="18"/>
              </w:rPr>
              <w:t> </w:t>
            </w:r>
          </w:p>
        </w:tc>
        <w:tc>
          <w:tcPr>
            <w:tcW w:w="1157" w:type="dxa"/>
            <w:tcBorders>
              <w:top w:val="nil"/>
              <w:left w:val="nil"/>
              <w:bottom w:val="nil"/>
              <w:right w:val="nil"/>
            </w:tcBorders>
            <w:shd w:val="clear" w:color="auto" w:fill="FFFFFF" w:themeFill="background1"/>
            <w:noWrap/>
            <w:vAlign w:val="bottom"/>
            <w:hideMark/>
          </w:tcPr>
          <w:p w14:paraId="319E9101" w14:textId="4D11939D" w:rsidR="002A437F" w:rsidRPr="002A437F" w:rsidRDefault="002A437F" w:rsidP="002A437F">
            <w:pPr>
              <w:rPr>
                <w:b/>
                <w:bCs/>
                <w:color w:val="000000"/>
                <w:sz w:val="18"/>
                <w:szCs w:val="18"/>
              </w:rPr>
            </w:pPr>
            <w:r w:rsidRPr="002A437F">
              <w:rPr>
                <w:b/>
                <w:bCs/>
                <w:color w:val="000000"/>
                <w:sz w:val="18"/>
                <w:szCs w:val="18"/>
              </w:rPr>
              <w:t> </w:t>
            </w:r>
          </w:p>
        </w:tc>
      </w:tr>
      <w:tr w:rsidR="002A437F" w:rsidRPr="00906252" w14:paraId="52C9C5CE" w14:textId="77777777" w:rsidTr="009C339D">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0FB9D3D4" w14:textId="77777777" w:rsidR="002A437F" w:rsidRPr="00906252" w:rsidRDefault="002A437F" w:rsidP="002A437F">
            <w:pPr>
              <w:rPr>
                <w:color w:val="000000"/>
                <w:sz w:val="18"/>
                <w:szCs w:val="18"/>
              </w:rPr>
            </w:pPr>
            <w:r w:rsidRPr="00906252">
              <w:rPr>
                <w:color w:val="000000"/>
                <w:sz w:val="18"/>
                <w:szCs w:val="18"/>
              </w:rPr>
              <w:t xml:space="preserve">     Nominal fin de periodo  </w:t>
            </w:r>
          </w:p>
        </w:tc>
        <w:tc>
          <w:tcPr>
            <w:tcW w:w="992" w:type="dxa"/>
            <w:tcBorders>
              <w:top w:val="nil"/>
              <w:left w:val="nil"/>
              <w:bottom w:val="nil"/>
              <w:right w:val="nil"/>
            </w:tcBorders>
            <w:shd w:val="clear" w:color="auto" w:fill="F2F2F2" w:themeFill="background1" w:themeFillShade="F2"/>
            <w:noWrap/>
            <w:vAlign w:val="bottom"/>
            <w:hideMark/>
          </w:tcPr>
          <w:p w14:paraId="67002449" w14:textId="6FED7637" w:rsidR="002A437F" w:rsidRPr="00906252" w:rsidRDefault="00AF61E8" w:rsidP="002A437F">
            <w:pPr>
              <w:jc w:val="right"/>
              <w:rPr>
                <w:color w:val="000000"/>
                <w:sz w:val="18"/>
                <w:szCs w:val="18"/>
              </w:rPr>
            </w:pPr>
            <w:r>
              <w:rPr>
                <w:color w:val="000000"/>
                <w:sz w:val="18"/>
                <w:szCs w:val="18"/>
              </w:rPr>
              <w:t>8</w:t>
            </w:r>
            <w:r w:rsidR="002A437F" w:rsidRPr="00906252">
              <w:rPr>
                <w:color w:val="000000"/>
                <w:sz w:val="18"/>
                <w:szCs w:val="18"/>
              </w:rPr>
              <w:t>.</w:t>
            </w:r>
            <w:r>
              <w:rPr>
                <w:color w:val="000000"/>
                <w:sz w:val="18"/>
                <w:szCs w:val="18"/>
              </w:rPr>
              <w:t>0</w:t>
            </w:r>
          </w:p>
        </w:tc>
        <w:tc>
          <w:tcPr>
            <w:tcW w:w="1156" w:type="dxa"/>
            <w:tcBorders>
              <w:top w:val="nil"/>
              <w:left w:val="nil"/>
              <w:bottom w:val="nil"/>
              <w:right w:val="nil"/>
            </w:tcBorders>
            <w:shd w:val="clear" w:color="auto" w:fill="F2F2F2" w:themeFill="background1" w:themeFillShade="F2"/>
            <w:vAlign w:val="bottom"/>
          </w:tcPr>
          <w:p w14:paraId="1C90195F" w14:textId="52AC1E8C" w:rsidR="002A437F" w:rsidRPr="00906252" w:rsidRDefault="002A437F" w:rsidP="002A437F">
            <w:pPr>
              <w:jc w:val="right"/>
              <w:rPr>
                <w:color w:val="000000"/>
                <w:sz w:val="18"/>
                <w:szCs w:val="18"/>
              </w:rPr>
            </w:pPr>
            <w:r w:rsidRPr="00906252">
              <w:rPr>
                <w:color w:val="000000"/>
                <w:sz w:val="18"/>
                <w:szCs w:val="18"/>
              </w:rPr>
              <w:t>7</w:t>
            </w:r>
            <w:r w:rsidR="00AF61E8">
              <w:rPr>
                <w:color w:val="000000"/>
                <w:sz w:val="18"/>
                <w:szCs w:val="18"/>
              </w:rPr>
              <w:t>.3</w:t>
            </w:r>
          </w:p>
        </w:tc>
        <w:tc>
          <w:tcPr>
            <w:tcW w:w="1157" w:type="dxa"/>
            <w:tcBorders>
              <w:top w:val="nil"/>
              <w:left w:val="nil"/>
              <w:bottom w:val="nil"/>
              <w:right w:val="nil"/>
            </w:tcBorders>
            <w:shd w:val="clear" w:color="auto" w:fill="F2F2F2" w:themeFill="background1" w:themeFillShade="F2"/>
            <w:noWrap/>
            <w:vAlign w:val="bottom"/>
            <w:hideMark/>
          </w:tcPr>
          <w:p w14:paraId="0B7CEE2C" w14:textId="6C387F9A" w:rsidR="002A437F" w:rsidRPr="00906252" w:rsidRDefault="00AF61E8" w:rsidP="002A437F">
            <w:pPr>
              <w:jc w:val="right"/>
              <w:rPr>
                <w:color w:val="000000"/>
                <w:sz w:val="18"/>
                <w:szCs w:val="18"/>
              </w:rPr>
            </w:pPr>
            <w:r>
              <w:rPr>
                <w:color w:val="000000"/>
                <w:sz w:val="18"/>
                <w:szCs w:val="18"/>
              </w:rPr>
              <w:t>6.0</w:t>
            </w:r>
          </w:p>
        </w:tc>
      </w:tr>
      <w:tr w:rsidR="002A437F" w:rsidRPr="00906252" w14:paraId="5E128595" w14:textId="77777777" w:rsidTr="009C339D">
        <w:trPr>
          <w:trHeight w:val="300"/>
          <w:jc w:val="center"/>
        </w:trPr>
        <w:tc>
          <w:tcPr>
            <w:tcW w:w="3969" w:type="dxa"/>
            <w:tcBorders>
              <w:top w:val="nil"/>
              <w:left w:val="nil"/>
              <w:bottom w:val="nil"/>
              <w:right w:val="nil"/>
            </w:tcBorders>
            <w:shd w:val="clear" w:color="auto" w:fill="FFFFFF" w:themeFill="background1"/>
            <w:noWrap/>
            <w:vAlign w:val="bottom"/>
            <w:hideMark/>
          </w:tcPr>
          <w:p w14:paraId="21B6560A" w14:textId="77777777" w:rsidR="002A437F" w:rsidRPr="00906252" w:rsidRDefault="002A437F" w:rsidP="002A437F">
            <w:pPr>
              <w:rPr>
                <w:color w:val="000000"/>
                <w:sz w:val="18"/>
                <w:szCs w:val="18"/>
              </w:rPr>
            </w:pPr>
            <w:r w:rsidRPr="00906252">
              <w:rPr>
                <w:color w:val="000000"/>
                <w:sz w:val="18"/>
                <w:szCs w:val="18"/>
              </w:rPr>
              <w:t xml:space="preserve">     Nominal promedio  </w:t>
            </w:r>
          </w:p>
        </w:tc>
        <w:tc>
          <w:tcPr>
            <w:tcW w:w="992" w:type="dxa"/>
            <w:tcBorders>
              <w:top w:val="nil"/>
              <w:left w:val="nil"/>
              <w:bottom w:val="nil"/>
              <w:right w:val="nil"/>
            </w:tcBorders>
            <w:shd w:val="clear" w:color="auto" w:fill="FFFFFF" w:themeFill="background1"/>
            <w:noWrap/>
            <w:vAlign w:val="bottom"/>
            <w:hideMark/>
          </w:tcPr>
          <w:p w14:paraId="6B0F8E2E" w14:textId="502AC90E" w:rsidR="002A437F" w:rsidRPr="00906252" w:rsidRDefault="00AF61E8" w:rsidP="002A437F">
            <w:pPr>
              <w:jc w:val="right"/>
              <w:rPr>
                <w:color w:val="000000"/>
                <w:sz w:val="18"/>
                <w:szCs w:val="18"/>
              </w:rPr>
            </w:pPr>
            <w:r>
              <w:rPr>
                <w:color w:val="000000"/>
                <w:sz w:val="18"/>
                <w:szCs w:val="18"/>
              </w:rPr>
              <w:t>8</w:t>
            </w:r>
            <w:r w:rsidR="002A437F" w:rsidRPr="00906252">
              <w:rPr>
                <w:color w:val="000000"/>
                <w:sz w:val="18"/>
                <w:szCs w:val="18"/>
              </w:rPr>
              <w:t>.</w:t>
            </w:r>
            <w:r>
              <w:rPr>
                <w:color w:val="000000"/>
                <w:sz w:val="18"/>
                <w:szCs w:val="18"/>
              </w:rPr>
              <w:t>9</w:t>
            </w:r>
          </w:p>
        </w:tc>
        <w:tc>
          <w:tcPr>
            <w:tcW w:w="1156" w:type="dxa"/>
            <w:tcBorders>
              <w:top w:val="nil"/>
              <w:left w:val="nil"/>
              <w:bottom w:val="nil"/>
              <w:right w:val="nil"/>
            </w:tcBorders>
            <w:shd w:val="clear" w:color="auto" w:fill="FFFFFF" w:themeFill="background1"/>
            <w:vAlign w:val="bottom"/>
          </w:tcPr>
          <w:p w14:paraId="695637DB" w14:textId="63A394BD" w:rsidR="002A437F" w:rsidRPr="00906252" w:rsidRDefault="002A437F" w:rsidP="002A437F">
            <w:pPr>
              <w:jc w:val="right"/>
              <w:rPr>
                <w:color w:val="000000"/>
                <w:sz w:val="18"/>
                <w:szCs w:val="18"/>
              </w:rPr>
            </w:pPr>
            <w:r w:rsidRPr="00906252">
              <w:rPr>
                <w:color w:val="000000"/>
                <w:sz w:val="18"/>
                <w:szCs w:val="18"/>
              </w:rPr>
              <w:t>8.</w:t>
            </w:r>
            <w:r w:rsidR="00AF61E8">
              <w:rPr>
                <w:color w:val="000000"/>
                <w:sz w:val="18"/>
                <w:szCs w:val="18"/>
              </w:rPr>
              <w:t>4</w:t>
            </w:r>
          </w:p>
        </w:tc>
        <w:tc>
          <w:tcPr>
            <w:tcW w:w="1157" w:type="dxa"/>
            <w:tcBorders>
              <w:top w:val="nil"/>
              <w:left w:val="nil"/>
              <w:bottom w:val="nil"/>
              <w:right w:val="nil"/>
            </w:tcBorders>
            <w:shd w:val="clear" w:color="auto" w:fill="FFFFFF" w:themeFill="background1"/>
            <w:noWrap/>
            <w:vAlign w:val="bottom"/>
            <w:hideMark/>
          </w:tcPr>
          <w:p w14:paraId="4ECE5EAA" w14:textId="2BC76FA6" w:rsidR="002A437F" w:rsidRPr="00906252" w:rsidRDefault="00AF61E8" w:rsidP="002A437F">
            <w:pPr>
              <w:jc w:val="right"/>
              <w:rPr>
                <w:color w:val="000000"/>
                <w:sz w:val="18"/>
                <w:szCs w:val="18"/>
              </w:rPr>
            </w:pPr>
            <w:r>
              <w:rPr>
                <w:color w:val="000000"/>
                <w:sz w:val="18"/>
                <w:szCs w:val="18"/>
              </w:rPr>
              <w:t>6</w:t>
            </w:r>
            <w:r w:rsidR="002A437F" w:rsidRPr="00906252">
              <w:rPr>
                <w:color w:val="000000"/>
                <w:sz w:val="18"/>
                <w:szCs w:val="18"/>
              </w:rPr>
              <w:t>.</w:t>
            </w:r>
            <w:r>
              <w:rPr>
                <w:color w:val="000000"/>
                <w:sz w:val="18"/>
                <w:szCs w:val="18"/>
              </w:rPr>
              <w:t>6</w:t>
            </w:r>
          </w:p>
        </w:tc>
      </w:tr>
      <w:tr w:rsidR="002A437F" w:rsidRPr="00906252" w14:paraId="587CBEA5" w14:textId="77777777" w:rsidTr="009C339D">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079B9F91" w14:textId="77777777" w:rsidR="002A437F" w:rsidRPr="00906252" w:rsidRDefault="002A437F" w:rsidP="002A437F">
            <w:pPr>
              <w:rPr>
                <w:color w:val="000000"/>
                <w:sz w:val="18"/>
                <w:szCs w:val="18"/>
              </w:rPr>
            </w:pPr>
            <w:r w:rsidRPr="00906252">
              <w:rPr>
                <w:color w:val="000000"/>
                <w:sz w:val="18"/>
                <w:szCs w:val="18"/>
              </w:rPr>
              <w:t xml:space="preserve">     Real acumulada </w:t>
            </w:r>
          </w:p>
        </w:tc>
        <w:tc>
          <w:tcPr>
            <w:tcW w:w="992" w:type="dxa"/>
            <w:tcBorders>
              <w:top w:val="nil"/>
              <w:left w:val="nil"/>
              <w:bottom w:val="nil"/>
              <w:right w:val="nil"/>
            </w:tcBorders>
            <w:shd w:val="clear" w:color="auto" w:fill="F2F2F2" w:themeFill="background1" w:themeFillShade="F2"/>
            <w:noWrap/>
            <w:vAlign w:val="bottom"/>
            <w:hideMark/>
          </w:tcPr>
          <w:p w14:paraId="78452981" w14:textId="278DEA46" w:rsidR="002A437F" w:rsidRPr="00906252" w:rsidRDefault="00AF61E8" w:rsidP="002A437F">
            <w:pPr>
              <w:jc w:val="right"/>
              <w:rPr>
                <w:color w:val="000000"/>
                <w:sz w:val="18"/>
                <w:szCs w:val="18"/>
              </w:rPr>
            </w:pPr>
            <w:r>
              <w:rPr>
                <w:color w:val="000000"/>
                <w:sz w:val="18"/>
                <w:szCs w:val="18"/>
              </w:rPr>
              <w:t>5</w:t>
            </w:r>
            <w:r w:rsidR="002A437F" w:rsidRPr="00906252">
              <w:rPr>
                <w:color w:val="000000"/>
                <w:sz w:val="18"/>
                <w:szCs w:val="18"/>
              </w:rPr>
              <w:t>.</w:t>
            </w:r>
            <w:r>
              <w:rPr>
                <w:color w:val="000000"/>
                <w:sz w:val="18"/>
                <w:szCs w:val="18"/>
              </w:rPr>
              <w:t>6</w:t>
            </w:r>
          </w:p>
        </w:tc>
        <w:tc>
          <w:tcPr>
            <w:tcW w:w="1156" w:type="dxa"/>
            <w:tcBorders>
              <w:top w:val="nil"/>
              <w:left w:val="nil"/>
              <w:bottom w:val="nil"/>
              <w:right w:val="nil"/>
            </w:tcBorders>
            <w:shd w:val="clear" w:color="auto" w:fill="F2F2F2" w:themeFill="background1" w:themeFillShade="F2"/>
            <w:vAlign w:val="bottom"/>
          </w:tcPr>
          <w:p w14:paraId="2B57EF91" w14:textId="01E2C995" w:rsidR="002A437F" w:rsidRPr="00906252" w:rsidRDefault="002A437F" w:rsidP="002A437F">
            <w:pPr>
              <w:jc w:val="right"/>
              <w:rPr>
                <w:color w:val="000000"/>
                <w:sz w:val="18"/>
                <w:szCs w:val="18"/>
              </w:rPr>
            </w:pPr>
            <w:r w:rsidRPr="00906252">
              <w:rPr>
                <w:color w:val="000000"/>
                <w:sz w:val="18"/>
                <w:szCs w:val="18"/>
              </w:rPr>
              <w:t>4.</w:t>
            </w:r>
            <w:r w:rsidR="00AF61E8">
              <w:rPr>
                <w:color w:val="000000"/>
                <w:sz w:val="18"/>
                <w:szCs w:val="18"/>
              </w:rPr>
              <w:t>8</w:t>
            </w:r>
          </w:p>
        </w:tc>
        <w:tc>
          <w:tcPr>
            <w:tcW w:w="1157" w:type="dxa"/>
            <w:tcBorders>
              <w:top w:val="nil"/>
              <w:left w:val="nil"/>
              <w:bottom w:val="nil"/>
              <w:right w:val="nil"/>
            </w:tcBorders>
            <w:shd w:val="clear" w:color="auto" w:fill="F2F2F2" w:themeFill="background1" w:themeFillShade="F2"/>
            <w:noWrap/>
            <w:vAlign w:val="bottom"/>
            <w:hideMark/>
          </w:tcPr>
          <w:p w14:paraId="10564409" w14:textId="767E57AA" w:rsidR="002A437F" w:rsidRPr="00906252" w:rsidRDefault="00AF61E8" w:rsidP="002A437F">
            <w:pPr>
              <w:jc w:val="right"/>
              <w:rPr>
                <w:color w:val="000000"/>
                <w:sz w:val="18"/>
                <w:szCs w:val="18"/>
              </w:rPr>
            </w:pPr>
            <w:r>
              <w:rPr>
                <w:color w:val="000000"/>
                <w:sz w:val="18"/>
                <w:szCs w:val="18"/>
              </w:rPr>
              <w:t>3</w:t>
            </w:r>
            <w:r w:rsidR="002A437F" w:rsidRPr="00906252">
              <w:rPr>
                <w:color w:val="000000"/>
                <w:sz w:val="18"/>
                <w:szCs w:val="18"/>
              </w:rPr>
              <w:t>.</w:t>
            </w:r>
            <w:r>
              <w:rPr>
                <w:color w:val="000000"/>
                <w:sz w:val="18"/>
                <w:szCs w:val="18"/>
              </w:rPr>
              <w:t>6</w:t>
            </w:r>
          </w:p>
        </w:tc>
      </w:tr>
      <w:tr w:rsidR="002A437F" w:rsidRPr="002A437F" w14:paraId="3582F54D" w14:textId="77777777" w:rsidTr="009C339D">
        <w:trPr>
          <w:trHeight w:val="300"/>
          <w:jc w:val="center"/>
        </w:trPr>
        <w:tc>
          <w:tcPr>
            <w:tcW w:w="3969" w:type="dxa"/>
            <w:tcBorders>
              <w:top w:val="nil"/>
              <w:left w:val="nil"/>
              <w:bottom w:val="nil"/>
              <w:right w:val="nil"/>
            </w:tcBorders>
            <w:shd w:val="clear" w:color="auto" w:fill="FFFFFF" w:themeFill="background1"/>
            <w:noWrap/>
            <w:vAlign w:val="bottom"/>
            <w:hideMark/>
          </w:tcPr>
          <w:p w14:paraId="44AAB4AE" w14:textId="77777777" w:rsidR="002A437F" w:rsidRPr="002A437F" w:rsidRDefault="002A437F" w:rsidP="002A437F">
            <w:pPr>
              <w:rPr>
                <w:b/>
                <w:bCs/>
                <w:color w:val="000000"/>
                <w:sz w:val="18"/>
                <w:szCs w:val="18"/>
              </w:rPr>
            </w:pPr>
            <w:r w:rsidRPr="002A437F">
              <w:rPr>
                <w:b/>
                <w:bCs/>
                <w:color w:val="000000"/>
                <w:sz w:val="18"/>
                <w:szCs w:val="18"/>
              </w:rPr>
              <w:t xml:space="preserve">Cuenta Corriente </w:t>
            </w:r>
          </w:p>
        </w:tc>
        <w:tc>
          <w:tcPr>
            <w:tcW w:w="992" w:type="dxa"/>
            <w:tcBorders>
              <w:top w:val="nil"/>
              <w:left w:val="nil"/>
              <w:bottom w:val="nil"/>
              <w:right w:val="nil"/>
            </w:tcBorders>
            <w:shd w:val="clear" w:color="auto" w:fill="FFFFFF" w:themeFill="background1"/>
            <w:noWrap/>
            <w:vAlign w:val="bottom"/>
            <w:hideMark/>
          </w:tcPr>
          <w:p w14:paraId="63E250E6" w14:textId="77777777" w:rsidR="002A437F" w:rsidRPr="002A437F" w:rsidRDefault="002A437F" w:rsidP="002A437F">
            <w:pPr>
              <w:rPr>
                <w:b/>
                <w:bCs/>
                <w:color w:val="000000"/>
                <w:sz w:val="18"/>
                <w:szCs w:val="18"/>
              </w:rPr>
            </w:pPr>
            <w:r w:rsidRPr="002A437F">
              <w:rPr>
                <w:b/>
                <w:bCs/>
                <w:color w:val="000000"/>
                <w:sz w:val="18"/>
                <w:szCs w:val="18"/>
              </w:rPr>
              <w:t> </w:t>
            </w:r>
          </w:p>
        </w:tc>
        <w:tc>
          <w:tcPr>
            <w:tcW w:w="1156" w:type="dxa"/>
            <w:tcBorders>
              <w:top w:val="nil"/>
              <w:left w:val="nil"/>
              <w:bottom w:val="nil"/>
              <w:right w:val="nil"/>
            </w:tcBorders>
            <w:shd w:val="clear" w:color="auto" w:fill="FFFFFF" w:themeFill="background1"/>
            <w:vAlign w:val="bottom"/>
          </w:tcPr>
          <w:p w14:paraId="5A51A537" w14:textId="2FA78524" w:rsidR="002A437F" w:rsidRPr="002A437F" w:rsidRDefault="002A437F" w:rsidP="002A437F">
            <w:pPr>
              <w:rPr>
                <w:b/>
                <w:bCs/>
                <w:color w:val="000000"/>
                <w:sz w:val="18"/>
                <w:szCs w:val="18"/>
              </w:rPr>
            </w:pPr>
            <w:r w:rsidRPr="002A437F">
              <w:rPr>
                <w:b/>
                <w:bCs/>
                <w:color w:val="000000"/>
                <w:sz w:val="18"/>
                <w:szCs w:val="18"/>
              </w:rPr>
              <w:t> </w:t>
            </w:r>
          </w:p>
        </w:tc>
        <w:tc>
          <w:tcPr>
            <w:tcW w:w="1157" w:type="dxa"/>
            <w:tcBorders>
              <w:top w:val="nil"/>
              <w:left w:val="nil"/>
              <w:bottom w:val="nil"/>
              <w:right w:val="nil"/>
            </w:tcBorders>
            <w:shd w:val="clear" w:color="auto" w:fill="FFFFFF" w:themeFill="background1"/>
            <w:noWrap/>
            <w:vAlign w:val="bottom"/>
            <w:hideMark/>
          </w:tcPr>
          <w:p w14:paraId="7C4671A6" w14:textId="678E54A1" w:rsidR="002A437F" w:rsidRPr="002A437F" w:rsidRDefault="002A437F" w:rsidP="002A437F">
            <w:pPr>
              <w:rPr>
                <w:b/>
                <w:bCs/>
                <w:color w:val="000000"/>
                <w:sz w:val="18"/>
                <w:szCs w:val="18"/>
              </w:rPr>
            </w:pPr>
            <w:r w:rsidRPr="002A437F">
              <w:rPr>
                <w:b/>
                <w:bCs/>
                <w:color w:val="000000"/>
                <w:sz w:val="18"/>
                <w:szCs w:val="18"/>
              </w:rPr>
              <w:t> </w:t>
            </w:r>
          </w:p>
        </w:tc>
      </w:tr>
      <w:tr w:rsidR="002A437F" w:rsidRPr="00906252" w14:paraId="53B11226" w14:textId="77777777" w:rsidTr="009C339D">
        <w:trPr>
          <w:trHeight w:val="300"/>
          <w:jc w:val="center"/>
        </w:trPr>
        <w:tc>
          <w:tcPr>
            <w:tcW w:w="3969" w:type="dxa"/>
            <w:tcBorders>
              <w:top w:val="nil"/>
              <w:left w:val="nil"/>
              <w:right w:val="nil"/>
            </w:tcBorders>
            <w:shd w:val="clear" w:color="auto" w:fill="F2F2F2" w:themeFill="background1" w:themeFillShade="F2"/>
            <w:noWrap/>
            <w:vAlign w:val="bottom"/>
            <w:hideMark/>
          </w:tcPr>
          <w:p w14:paraId="7C095885" w14:textId="77777777" w:rsidR="002A437F" w:rsidRPr="00906252" w:rsidRDefault="002A437F" w:rsidP="002A437F">
            <w:pPr>
              <w:rPr>
                <w:color w:val="000000"/>
                <w:sz w:val="18"/>
                <w:szCs w:val="18"/>
              </w:rPr>
            </w:pPr>
            <w:r w:rsidRPr="00906252">
              <w:rPr>
                <w:color w:val="000000"/>
                <w:sz w:val="18"/>
                <w:szCs w:val="18"/>
              </w:rPr>
              <w:t xml:space="preserve">     Millones de dólares </w:t>
            </w:r>
          </w:p>
        </w:tc>
        <w:tc>
          <w:tcPr>
            <w:tcW w:w="992" w:type="dxa"/>
            <w:tcBorders>
              <w:top w:val="nil"/>
              <w:left w:val="nil"/>
              <w:right w:val="nil"/>
            </w:tcBorders>
            <w:shd w:val="clear" w:color="auto" w:fill="F2F2F2" w:themeFill="background1" w:themeFillShade="F2"/>
            <w:noWrap/>
            <w:vAlign w:val="bottom"/>
            <w:hideMark/>
          </w:tcPr>
          <w:p w14:paraId="0D95E672" w14:textId="2D269B78" w:rsidR="002A437F" w:rsidRPr="00906252" w:rsidRDefault="002A437F" w:rsidP="002A437F">
            <w:pPr>
              <w:jc w:val="right"/>
              <w:rPr>
                <w:color w:val="000000"/>
                <w:sz w:val="18"/>
                <w:szCs w:val="18"/>
              </w:rPr>
            </w:pPr>
            <w:r w:rsidRPr="00906252">
              <w:rPr>
                <w:color w:val="000000"/>
                <w:sz w:val="18"/>
                <w:szCs w:val="18"/>
              </w:rPr>
              <w:t>-</w:t>
            </w:r>
            <w:r w:rsidR="00AF61E8">
              <w:rPr>
                <w:color w:val="000000"/>
                <w:sz w:val="18"/>
                <w:szCs w:val="18"/>
              </w:rPr>
              <w:t>7</w:t>
            </w:r>
            <w:r w:rsidRPr="00906252">
              <w:rPr>
                <w:color w:val="000000"/>
                <w:sz w:val="18"/>
                <w:szCs w:val="18"/>
              </w:rPr>
              <w:t>,</w:t>
            </w:r>
            <w:r w:rsidR="00AF61E8">
              <w:rPr>
                <w:color w:val="000000"/>
                <w:sz w:val="18"/>
                <w:szCs w:val="18"/>
              </w:rPr>
              <w:t>9</w:t>
            </w:r>
            <w:r w:rsidRPr="00906252">
              <w:rPr>
                <w:color w:val="000000"/>
                <w:sz w:val="18"/>
                <w:szCs w:val="18"/>
              </w:rPr>
              <w:t>4</w:t>
            </w:r>
            <w:r w:rsidR="00AF61E8">
              <w:rPr>
                <w:color w:val="000000"/>
                <w:sz w:val="18"/>
                <w:szCs w:val="18"/>
              </w:rPr>
              <w:t>1</w:t>
            </w:r>
            <w:r w:rsidRPr="00906252">
              <w:rPr>
                <w:color w:val="000000"/>
                <w:sz w:val="18"/>
                <w:szCs w:val="18"/>
              </w:rPr>
              <w:t>.0</w:t>
            </w:r>
          </w:p>
        </w:tc>
        <w:tc>
          <w:tcPr>
            <w:tcW w:w="1156" w:type="dxa"/>
            <w:tcBorders>
              <w:top w:val="nil"/>
              <w:left w:val="nil"/>
              <w:right w:val="nil"/>
            </w:tcBorders>
            <w:shd w:val="clear" w:color="auto" w:fill="F2F2F2" w:themeFill="background1" w:themeFillShade="F2"/>
            <w:vAlign w:val="bottom"/>
          </w:tcPr>
          <w:p w14:paraId="5F816E14" w14:textId="6DD34CB3" w:rsidR="002A437F" w:rsidRPr="00906252" w:rsidRDefault="002A437F" w:rsidP="002A437F">
            <w:pPr>
              <w:jc w:val="right"/>
              <w:rPr>
                <w:color w:val="000000"/>
                <w:sz w:val="18"/>
                <w:szCs w:val="18"/>
              </w:rPr>
            </w:pPr>
            <w:r w:rsidRPr="00906252">
              <w:rPr>
                <w:color w:val="000000"/>
                <w:sz w:val="18"/>
                <w:szCs w:val="18"/>
              </w:rPr>
              <w:t>-5,</w:t>
            </w:r>
            <w:r w:rsidR="00AF61E8">
              <w:rPr>
                <w:color w:val="000000"/>
                <w:sz w:val="18"/>
                <w:szCs w:val="18"/>
              </w:rPr>
              <w:t>530</w:t>
            </w:r>
            <w:r w:rsidRPr="00906252">
              <w:rPr>
                <w:color w:val="000000"/>
                <w:sz w:val="18"/>
                <w:szCs w:val="18"/>
              </w:rPr>
              <w:t>.</w:t>
            </w:r>
            <w:r w:rsidR="00AF61E8">
              <w:rPr>
                <w:color w:val="000000"/>
                <w:sz w:val="18"/>
                <w:szCs w:val="18"/>
              </w:rPr>
              <w:t>9</w:t>
            </w:r>
          </w:p>
        </w:tc>
        <w:tc>
          <w:tcPr>
            <w:tcW w:w="1157" w:type="dxa"/>
            <w:tcBorders>
              <w:top w:val="nil"/>
              <w:left w:val="nil"/>
              <w:right w:val="nil"/>
            </w:tcBorders>
            <w:shd w:val="clear" w:color="auto" w:fill="F2F2F2" w:themeFill="background1" w:themeFillShade="F2"/>
            <w:noWrap/>
            <w:vAlign w:val="bottom"/>
            <w:hideMark/>
          </w:tcPr>
          <w:p w14:paraId="4AB66E44" w14:textId="0B0684E9" w:rsidR="002A437F" w:rsidRPr="00906252" w:rsidRDefault="002A437F" w:rsidP="002A437F">
            <w:pPr>
              <w:jc w:val="right"/>
              <w:rPr>
                <w:color w:val="000000"/>
                <w:sz w:val="18"/>
                <w:szCs w:val="18"/>
              </w:rPr>
            </w:pPr>
            <w:r w:rsidRPr="00906252">
              <w:rPr>
                <w:color w:val="000000"/>
                <w:sz w:val="18"/>
                <w:szCs w:val="18"/>
              </w:rPr>
              <w:t>-</w:t>
            </w:r>
            <w:r w:rsidR="00AF61E8">
              <w:rPr>
                <w:color w:val="000000"/>
                <w:sz w:val="18"/>
                <w:szCs w:val="18"/>
              </w:rPr>
              <w:t>12</w:t>
            </w:r>
            <w:r w:rsidRPr="00906252">
              <w:rPr>
                <w:color w:val="000000"/>
                <w:sz w:val="18"/>
                <w:szCs w:val="18"/>
              </w:rPr>
              <w:t>,0</w:t>
            </w:r>
            <w:r w:rsidR="00AF61E8">
              <w:rPr>
                <w:color w:val="000000"/>
                <w:sz w:val="18"/>
                <w:szCs w:val="18"/>
              </w:rPr>
              <w:t>18</w:t>
            </w:r>
            <w:r w:rsidRPr="00906252">
              <w:rPr>
                <w:color w:val="000000"/>
                <w:sz w:val="18"/>
                <w:szCs w:val="18"/>
              </w:rPr>
              <w:t>.</w:t>
            </w:r>
            <w:r w:rsidR="00AF61E8">
              <w:rPr>
                <w:color w:val="000000"/>
                <w:sz w:val="18"/>
                <w:szCs w:val="18"/>
              </w:rPr>
              <w:t>5</w:t>
            </w:r>
          </w:p>
        </w:tc>
      </w:tr>
      <w:tr w:rsidR="002A437F" w:rsidRPr="00906252" w14:paraId="1F9360E5" w14:textId="77777777" w:rsidTr="009C339D">
        <w:trPr>
          <w:trHeight w:val="300"/>
          <w:jc w:val="center"/>
        </w:trPr>
        <w:tc>
          <w:tcPr>
            <w:tcW w:w="3969" w:type="dxa"/>
            <w:tcBorders>
              <w:top w:val="nil"/>
              <w:left w:val="nil"/>
              <w:bottom w:val="single" w:sz="4" w:space="0" w:color="auto"/>
              <w:right w:val="nil"/>
            </w:tcBorders>
            <w:shd w:val="clear" w:color="auto" w:fill="FFFFFF" w:themeFill="background1"/>
            <w:noWrap/>
            <w:vAlign w:val="bottom"/>
            <w:hideMark/>
          </w:tcPr>
          <w:p w14:paraId="4B1227C7" w14:textId="77777777" w:rsidR="002A437F" w:rsidRPr="00906252" w:rsidRDefault="002A437F" w:rsidP="002A437F">
            <w:pPr>
              <w:rPr>
                <w:color w:val="000000"/>
                <w:sz w:val="18"/>
                <w:szCs w:val="18"/>
              </w:rPr>
            </w:pPr>
            <w:r w:rsidRPr="00906252">
              <w:rPr>
                <w:color w:val="000000"/>
                <w:sz w:val="18"/>
                <w:szCs w:val="18"/>
              </w:rPr>
              <w:t xml:space="preserve">     % del PIB </w:t>
            </w:r>
          </w:p>
        </w:tc>
        <w:tc>
          <w:tcPr>
            <w:tcW w:w="992" w:type="dxa"/>
            <w:tcBorders>
              <w:top w:val="nil"/>
              <w:left w:val="nil"/>
              <w:bottom w:val="single" w:sz="4" w:space="0" w:color="auto"/>
              <w:right w:val="nil"/>
            </w:tcBorders>
            <w:shd w:val="clear" w:color="auto" w:fill="FFFFFF" w:themeFill="background1"/>
            <w:noWrap/>
            <w:vAlign w:val="bottom"/>
            <w:hideMark/>
          </w:tcPr>
          <w:p w14:paraId="128CCD52" w14:textId="30DADA51" w:rsidR="002A437F" w:rsidRPr="00906252" w:rsidRDefault="002A437F" w:rsidP="002A437F">
            <w:pPr>
              <w:jc w:val="right"/>
              <w:rPr>
                <w:color w:val="000000"/>
                <w:sz w:val="18"/>
                <w:szCs w:val="18"/>
              </w:rPr>
            </w:pPr>
            <w:r w:rsidRPr="00906252">
              <w:rPr>
                <w:color w:val="000000"/>
                <w:sz w:val="18"/>
                <w:szCs w:val="18"/>
              </w:rPr>
              <w:t>-0.</w:t>
            </w:r>
            <w:r w:rsidR="00AF61E8">
              <w:rPr>
                <w:color w:val="000000"/>
                <w:sz w:val="18"/>
                <w:szCs w:val="18"/>
              </w:rPr>
              <w:t>4</w:t>
            </w:r>
          </w:p>
        </w:tc>
        <w:tc>
          <w:tcPr>
            <w:tcW w:w="1156" w:type="dxa"/>
            <w:tcBorders>
              <w:top w:val="nil"/>
              <w:left w:val="nil"/>
              <w:bottom w:val="single" w:sz="4" w:space="0" w:color="auto"/>
              <w:right w:val="nil"/>
            </w:tcBorders>
            <w:shd w:val="clear" w:color="auto" w:fill="FFFFFF" w:themeFill="background1"/>
            <w:vAlign w:val="bottom"/>
          </w:tcPr>
          <w:p w14:paraId="6B44DDC8" w14:textId="77B767CF" w:rsidR="002A437F" w:rsidRPr="00906252" w:rsidRDefault="002A437F" w:rsidP="002A437F">
            <w:pPr>
              <w:jc w:val="right"/>
              <w:rPr>
                <w:color w:val="000000"/>
                <w:sz w:val="18"/>
                <w:szCs w:val="18"/>
              </w:rPr>
            </w:pPr>
            <w:r w:rsidRPr="00906252">
              <w:rPr>
                <w:color w:val="000000"/>
                <w:sz w:val="18"/>
                <w:szCs w:val="18"/>
              </w:rPr>
              <w:t>-0.3</w:t>
            </w:r>
          </w:p>
        </w:tc>
        <w:tc>
          <w:tcPr>
            <w:tcW w:w="1157" w:type="dxa"/>
            <w:tcBorders>
              <w:top w:val="nil"/>
              <w:left w:val="nil"/>
              <w:bottom w:val="single" w:sz="4" w:space="0" w:color="auto"/>
              <w:right w:val="nil"/>
            </w:tcBorders>
            <w:shd w:val="clear" w:color="auto" w:fill="FFFFFF" w:themeFill="background1"/>
            <w:noWrap/>
            <w:vAlign w:val="bottom"/>
            <w:hideMark/>
          </w:tcPr>
          <w:p w14:paraId="3EAD75F7" w14:textId="7E66B7D2" w:rsidR="002A437F" w:rsidRPr="00906252" w:rsidRDefault="002A437F" w:rsidP="002A437F">
            <w:pPr>
              <w:jc w:val="right"/>
              <w:rPr>
                <w:color w:val="000000"/>
                <w:sz w:val="18"/>
                <w:szCs w:val="18"/>
              </w:rPr>
            </w:pPr>
            <w:r w:rsidRPr="00906252">
              <w:rPr>
                <w:color w:val="000000"/>
                <w:sz w:val="18"/>
                <w:szCs w:val="18"/>
              </w:rPr>
              <w:t>-0.</w:t>
            </w:r>
            <w:r w:rsidR="00AF61E8">
              <w:rPr>
                <w:color w:val="000000"/>
                <w:sz w:val="18"/>
                <w:szCs w:val="18"/>
              </w:rPr>
              <w:t>6</w:t>
            </w:r>
          </w:p>
        </w:tc>
      </w:tr>
      <w:tr w:rsidR="002A437F" w:rsidRPr="00906252" w14:paraId="6D8B8429" w14:textId="77777777" w:rsidTr="009C339D">
        <w:trPr>
          <w:trHeight w:val="300"/>
          <w:jc w:val="center"/>
        </w:trPr>
        <w:tc>
          <w:tcPr>
            <w:tcW w:w="3969" w:type="dxa"/>
            <w:tcBorders>
              <w:top w:val="single" w:sz="4" w:space="0" w:color="auto"/>
              <w:left w:val="nil"/>
              <w:right w:val="nil"/>
            </w:tcBorders>
            <w:shd w:val="clear" w:color="auto" w:fill="F2F2F2" w:themeFill="background1" w:themeFillShade="F2"/>
            <w:noWrap/>
            <w:vAlign w:val="bottom"/>
          </w:tcPr>
          <w:p w14:paraId="14D9B223" w14:textId="613F0C39" w:rsidR="002A437F" w:rsidRPr="00906252" w:rsidRDefault="002A437F" w:rsidP="002A437F">
            <w:pPr>
              <w:rPr>
                <w:color w:val="000000"/>
                <w:sz w:val="18"/>
                <w:szCs w:val="18"/>
              </w:rPr>
            </w:pPr>
            <w:r>
              <w:rPr>
                <w:color w:val="000000"/>
                <w:sz w:val="18"/>
                <w:szCs w:val="18"/>
              </w:rPr>
              <w:t>Variables de apoyo:</w:t>
            </w:r>
          </w:p>
        </w:tc>
        <w:tc>
          <w:tcPr>
            <w:tcW w:w="992" w:type="dxa"/>
            <w:tcBorders>
              <w:top w:val="single" w:sz="4" w:space="0" w:color="auto"/>
              <w:left w:val="nil"/>
              <w:right w:val="nil"/>
            </w:tcBorders>
            <w:shd w:val="clear" w:color="auto" w:fill="F2F2F2" w:themeFill="background1" w:themeFillShade="F2"/>
            <w:noWrap/>
            <w:vAlign w:val="bottom"/>
          </w:tcPr>
          <w:p w14:paraId="7E93B67D" w14:textId="77777777" w:rsidR="002A437F" w:rsidRPr="00906252" w:rsidRDefault="002A437F" w:rsidP="00AF61E8">
            <w:pPr>
              <w:jc w:val="right"/>
              <w:rPr>
                <w:color w:val="000000"/>
                <w:sz w:val="18"/>
                <w:szCs w:val="18"/>
              </w:rPr>
            </w:pPr>
          </w:p>
        </w:tc>
        <w:tc>
          <w:tcPr>
            <w:tcW w:w="1156" w:type="dxa"/>
            <w:tcBorders>
              <w:top w:val="single" w:sz="4" w:space="0" w:color="auto"/>
              <w:left w:val="nil"/>
              <w:right w:val="nil"/>
            </w:tcBorders>
            <w:shd w:val="clear" w:color="auto" w:fill="F2F2F2" w:themeFill="background1" w:themeFillShade="F2"/>
            <w:vAlign w:val="bottom"/>
          </w:tcPr>
          <w:p w14:paraId="03CCDF16" w14:textId="77777777" w:rsidR="002A437F" w:rsidRPr="00AF61E8" w:rsidRDefault="002A437F" w:rsidP="00AF61E8">
            <w:pPr>
              <w:jc w:val="right"/>
              <w:rPr>
                <w:color w:val="000000"/>
                <w:sz w:val="18"/>
                <w:szCs w:val="18"/>
              </w:rPr>
            </w:pPr>
          </w:p>
        </w:tc>
        <w:tc>
          <w:tcPr>
            <w:tcW w:w="1157" w:type="dxa"/>
            <w:tcBorders>
              <w:top w:val="single" w:sz="4" w:space="0" w:color="auto"/>
              <w:left w:val="nil"/>
              <w:right w:val="nil"/>
            </w:tcBorders>
            <w:shd w:val="clear" w:color="auto" w:fill="F2F2F2" w:themeFill="background1" w:themeFillShade="F2"/>
            <w:noWrap/>
            <w:vAlign w:val="bottom"/>
          </w:tcPr>
          <w:p w14:paraId="65970444" w14:textId="77777777" w:rsidR="002A437F" w:rsidRPr="00AF61E8" w:rsidRDefault="002A437F" w:rsidP="00AF61E8">
            <w:pPr>
              <w:jc w:val="right"/>
              <w:rPr>
                <w:color w:val="000000"/>
                <w:sz w:val="18"/>
                <w:szCs w:val="18"/>
              </w:rPr>
            </w:pPr>
          </w:p>
        </w:tc>
      </w:tr>
      <w:tr w:rsidR="002A437F" w:rsidRPr="002A437F" w14:paraId="4B6B5655" w14:textId="77777777" w:rsidTr="009C339D">
        <w:trPr>
          <w:trHeight w:val="300"/>
          <w:jc w:val="center"/>
        </w:trPr>
        <w:tc>
          <w:tcPr>
            <w:tcW w:w="3969" w:type="dxa"/>
            <w:tcBorders>
              <w:left w:val="nil"/>
              <w:bottom w:val="nil"/>
              <w:right w:val="nil"/>
            </w:tcBorders>
            <w:noWrap/>
            <w:vAlign w:val="bottom"/>
          </w:tcPr>
          <w:p w14:paraId="73F8F4B3" w14:textId="7AA3706F" w:rsidR="002A437F" w:rsidRPr="002A437F" w:rsidRDefault="002A437F" w:rsidP="002A437F">
            <w:pPr>
              <w:rPr>
                <w:b/>
                <w:bCs/>
                <w:color w:val="000000"/>
                <w:sz w:val="18"/>
                <w:szCs w:val="18"/>
              </w:rPr>
            </w:pPr>
            <w:r w:rsidRPr="002A437F">
              <w:rPr>
                <w:b/>
                <w:bCs/>
                <w:color w:val="000000"/>
                <w:sz w:val="18"/>
                <w:szCs w:val="18"/>
              </w:rPr>
              <w:t>PIB EE.UU.</w:t>
            </w:r>
          </w:p>
        </w:tc>
        <w:tc>
          <w:tcPr>
            <w:tcW w:w="992" w:type="dxa"/>
            <w:tcBorders>
              <w:left w:val="nil"/>
              <w:bottom w:val="nil"/>
              <w:right w:val="nil"/>
            </w:tcBorders>
            <w:noWrap/>
            <w:vAlign w:val="bottom"/>
            <w:hideMark/>
          </w:tcPr>
          <w:p w14:paraId="30D06A1E" w14:textId="77777777" w:rsidR="002A437F" w:rsidRPr="00AF61E8" w:rsidRDefault="002A437F" w:rsidP="00AF61E8">
            <w:pPr>
              <w:jc w:val="right"/>
              <w:rPr>
                <w:color w:val="000000"/>
                <w:sz w:val="18"/>
                <w:szCs w:val="18"/>
              </w:rPr>
            </w:pPr>
          </w:p>
        </w:tc>
        <w:tc>
          <w:tcPr>
            <w:tcW w:w="1156" w:type="dxa"/>
            <w:tcBorders>
              <w:left w:val="nil"/>
              <w:bottom w:val="nil"/>
              <w:right w:val="nil"/>
            </w:tcBorders>
            <w:vAlign w:val="bottom"/>
          </w:tcPr>
          <w:p w14:paraId="4D222EB0" w14:textId="77777777" w:rsidR="002A437F" w:rsidRPr="00AF61E8" w:rsidRDefault="002A437F" w:rsidP="00AF61E8">
            <w:pPr>
              <w:jc w:val="right"/>
              <w:rPr>
                <w:color w:val="000000"/>
                <w:sz w:val="18"/>
                <w:szCs w:val="18"/>
              </w:rPr>
            </w:pPr>
          </w:p>
        </w:tc>
        <w:tc>
          <w:tcPr>
            <w:tcW w:w="1157" w:type="dxa"/>
            <w:tcBorders>
              <w:left w:val="nil"/>
              <w:bottom w:val="nil"/>
              <w:right w:val="nil"/>
            </w:tcBorders>
            <w:noWrap/>
            <w:vAlign w:val="bottom"/>
            <w:hideMark/>
          </w:tcPr>
          <w:p w14:paraId="4683DABD" w14:textId="4BFD3D36" w:rsidR="002A437F" w:rsidRPr="00AF61E8" w:rsidRDefault="002A437F" w:rsidP="00AF61E8">
            <w:pPr>
              <w:jc w:val="right"/>
              <w:rPr>
                <w:color w:val="000000"/>
                <w:sz w:val="18"/>
                <w:szCs w:val="18"/>
              </w:rPr>
            </w:pPr>
          </w:p>
        </w:tc>
      </w:tr>
      <w:tr w:rsidR="002A437F" w:rsidRPr="00906252" w14:paraId="4EA06E42" w14:textId="77777777" w:rsidTr="009C339D">
        <w:trPr>
          <w:trHeight w:val="300"/>
          <w:jc w:val="center"/>
        </w:trPr>
        <w:tc>
          <w:tcPr>
            <w:tcW w:w="3969" w:type="dxa"/>
            <w:tcBorders>
              <w:left w:val="nil"/>
              <w:bottom w:val="nil"/>
              <w:right w:val="nil"/>
            </w:tcBorders>
            <w:shd w:val="clear" w:color="auto" w:fill="F2F2F2" w:themeFill="background1" w:themeFillShade="F2"/>
            <w:noWrap/>
            <w:vAlign w:val="bottom"/>
          </w:tcPr>
          <w:p w14:paraId="347D449B" w14:textId="23831E83" w:rsidR="002A437F" w:rsidRPr="00906252" w:rsidRDefault="002A437F" w:rsidP="002A437F">
            <w:pPr>
              <w:rPr>
                <w:color w:val="000000"/>
                <w:sz w:val="18"/>
                <w:szCs w:val="18"/>
              </w:rPr>
            </w:pPr>
            <w:r>
              <w:rPr>
                <w:color w:val="000000"/>
                <w:sz w:val="18"/>
                <w:szCs w:val="18"/>
              </w:rPr>
              <w:t xml:space="preserve">     Crecimiento % real</w:t>
            </w:r>
          </w:p>
        </w:tc>
        <w:tc>
          <w:tcPr>
            <w:tcW w:w="992" w:type="dxa"/>
            <w:tcBorders>
              <w:left w:val="nil"/>
              <w:bottom w:val="nil"/>
              <w:right w:val="nil"/>
            </w:tcBorders>
            <w:shd w:val="clear" w:color="auto" w:fill="F2F2F2" w:themeFill="background1" w:themeFillShade="F2"/>
            <w:noWrap/>
            <w:vAlign w:val="bottom"/>
          </w:tcPr>
          <w:p w14:paraId="44BDC5E6" w14:textId="71BFF811" w:rsidR="002A437F" w:rsidRPr="00906252" w:rsidRDefault="00AF61E8" w:rsidP="00AF61E8">
            <w:pPr>
              <w:jc w:val="right"/>
              <w:rPr>
                <w:color w:val="000000"/>
                <w:sz w:val="18"/>
                <w:szCs w:val="18"/>
              </w:rPr>
            </w:pPr>
            <w:r>
              <w:rPr>
                <w:color w:val="000000"/>
                <w:sz w:val="18"/>
                <w:szCs w:val="18"/>
              </w:rPr>
              <w:t>2.2</w:t>
            </w:r>
          </w:p>
        </w:tc>
        <w:tc>
          <w:tcPr>
            <w:tcW w:w="1156" w:type="dxa"/>
            <w:tcBorders>
              <w:left w:val="nil"/>
              <w:bottom w:val="nil"/>
              <w:right w:val="nil"/>
            </w:tcBorders>
            <w:shd w:val="clear" w:color="auto" w:fill="F2F2F2" w:themeFill="background1" w:themeFillShade="F2"/>
            <w:vAlign w:val="bottom"/>
          </w:tcPr>
          <w:p w14:paraId="3F5DEF5B" w14:textId="343FF4C9" w:rsidR="002A437F" w:rsidRPr="00AF61E8" w:rsidRDefault="00AF61E8" w:rsidP="00AF61E8">
            <w:pPr>
              <w:jc w:val="right"/>
              <w:rPr>
                <w:color w:val="000000"/>
                <w:sz w:val="18"/>
                <w:szCs w:val="18"/>
              </w:rPr>
            </w:pPr>
            <w:r>
              <w:rPr>
                <w:color w:val="000000"/>
                <w:sz w:val="18"/>
                <w:szCs w:val="18"/>
              </w:rPr>
              <w:t>1.6</w:t>
            </w:r>
          </w:p>
        </w:tc>
        <w:tc>
          <w:tcPr>
            <w:tcW w:w="1157" w:type="dxa"/>
            <w:tcBorders>
              <w:left w:val="nil"/>
              <w:bottom w:val="nil"/>
              <w:right w:val="nil"/>
            </w:tcBorders>
            <w:shd w:val="clear" w:color="auto" w:fill="F2F2F2" w:themeFill="background1" w:themeFillShade="F2"/>
            <w:noWrap/>
            <w:vAlign w:val="bottom"/>
          </w:tcPr>
          <w:p w14:paraId="11B457FE" w14:textId="333D9278" w:rsidR="002A437F" w:rsidRPr="00AF61E8" w:rsidRDefault="00AF61E8" w:rsidP="00AF61E8">
            <w:pPr>
              <w:jc w:val="right"/>
              <w:rPr>
                <w:color w:val="000000"/>
                <w:sz w:val="18"/>
                <w:szCs w:val="18"/>
              </w:rPr>
            </w:pPr>
            <w:r>
              <w:rPr>
                <w:color w:val="000000"/>
                <w:sz w:val="18"/>
                <w:szCs w:val="18"/>
              </w:rPr>
              <w:t>1.9</w:t>
            </w:r>
          </w:p>
        </w:tc>
      </w:tr>
      <w:tr w:rsidR="002A437F" w:rsidRPr="002A437F" w14:paraId="3C36EDDA" w14:textId="77777777" w:rsidTr="009C339D">
        <w:trPr>
          <w:trHeight w:val="300"/>
          <w:jc w:val="center"/>
        </w:trPr>
        <w:tc>
          <w:tcPr>
            <w:tcW w:w="3969" w:type="dxa"/>
            <w:tcBorders>
              <w:left w:val="nil"/>
              <w:bottom w:val="nil"/>
              <w:right w:val="nil"/>
            </w:tcBorders>
            <w:shd w:val="clear" w:color="auto" w:fill="FFFFFF" w:themeFill="background1"/>
            <w:noWrap/>
            <w:vAlign w:val="bottom"/>
          </w:tcPr>
          <w:p w14:paraId="1E98C68A" w14:textId="6600B106" w:rsidR="002A437F" w:rsidRPr="002A437F" w:rsidRDefault="002A437F" w:rsidP="002A437F">
            <w:pPr>
              <w:rPr>
                <w:b/>
                <w:bCs/>
                <w:color w:val="000000"/>
                <w:sz w:val="18"/>
                <w:szCs w:val="18"/>
              </w:rPr>
            </w:pPr>
            <w:r w:rsidRPr="002A437F">
              <w:rPr>
                <w:b/>
                <w:bCs/>
                <w:color w:val="000000"/>
                <w:sz w:val="18"/>
                <w:szCs w:val="18"/>
              </w:rPr>
              <w:lastRenderedPageBreak/>
              <w:t>Producción Industrial EE.UU.</w:t>
            </w:r>
          </w:p>
        </w:tc>
        <w:tc>
          <w:tcPr>
            <w:tcW w:w="992" w:type="dxa"/>
            <w:tcBorders>
              <w:left w:val="nil"/>
              <w:bottom w:val="nil"/>
              <w:right w:val="nil"/>
            </w:tcBorders>
            <w:shd w:val="clear" w:color="auto" w:fill="FFFFFF" w:themeFill="background1"/>
            <w:noWrap/>
            <w:vAlign w:val="bottom"/>
          </w:tcPr>
          <w:p w14:paraId="660568C8" w14:textId="77777777" w:rsidR="002A437F" w:rsidRPr="00AF61E8" w:rsidRDefault="002A437F" w:rsidP="00AF61E8">
            <w:pPr>
              <w:jc w:val="right"/>
              <w:rPr>
                <w:color w:val="000000"/>
                <w:sz w:val="18"/>
                <w:szCs w:val="18"/>
              </w:rPr>
            </w:pPr>
          </w:p>
        </w:tc>
        <w:tc>
          <w:tcPr>
            <w:tcW w:w="1156" w:type="dxa"/>
            <w:tcBorders>
              <w:left w:val="nil"/>
              <w:bottom w:val="nil"/>
              <w:right w:val="nil"/>
            </w:tcBorders>
            <w:shd w:val="clear" w:color="auto" w:fill="FFFFFF" w:themeFill="background1"/>
            <w:vAlign w:val="bottom"/>
          </w:tcPr>
          <w:p w14:paraId="7891B9E3" w14:textId="77777777" w:rsidR="002A437F" w:rsidRPr="00AF61E8" w:rsidRDefault="002A437F" w:rsidP="00AF61E8">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099535A0" w14:textId="77777777" w:rsidR="002A437F" w:rsidRPr="00AF61E8" w:rsidRDefault="002A437F" w:rsidP="00AF61E8">
            <w:pPr>
              <w:jc w:val="right"/>
              <w:rPr>
                <w:color w:val="000000"/>
                <w:sz w:val="18"/>
                <w:szCs w:val="18"/>
              </w:rPr>
            </w:pPr>
          </w:p>
        </w:tc>
      </w:tr>
      <w:tr w:rsidR="002A437F" w:rsidRPr="00906252" w14:paraId="7EF6F260" w14:textId="77777777" w:rsidTr="009C339D">
        <w:trPr>
          <w:trHeight w:val="300"/>
          <w:jc w:val="center"/>
        </w:trPr>
        <w:tc>
          <w:tcPr>
            <w:tcW w:w="3969" w:type="dxa"/>
            <w:tcBorders>
              <w:left w:val="nil"/>
              <w:bottom w:val="nil"/>
              <w:right w:val="nil"/>
            </w:tcBorders>
            <w:shd w:val="clear" w:color="auto" w:fill="F2F2F2" w:themeFill="background1" w:themeFillShade="F2"/>
            <w:noWrap/>
            <w:vAlign w:val="bottom"/>
          </w:tcPr>
          <w:p w14:paraId="099C85A3" w14:textId="7863E124" w:rsidR="002A437F" w:rsidRPr="00906252" w:rsidRDefault="002A437F" w:rsidP="002A437F">
            <w:pPr>
              <w:rPr>
                <w:color w:val="000000"/>
                <w:sz w:val="18"/>
                <w:szCs w:val="18"/>
              </w:rPr>
            </w:pPr>
            <w:r>
              <w:rPr>
                <w:color w:val="000000"/>
                <w:sz w:val="18"/>
                <w:szCs w:val="18"/>
              </w:rPr>
              <w:t xml:space="preserve">     Crecimiento % real</w:t>
            </w:r>
          </w:p>
        </w:tc>
        <w:tc>
          <w:tcPr>
            <w:tcW w:w="992" w:type="dxa"/>
            <w:tcBorders>
              <w:left w:val="nil"/>
              <w:bottom w:val="nil"/>
              <w:right w:val="nil"/>
            </w:tcBorders>
            <w:shd w:val="clear" w:color="auto" w:fill="F2F2F2" w:themeFill="background1" w:themeFillShade="F2"/>
            <w:noWrap/>
            <w:vAlign w:val="bottom"/>
          </w:tcPr>
          <w:p w14:paraId="54BF7FDA" w14:textId="33B30548" w:rsidR="002A437F" w:rsidRPr="00906252" w:rsidRDefault="00AF61E8" w:rsidP="00AF61E8">
            <w:pPr>
              <w:jc w:val="right"/>
              <w:rPr>
                <w:color w:val="000000"/>
                <w:sz w:val="18"/>
                <w:szCs w:val="18"/>
              </w:rPr>
            </w:pPr>
            <w:r>
              <w:rPr>
                <w:color w:val="000000"/>
                <w:sz w:val="18"/>
                <w:szCs w:val="18"/>
              </w:rPr>
              <w:t>2.0</w:t>
            </w:r>
          </w:p>
        </w:tc>
        <w:tc>
          <w:tcPr>
            <w:tcW w:w="1156" w:type="dxa"/>
            <w:tcBorders>
              <w:left w:val="nil"/>
              <w:bottom w:val="nil"/>
              <w:right w:val="nil"/>
            </w:tcBorders>
            <w:shd w:val="clear" w:color="auto" w:fill="F2F2F2" w:themeFill="background1" w:themeFillShade="F2"/>
            <w:vAlign w:val="bottom"/>
          </w:tcPr>
          <w:p w14:paraId="5198AC87" w14:textId="5FAF3B5B" w:rsidR="002A437F" w:rsidRPr="00AF61E8" w:rsidRDefault="00AF61E8" w:rsidP="00AF61E8">
            <w:pPr>
              <w:jc w:val="right"/>
              <w:rPr>
                <w:color w:val="000000"/>
                <w:sz w:val="18"/>
                <w:szCs w:val="18"/>
              </w:rPr>
            </w:pPr>
            <w:r>
              <w:rPr>
                <w:color w:val="000000"/>
                <w:sz w:val="18"/>
                <w:szCs w:val="18"/>
              </w:rPr>
              <w:t>1.0</w:t>
            </w:r>
          </w:p>
        </w:tc>
        <w:tc>
          <w:tcPr>
            <w:tcW w:w="1157" w:type="dxa"/>
            <w:tcBorders>
              <w:left w:val="nil"/>
              <w:bottom w:val="nil"/>
              <w:right w:val="nil"/>
            </w:tcBorders>
            <w:shd w:val="clear" w:color="auto" w:fill="F2F2F2" w:themeFill="background1" w:themeFillShade="F2"/>
            <w:noWrap/>
            <w:vAlign w:val="bottom"/>
          </w:tcPr>
          <w:p w14:paraId="691FAB2E" w14:textId="0D767B28" w:rsidR="002A437F" w:rsidRPr="00AF61E8" w:rsidRDefault="00AF61E8" w:rsidP="00AF61E8">
            <w:pPr>
              <w:jc w:val="right"/>
              <w:rPr>
                <w:color w:val="000000"/>
                <w:sz w:val="18"/>
                <w:szCs w:val="18"/>
              </w:rPr>
            </w:pPr>
            <w:r>
              <w:rPr>
                <w:color w:val="000000"/>
                <w:sz w:val="18"/>
                <w:szCs w:val="18"/>
              </w:rPr>
              <w:t>1.1</w:t>
            </w:r>
          </w:p>
        </w:tc>
      </w:tr>
      <w:tr w:rsidR="002A437F" w:rsidRPr="002A437F" w14:paraId="4A7C25AF" w14:textId="77777777" w:rsidTr="009C339D">
        <w:trPr>
          <w:trHeight w:val="300"/>
          <w:jc w:val="center"/>
        </w:trPr>
        <w:tc>
          <w:tcPr>
            <w:tcW w:w="3969" w:type="dxa"/>
            <w:tcBorders>
              <w:left w:val="nil"/>
              <w:bottom w:val="nil"/>
              <w:right w:val="nil"/>
            </w:tcBorders>
            <w:shd w:val="clear" w:color="auto" w:fill="FFFFFF" w:themeFill="background1"/>
            <w:noWrap/>
            <w:vAlign w:val="bottom"/>
          </w:tcPr>
          <w:p w14:paraId="5754790E" w14:textId="5C71B033" w:rsidR="002A437F" w:rsidRPr="002A437F" w:rsidRDefault="002A437F" w:rsidP="002A437F">
            <w:pPr>
              <w:rPr>
                <w:b/>
                <w:bCs/>
                <w:color w:val="000000"/>
                <w:sz w:val="18"/>
                <w:szCs w:val="18"/>
              </w:rPr>
            </w:pPr>
            <w:r w:rsidRPr="002A437F">
              <w:rPr>
                <w:b/>
                <w:bCs/>
                <w:color w:val="000000"/>
                <w:sz w:val="18"/>
                <w:szCs w:val="18"/>
              </w:rPr>
              <w:t>Inflación EE.UU.</w:t>
            </w:r>
          </w:p>
        </w:tc>
        <w:tc>
          <w:tcPr>
            <w:tcW w:w="992" w:type="dxa"/>
            <w:tcBorders>
              <w:left w:val="nil"/>
              <w:bottom w:val="nil"/>
              <w:right w:val="nil"/>
            </w:tcBorders>
            <w:shd w:val="clear" w:color="auto" w:fill="FFFFFF" w:themeFill="background1"/>
            <w:noWrap/>
            <w:vAlign w:val="bottom"/>
          </w:tcPr>
          <w:p w14:paraId="5EB4EAA9" w14:textId="77777777" w:rsidR="002A437F" w:rsidRPr="00AF61E8" w:rsidRDefault="002A437F" w:rsidP="00AF61E8">
            <w:pPr>
              <w:jc w:val="right"/>
              <w:rPr>
                <w:color w:val="000000"/>
                <w:sz w:val="18"/>
                <w:szCs w:val="18"/>
              </w:rPr>
            </w:pPr>
          </w:p>
        </w:tc>
        <w:tc>
          <w:tcPr>
            <w:tcW w:w="1156" w:type="dxa"/>
            <w:tcBorders>
              <w:left w:val="nil"/>
              <w:bottom w:val="nil"/>
              <w:right w:val="nil"/>
            </w:tcBorders>
            <w:shd w:val="clear" w:color="auto" w:fill="FFFFFF" w:themeFill="background1"/>
            <w:vAlign w:val="bottom"/>
          </w:tcPr>
          <w:p w14:paraId="5D9B2C03" w14:textId="77777777" w:rsidR="002A437F" w:rsidRPr="00AF61E8" w:rsidRDefault="002A437F" w:rsidP="00AF61E8">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24F44808" w14:textId="77777777" w:rsidR="002A437F" w:rsidRPr="00AF61E8" w:rsidRDefault="002A437F" w:rsidP="00AF61E8">
            <w:pPr>
              <w:jc w:val="right"/>
              <w:rPr>
                <w:color w:val="000000"/>
                <w:sz w:val="18"/>
                <w:szCs w:val="18"/>
              </w:rPr>
            </w:pPr>
          </w:p>
        </w:tc>
      </w:tr>
      <w:tr w:rsidR="002A437F" w:rsidRPr="00906252" w14:paraId="270F30E9" w14:textId="77777777" w:rsidTr="009C339D">
        <w:trPr>
          <w:trHeight w:val="300"/>
          <w:jc w:val="center"/>
        </w:trPr>
        <w:tc>
          <w:tcPr>
            <w:tcW w:w="3969" w:type="dxa"/>
            <w:tcBorders>
              <w:left w:val="nil"/>
              <w:bottom w:val="nil"/>
              <w:right w:val="nil"/>
            </w:tcBorders>
            <w:shd w:val="clear" w:color="auto" w:fill="F2F2F2" w:themeFill="background1" w:themeFillShade="F2"/>
            <w:noWrap/>
            <w:vAlign w:val="bottom"/>
          </w:tcPr>
          <w:p w14:paraId="7EB96F3C" w14:textId="09880022" w:rsidR="002A437F" w:rsidRPr="00906252" w:rsidRDefault="002A437F" w:rsidP="002A437F">
            <w:pPr>
              <w:rPr>
                <w:color w:val="000000"/>
                <w:sz w:val="18"/>
                <w:szCs w:val="18"/>
              </w:rPr>
            </w:pPr>
            <w:r>
              <w:rPr>
                <w:color w:val="000000"/>
                <w:sz w:val="18"/>
                <w:szCs w:val="18"/>
              </w:rPr>
              <w:t xml:space="preserve">     Promedio</w:t>
            </w:r>
          </w:p>
        </w:tc>
        <w:tc>
          <w:tcPr>
            <w:tcW w:w="992" w:type="dxa"/>
            <w:tcBorders>
              <w:left w:val="nil"/>
              <w:bottom w:val="nil"/>
              <w:right w:val="nil"/>
            </w:tcBorders>
            <w:shd w:val="clear" w:color="auto" w:fill="F2F2F2" w:themeFill="background1" w:themeFillShade="F2"/>
            <w:noWrap/>
            <w:vAlign w:val="bottom"/>
          </w:tcPr>
          <w:p w14:paraId="2AED4D67" w14:textId="29E7D7D6" w:rsidR="002A437F" w:rsidRPr="00906252" w:rsidRDefault="00AF61E8" w:rsidP="00AF61E8">
            <w:pPr>
              <w:jc w:val="right"/>
              <w:rPr>
                <w:color w:val="000000"/>
                <w:sz w:val="18"/>
                <w:szCs w:val="18"/>
              </w:rPr>
            </w:pPr>
            <w:r>
              <w:rPr>
                <w:color w:val="000000"/>
                <w:sz w:val="18"/>
                <w:szCs w:val="18"/>
              </w:rPr>
              <w:t>2.2</w:t>
            </w:r>
          </w:p>
        </w:tc>
        <w:tc>
          <w:tcPr>
            <w:tcW w:w="1156" w:type="dxa"/>
            <w:tcBorders>
              <w:left w:val="nil"/>
              <w:bottom w:val="nil"/>
              <w:right w:val="nil"/>
            </w:tcBorders>
            <w:shd w:val="clear" w:color="auto" w:fill="F2F2F2" w:themeFill="background1" w:themeFillShade="F2"/>
            <w:vAlign w:val="bottom"/>
          </w:tcPr>
          <w:p w14:paraId="6CBF44F4" w14:textId="7870DBC4" w:rsidR="002A437F" w:rsidRPr="00AF61E8" w:rsidRDefault="00AF61E8" w:rsidP="00AF61E8">
            <w:pPr>
              <w:jc w:val="right"/>
              <w:rPr>
                <w:color w:val="000000"/>
                <w:sz w:val="18"/>
                <w:szCs w:val="18"/>
              </w:rPr>
            </w:pPr>
            <w:r>
              <w:rPr>
                <w:color w:val="000000"/>
                <w:sz w:val="18"/>
                <w:szCs w:val="18"/>
              </w:rPr>
              <w:t>3.0</w:t>
            </w:r>
          </w:p>
        </w:tc>
        <w:tc>
          <w:tcPr>
            <w:tcW w:w="1157" w:type="dxa"/>
            <w:tcBorders>
              <w:left w:val="nil"/>
              <w:bottom w:val="nil"/>
              <w:right w:val="nil"/>
            </w:tcBorders>
            <w:shd w:val="clear" w:color="auto" w:fill="F2F2F2" w:themeFill="background1" w:themeFillShade="F2"/>
            <w:noWrap/>
            <w:vAlign w:val="bottom"/>
          </w:tcPr>
          <w:p w14:paraId="00C52AFF" w14:textId="7491D5C0" w:rsidR="002A437F" w:rsidRPr="00AF61E8" w:rsidRDefault="00AF61E8" w:rsidP="00AF61E8">
            <w:pPr>
              <w:jc w:val="right"/>
              <w:rPr>
                <w:color w:val="000000"/>
                <w:sz w:val="18"/>
                <w:szCs w:val="18"/>
              </w:rPr>
            </w:pPr>
            <w:r>
              <w:rPr>
                <w:color w:val="000000"/>
                <w:sz w:val="18"/>
                <w:szCs w:val="18"/>
              </w:rPr>
              <w:t>2.7</w:t>
            </w:r>
          </w:p>
        </w:tc>
      </w:tr>
      <w:tr w:rsidR="002A437F" w:rsidRPr="002A437F" w14:paraId="50F90C75" w14:textId="77777777" w:rsidTr="009C339D">
        <w:trPr>
          <w:trHeight w:val="300"/>
          <w:jc w:val="center"/>
        </w:trPr>
        <w:tc>
          <w:tcPr>
            <w:tcW w:w="3969" w:type="dxa"/>
            <w:tcBorders>
              <w:left w:val="nil"/>
              <w:bottom w:val="nil"/>
              <w:right w:val="nil"/>
            </w:tcBorders>
            <w:shd w:val="clear" w:color="auto" w:fill="FFFFFF" w:themeFill="background1"/>
            <w:noWrap/>
            <w:vAlign w:val="bottom"/>
          </w:tcPr>
          <w:p w14:paraId="3FCFDD85" w14:textId="3EC8AC1E" w:rsidR="002A437F" w:rsidRPr="002A437F" w:rsidRDefault="002A437F" w:rsidP="002A437F">
            <w:pPr>
              <w:rPr>
                <w:b/>
                <w:bCs/>
                <w:color w:val="000000"/>
                <w:sz w:val="18"/>
                <w:szCs w:val="18"/>
              </w:rPr>
            </w:pPr>
            <w:r w:rsidRPr="002A437F">
              <w:rPr>
                <w:b/>
                <w:bCs/>
                <w:color w:val="000000"/>
                <w:sz w:val="18"/>
                <w:szCs w:val="18"/>
              </w:rPr>
              <w:t>Tasa de interés internacional</w:t>
            </w:r>
          </w:p>
        </w:tc>
        <w:tc>
          <w:tcPr>
            <w:tcW w:w="992" w:type="dxa"/>
            <w:tcBorders>
              <w:left w:val="nil"/>
              <w:bottom w:val="nil"/>
              <w:right w:val="nil"/>
            </w:tcBorders>
            <w:shd w:val="clear" w:color="auto" w:fill="FFFFFF" w:themeFill="background1"/>
            <w:noWrap/>
            <w:vAlign w:val="bottom"/>
          </w:tcPr>
          <w:p w14:paraId="2471FD9A" w14:textId="77777777" w:rsidR="002A437F" w:rsidRPr="00AF61E8" w:rsidRDefault="002A437F" w:rsidP="00AF61E8">
            <w:pPr>
              <w:jc w:val="right"/>
              <w:rPr>
                <w:color w:val="000000"/>
                <w:sz w:val="18"/>
                <w:szCs w:val="18"/>
              </w:rPr>
            </w:pPr>
          </w:p>
        </w:tc>
        <w:tc>
          <w:tcPr>
            <w:tcW w:w="1156" w:type="dxa"/>
            <w:tcBorders>
              <w:left w:val="nil"/>
              <w:bottom w:val="nil"/>
              <w:right w:val="nil"/>
            </w:tcBorders>
            <w:shd w:val="clear" w:color="auto" w:fill="FFFFFF" w:themeFill="background1"/>
            <w:vAlign w:val="bottom"/>
          </w:tcPr>
          <w:p w14:paraId="441ABEF5" w14:textId="77777777" w:rsidR="002A437F" w:rsidRPr="00AF61E8" w:rsidRDefault="002A437F" w:rsidP="00AF61E8">
            <w:pPr>
              <w:jc w:val="right"/>
              <w:rPr>
                <w:color w:val="000000"/>
                <w:sz w:val="18"/>
                <w:szCs w:val="18"/>
              </w:rPr>
            </w:pPr>
          </w:p>
        </w:tc>
        <w:tc>
          <w:tcPr>
            <w:tcW w:w="1157" w:type="dxa"/>
            <w:tcBorders>
              <w:left w:val="nil"/>
              <w:bottom w:val="nil"/>
              <w:right w:val="nil"/>
            </w:tcBorders>
            <w:shd w:val="clear" w:color="auto" w:fill="FFFFFF" w:themeFill="background1"/>
            <w:noWrap/>
            <w:vAlign w:val="bottom"/>
          </w:tcPr>
          <w:p w14:paraId="511C97D1" w14:textId="77777777" w:rsidR="002A437F" w:rsidRPr="00AF61E8" w:rsidRDefault="002A437F" w:rsidP="00AF61E8">
            <w:pPr>
              <w:jc w:val="right"/>
              <w:rPr>
                <w:color w:val="000000"/>
                <w:sz w:val="18"/>
                <w:szCs w:val="18"/>
              </w:rPr>
            </w:pPr>
          </w:p>
        </w:tc>
      </w:tr>
      <w:tr w:rsidR="002A437F" w:rsidRPr="00906252" w14:paraId="085C411F" w14:textId="77777777" w:rsidTr="009C339D">
        <w:trPr>
          <w:trHeight w:val="300"/>
          <w:jc w:val="center"/>
        </w:trPr>
        <w:tc>
          <w:tcPr>
            <w:tcW w:w="3969" w:type="dxa"/>
            <w:tcBorders>
              <w:left w:val="nil"/>
              <w:bottom w:val="nil"/>
              <w:right w:val="nil"/>
            </w:tcBorders>
            <w:shd w:val="clear" w:color="auto" w:fill="F2F2F2" w:themeFill="background1" w:themeFillShade="F2"/>
            <w:noWrap/>
            <w:vAlign w:val="bottom"/>
          </w:tcPr>
          <w:p w14:paraId="26633C6D" w14:textId="280FCD78" w:rsidR="002A437F" w:rsidRDefault="002A437F" w:rsidP="002A437F">
            <w:pPr>
              <w:rPr>
                <w:color w:val="000000"/>
                <w:sz w:val="18"/>
                <w:szCs w:val="18"/>
              </w:rPr>
            </w:pPr>
            <w:r>
              <w:rPr>
                <w:color w:val="000000"/>
                <w:sz w:val="18"/>
                <w:szCs w:val="18"/>
              </w:rPr>
              <w:t xml:space="preserve">     SOFR 3 meses (promedio)</w:t>
            </w:r>
          </w:p>
        </w:tc>
        <w:tc>
          <w:tcPr>
            <w:tcW w:w="992" w:type="dxa"/>
            <w:tcBorders>
              <w:left w:val="nil"/>
              <w:bottom w:val="nil"/>
              <w:right w:val="nil"/>
            </w:tcBorders>
            <w:shd w:val="clear" w:color="auto" w:fill="F2F2F2" w:themeFill="background1" w:themeFillShade="F2"/>
            <w:noWrap/>
            <w:vAlign w:val="bottom"/>
          </w:tcPr>
          <w:p w14:paraId="4811F42B" w14:textId="799F28B7" w:rsidR="002A437F" w:rsidRPr="00906252" w:rsidRDefault="00AF61E8" w:rsidP="00AF61E8">
            <w:pPr>
              <w:jc w:val="right"/>
              <w:rPr>
                <w:color w:val="000000"/>
                <w:sz w:val="18"/>
                <w:szCs w:val="18"/>
              </w:rPr>
            </w:pPr>
            <w:r>
              <w:rPr>
                <w:color w:val="000000"/>
                <w:sz w:val="18"/>
                <w:szCs w:val="18"/>
              </w:rPr>
              <w:t>3.3</w:t>
            </w:r>
          </w:p>
        </w:tc>
        <w:tc>
          <w:tcPr>
            <w:tcW w:w="1156" w:type="dxa"/>
            <w:tcBorders>
              <w:left w:val="nil"/>
              <w:bottom w:val="nil"/>
              <w:right w:val="nil"/>
            </w:tcBorders>
            <w:shd w:val="clear" w:color="auto" w:fill="F2F2F2" w:themeFill="background1" w:themeFillShade="F2"/>
            <w:vAlign w:val="bottom"/>
          </w:tcPr>
          <w:p w14:paraId="73D0F5E7" w14:textId="20244426" w:rsidR="002A437F" w:rsidRPr="00AF61E8" w:rsidRDefault="00AF61E8" w:rsidP="00AF61E8">
            <w:pPr>
              <w:jc w:val="right"/>
              <w:rPr>
                <w:color w:val="000000"/>
                <w:sz w:val="18"/>
                <w:szCs w:val="18"/>
              </w:rPr>
            </w:pPr>
            <w:r>
              <w:rPr>
                <w:color w:val="000000"/>
                <w:sz w:val="18"/>
                <w:szCs w:val="18"/>
              </w:rPr>
              <w:t>4.2</w:t>
            </w:r>
          </w:p>
        </w:tc>
        <w:tc>
          <w:tcPr>
            <w:tcW w:w="1157" w:type="dxa"/>
            <w:tcBorders>
              <w:left w:val="nil"/>
              <w:bottom w:val="nil"/>
              <w:right w:val="nil"/>
            </w:tcBorders>
            <w:shd w:val="clear" w:color="auto" w:fill="F2F2F2" w:themeFill="background1" w:themeFillShade="F2"/>
            <w:noWrap/>
            <w:vAlign w:val="bottom"/>
          </w:tcPr>
          <w:p w14:paraId="3276886B" w14:textId="65A61C5F" w:rsidR="002A437F" w:rsidRPr="00AF61E8" w:rsidRDefault="00AF61E8" w:rsidP="00AF61E8">
            <w:pPr>
              <w:jc w:val="right"/>
              <w:rPr>
                <w:color w:val="000000"/>
                <w:sz w:val="18"/>
                <w:szCs w:val="18"/>
              </w:rPr>
            </w:pPr>
            <w:r>
              <w:rPr>
                <w:color w:val="000000"/>
                <w:sz w:val="18"/>
                <w:szCs w:val="18"/>
              </w:rPr>
              <w:t>3.5</w:t>
            </w:r>
          </w:p>
        </w:tc>
      </w:tr>
      <w:tr w:rsidR="002A437F" w:rsidRPr="00906252" w14:paraId="65F6A2C3" w14:textId="77777777" w:rsidTr="009C339D">
        <w:trPr>
          <w:trHeight w:val="300"/>
          <w:jc w:val="center"/>
        </w:trPr>
        <w:tc>
          <w:tcPr>
            <w:tcW w:w="3969" w:type="dxa"/>
            <w:tcBorders>
              <w:left w:val="nil"/>
              <w:bottom w:val="nil"/>
              <w:right w:val="nil"/>
            </w:tcBorders>
            <w:shd w:val="clear" w:color="auto" w:fill="FFFFFF" w:themeFill="background1"/>
            <w:noWrap/>
            <w:vAlign w:val="bottom"/>
          </w:tcPr>
          <w:p w14:paraId="2C3D5379" w14:textId="78A2FEE7" w:rsidR="002A437F" w:rsidRDefault="002A437F" w:rsidP="002A437F">
            <w:pPr>
              <w:rPr>
                <w:color w:val="000000"/>
                <w:sz w:val="18"/>
                <w:szCs w:val="18"/>
              </w:rPr>
            </w:pPr>
            <w:r>
              <w:rPr>
                <w:color w:val="000000"/>
                <w:sz w:val="18"/>
                <w:szCs w:val="18"/>
              </w:rPr>
              <w:t xml:space="preserve">     FED </w:t>
            </w:r>
            <w:proofErr w:type="spellStart"/>
            <w:r>
              <w:rPr>
                <w:color w:val="000000"/>
                <w:sz w:val="18"/>
                <w:szCs w:val="18"/>
              </w:rPr>
              <w:t>Funds</w:t>
            </w:r>
            <w:proofErr w:type="spellEnd"/>
            <w:r>
              <w:rPr>
                <w:color w:val="000000"/>
                <w:sz w:val="18"/>
                <w:szCs w:val="18"/>
              </w:rPr>
              <w:t xml:space="preserve"> </w:t>
            </w:r>
            <w:proofErr w:type="spellStart"/>
            <w:r>
              <w:rPr>
                <w:color w:val="000000"/>
                <w:sz w:val="18"/>
                <w:szCs w:val="18"/>
              </w:rPr>
              <w:t>Rate</w:t>
            </w:r>
            <w:proofErr w:type="spellEnd"/>
            <w:r>
              <w:rPr>
                <w:color w:val="000000"/>
                <w:sz w:val="18"/>
                <w:szCs w:val="18"/>
              </w:rPr>
              <w:t xml:space="preserve"> (promedio)</w:t>
            </w:r>
          </w:p>
        </w:tc>
        <w:tc>
          <w:tcPr>
            <w:tcW w:w="992" w:type="dxa"/>
            <w:tcBorders>
              <w:left w:val="nil"/>
              <w:bottom w:val="nil"/>
              <w:right w:val="nil"/>
            </w:tcBorders>
            <w:shd w:val="clear" w:color="auto" w:fill="FFFFFF" w:themeFill="background1"/>
            <w:noWrap/>
            <w:vAlign w:val="bottom"/>
          </w:tcPr>
          <w:p w14:paraId="47B82040" w14:textId="664E8858" w:rsidR="002A437F" w:rsidRPr="00906252" w:rsidRDefault="00AF61E8" w:rsidP="00AF61E8">
            <w:pPr>
              <w:jc w:val="right"/>
              <w:rPr>
                <w:color w:val="000000"/>
                <w:sz w:val="18"/>
                <w:szCs w:val="18"/>
              </w:rPr>
            </w:pPr>
            <w:r>
              <w:rPr>
                <w:color w:val="000000"/>
                <w:sz w:val="18"/>
                <w:szCs w:val="18"/>
              </w:rPr>
              <w:t>3.8</w:t>
            </w:r>
          </w:p>
        </w:tc>
        <w:tc>
          <w:tcPr>
            <w:tcW w:w="1156" w:type="dxa"/>
            <w:tcBorders>
              <w:left w:val="nil"/>
              <w:bottom w:val="nil"/>
              <w:right w:val="nil"/>
            </w:tcBorders>
            <w:shd w:val="clear" w:color="auto" w:fill="FFFFFF" w:themeFill="background1"/>
            <w:vAlign w:val="bottom"/>
          </w:tcPr>
          <w:p w14:paraId="7DBA022D" w14:textId="57A6427E" w:rsidR="002A437F" w:rsidRPr="00AF61E8" w:rsidRDefault="00AF61E8" w:rsidP="00AF61E8">
            <w:pPr>
              <w:jc w:val="right"/>
              <w:rPr>
                <w:color w:val="000000"/>
                <w:sz w:val="18"/>
                <w:szCs w:val="18"/>
              </w:rPr>
            </w:pPr>
            <w:r>
              <w:rPr>
                <w:color w:val="000000"/>
                <w:sz w:val="18"/>
                <w:szCs w:val="18"/>
              </w:rPr>
              <w:t>4.3</w:t>
            </w:r>
          </w:p>
        </w:tc>
        <w:tc>
          <w:tcPr>
            <w:tcW w:w="1157" w:type="dxa"/>
            <w:tcBorders>
              <w:left w:val="nil"/>
              <w:bottom w:val="nil"/>
              <w:right w:val="nil"/>
            </w:tcBorders>
            <w:shd w:val="clear" w:color="auto" w:fill="FFFFFF" w:themeFill="background1"/>
            <w:noWrap/>
            <w:vAlign w:val="bottom"/>
          </w:tcPr>
          <w:p w14:paraId="63F26AC3" w14:textId="6671BB73" w:rsidR="002A437F" w:rsidRPr="00AF61E8" w:rsidRDefault="00AF61E8" w:rsidP="00AF61E8">
            <w:pPr>
              <w:jc w:val="right"/>
              <w:rPr>
                <w:color w:val="000000"/>
                <w:sz w:val="18"/>
                <w:szCs w:val="18"/>
              </w:rPr>
            </w:pPr>
            <w:r>
              <w:rPr>
                <w:color w:val="000000"/>
                <w:sz w:val="18"/>
                <w:szCs w:val="18"/>
              </w:rPr>
              <w:t>3.5</w:t>
            </w:r>
          </w:p>
        </w:tc>
      </w:tr>
      <w:tr w:rsidR="002A437F" w:rsidRPr="002A437F" w14:paraId="59306703" w14:textId="77777777" w:rsidTr="009C339D">
        <w:trPr>
          <w:trHeight w:val="300"/>
          <w:jc w:val="center"/>
        </w:trPr>
        <w:tc>
          <w:tcPr>
            <w:tcW w:w="3969" w:type="dxa"/>
            <w:tcBorders>
              <w:left w:val="nil"/>
              <w:bottom w:val="nil"/>
              <w:right w:val="nil"/>
            </w:tcBorders>
            <w:shd w:val="clear" w:color="auto" w:fill="F2F2F2" w:themeFill="background1" w:themeFillShade="F2"/>
            <w:noWrap/>
            <w:vAlign w:val="bottom"/>
          </w:tcPr>
          <w:p w14:paraId="3F308480" w14:textId="749F4CE3" w:rsidR="002A437F" w:rsidRPr="002A437F" w:rsidRDefault="002A437F" w:rsidP="002A437F">
            <w:pPr>
              <w:rPr>
                <w:b/>
                <w:bCs/>
                <w:color w:val="000000"/>
                <w:sz w:val="18"/>
                <w:szCs w:val="18"/>
              </w:rPr>
            </w:pPr>
            <w:r w:rsidRPr="002A437F">
              <w:rPr>
                <w:b/>
                <w:bCs/>
                <w:color w:val="000000"/>
                <w:sz w:val="18"/>
                <w:szCs w:val="18"/>
              </w:rPr>
              <w:t>Petróleo (canasta mexicana)</w:t>
            </w:r>
          </w:p>
        </w:tc>
        <w:tc>
          <w:tcPr>
            <w:tcW w:w="992" w:type="dxa"/>
            <w:tcBorders>
              <w:left w:val="nil"/>
              <w:bottom w:val="nil"/>
              <w:right w:val="nil"/>
            </w:tcBorders>
            <w:shd w:val="clear" w:color="auto" w:fill="F2F2F2" w:themeFill="background1" w:themeFillShade="F2"/>
            <w:noWrap/>
            <w:vAlign w:val="bottom"/>
          </w:tcPr>
          <w:p w14:paraId="43580A47" w14:textId="77777777" w:rsidR="002A437F" w:rsidRPr="00AF61E8" w:rsidRDefault="002A437F" w:rsidP="00AF61E8">
            <w:pPr>
              <w:jc w:val="right"/>
              <w:rPr>
                <w:color w:val="000000"/>
                <w:sz w:val="18"/>
                <w:szCs w:val="18"/>
              </w:rPr>
            </w:pPr>
          </w:p>
        </w:tc>
        <w:tc>
          <w:tcPr>
            <w:tcW w:w="1156" w:type="dxa"/>
            <w:tcBorders>
              <w:left w:val="nil"/>
              <w:bottom w:val="nil"/>
              <w:right w:val="nil"/>
            </w:tcBorders>
            <w:shd w:val="clear" w:color="auto" w:fill="F2F2F2" w:themeFill="background1" w:themeFillShade="F2"/>
            <w:vAlign w:val="bottom"/>
          </w:tcPr>
          <w:p w14:paraId="238F0F3A" w14:textId="77777777" w:rsidR="002A437F" w:rsidRPr="00AF61E8" w:rsidRDefault="002A437F" w:rsidP="00AF61E8">
            <w:pPr>
              <w:jc w:val="right"/>
              <w:rPr>
                <w:color w:val="000000"/>
                <w:sz w:val="18"/>
                <w:szCs w:val="18"/>
              </w:rPr>
            </w:pPr>
          </w:p>
        </w:tc>
        <w:tc>
          <w:tcPr>
            <w:tcW w:w="1157" w:type="dxa"/>
            <w:tcBorders>
              <w:left w:val="nil"/>
              <w:bottom w:val="nil"/>
              <w:right w:val="nil"/>
            </w:tcBorders>
            <w:shd w:val="clear" w:color="auto" w:fill="F2F2F2" w:themeFill="background1" w:themeFillShade="F2"/>
            <w:noWrap/>
            <w:vAlign w:val="bottom"/>
          </w:tcPr>
          <w:p w14:paraId="4247D7D9" w14:textId="77777777" w:rsidR="002A437F" w:rsidRPr="00AF61E8" w:rsidRDefault="002A437F" w:rsidP="00AF61E8">
            <w:pPr>
              <w:jc w:val="right"/>
              <w:rPr>
                <w:color w:val="000000"/>
                <w:sz w:val="18"/>
                <w:szCs w:val="18"/>
              </w:rPr>
            </w:pPr>
          </w:p>
        </w:tc>
      </w:tr>
      <w:tr w:rsidR="002A437F" w:rsidRPr="00906252" w14:paraId="238641FB" w14:textId="77777777" w:rsidTr="009C339D">
        <w:trPr>
          <w:trHeight w:val="300"/>
          <w:jc w:val="center"/>
        </w:trPr>
        <w:tc>
          <w:tcPr>
            <w:tcW w:w="3969" w:type="dxa"/>
            <w:tcBorders>
              <w:top w:val="nil"/>
              <w:left w:val="nil"/>
              <w:bottom w:val="nil"/>
              <w:right w:val="nil"/>
            </w:tcBorders>
            <w:shd w:val="clear" w:color="auto" w:fill="FFFFFF" w:themeFill="background1"/>
            <w:noWrap/>
            <w:vAlign w:val="bottom"/>
            <w:hideMark/>
          </w:tcPr>
          <w:p w14:paraId="6FDBD444" w14:textId="77777777" w:rsidR="002A437F" w:rsidRPr="00906252" w:rsidRDefault="002A437F" w:rsidP="002A437F">
            <w:pPr>
              <w:rPr>
                <w:color w:val="000000"/>
                <w:sz w:val="18"/>
                <w:szCs w:val="18"/>
              </w:rPr>
            </w:pPr>
            <w:r w:rsidRPr="00906252">
              <w:rPr>
                <w:color w:val="000000"/>
                <w:sz w:val="18"/>
                <w:szCs w:val="18"/>
              </w:rPr>
              <w:t xml:space="preserve">     Precio promedio (dólares / barril) </w:t>
            </w:r>
          </w:p>
        </w:tc>
        <w:tc>
          <w:tcPr>
            <w:tcW w:w="992" w:type="dxa"/>
            <w:tcBorders>
              <w:top w:val="nil"/>
              <w:left w:val="nil"/>
              <w:bottom w:val="nil"/>
              <w:right w:val="nil"/>
            </w:tcBorders>
            <w:shd w:val="clear" w:color="auto" w:fill="FFFFFF" w:themeFill="background1"/>
            <w:noWrap/>
            <w:vAlign w:val="bottom"/>
            <w:hideMark/>
          </w:tcPr>
          <w:p w14:paraId="5F6B294A" w14:textId="4DBFD9CA" w:rsidR="002A437F" w:rsidRPr="00906252" w:rsidRDefault="00AF61E8" w:rsidP="002A437F">
            <w:pPr>
              <w:jc w:val="right"/>
              <w:rPr>
                <w:color w:val="000000"/>
                <w:sz w:val="18"/>
                <w:szCs w:val="18"/>
              </w:rPr>
            </w:pPr>
            <w:r>
              <w:rPr>
                <w:color w:val="000000"/>
                <w:sz w:val="18"/>
                <w:szCs w:val="18"/>
              </w:rPr>
              <w:t>57</w:t>
            </w:r>
            <w:r w:rsidR="002A437F" w:rsidRPr="00906252">
              <w:rPr>
                <w:color w:val="000000"/>
                <w:sz w:val="18"/>
                <w:szCs w:val="18"/>
              </w:rPr>
              <w:t>.</w:t>
            </w:r>
            <w:r>
              <w:rPr>
                <w:color w:val="000000"/>
                <w:sz w:val="18"/>
                <w:szCs w:val="18"/>
              </w:rPr>
              <w:t>8</w:t>
            </w:r>
          </w:p>
        </w:tc>
        <w:tc>
          <w:tcPr>
            <w:tcW w:w="1156" w:type="dxa"/>
            <w:tcBorders>
              <w:top w:val="nil"/>
              <w:left w:val="nil"/>
              <w:bottom w:val="nil"/>
              <w:right w:val="nil"/>
            </w:tcBorders>
            <w:shd w:val="clear" w:color="auto" w:fill="FFFFFF" w:themeFill="background1"/>
            <w:vAlign w:val="bottom"/>
          </w:tcPr>
          <w:p w14:paraId="67B26237" w14:textId="103A305D" w:rsidR="002A437F" w:rsidRPr="00906252" w:rsidRDefault="00AF61E8" w:rsidP="002A437F">
            <w:pPr>
              <w:jc w:val="right"/>
              <w:rPr>
                <w:color w:val="000000"/>
                <w:sz w:val="18"/>
                <w:szCs w:val="18"/>
              </w:rPr>
            </w:pPr>
            <w:r>
              <w:rPr>
                <w:color w:val="000000"/>
                <w:sz w:val="18"/>
                <w:szCs w:val="18"/>
              </w:rPr>
              <w:t>62.0</w:t>
            </w:r>
          </w:p>
        </w:tc>
        <w:tc>
          <w:tcPr>
            <w:tcW w:w="1157" w:type="dxa"/>
            <w:tcBorders>
              <w:top w:val="nil"/>
              <w:left w:val="nil"/>
              <w:bottom w:val="nil"/>
              <w:right w:val="nil"/>
            </w:tcBorders>
            <w:shd w:val="clear" w:color="auto" w:fill="FFFFFF" w:themeFill="background1"/>
            <w:noWrap/>
            <w:vAlign w:val="bottom"/>
            <w:hideMark/>
          </w:tcPr>
          <w:p w14:paraId="2D1BEE00" w14:textId="18E5DD34" w:rsidR="002A437F" w:rsidRPr="00906252" w:rsidRDefault="002A437F" w:rsidP="002A437F">
            <w:pPr>
              <w:jc w:val="right"/>
              <w:rPr>
                <w:color w:val="000000"/>
                <w:sz w:val="18"/>
                <w:szCs w:val="18"/>
              </w:rPr>
            </w:pPr>
            <w:r w:rsidRPr="00906252">
              <w:rPr>
                <w:color w:val="000000"/>
                <w:sz w:val="18"/>
                <w:szCs w:val="18"/>
              </w:rPr>
              <w:t>5</w:t>
            </w:r>
            <w:r w:rsidR="00AF61E8">
              <w:rPr>
                <w:color w:val="000000"/>
                <w:sz w:val="18"/>
                <w:szCs w:val="18"/>
              </w:rPr>
              <w:t>4</w:t>
            </w:r>
            <w:r w:rsidRPr="00906252">
              <w:rPr>
                <w:color w:val="000000"/>
                <w:sz w:val="18"/>
                <w:szCs w:val="18"/>
              </w:rPr>
              <w:t>.</w:t>
            </w:r>
            <w:r w:rsidR="00AF61E8">
              <w:rPr>
                <w:color w:val="000000"/>
                <w:sz w:val="18"/>
                <w:szCs w:val="18"/>
              </w:rPr>
              <w:t>9</w:t>
            </w:r>
          </w:p>
        </w:tc>
      </w:tr>
      <w:tr w:rsidR="002A437F" w:rsidRPr="00906252" w14:paraId="6F3F5B09" w14:textId="77777777" w:rsidTr="009C339D">
        <w:trPr>
          <w:trHeight w:val="300"/>
          <w:jc w:val="center"/>
        </w:trPr>
        <w:tc>
          <w:tcPr>
            <w:tcW w:w="3969" w:type="dxa"/>
            <w:tcBorders>
              <w:top w:val="nil"/>
              <w:left w:val="nil"/>
              <w:bottom w:val="nil"/>
              <w:right w:val="nil"/>
            </w:tcBorders>
            <w:shd w:val="clear" w:color="auto" w:fill="F2F2F2" w:themeFill="background1" w:themeFillShade="F2"/>
            <w:noWrap/>
            <w:vAlign w:val="bottom"/>
            <w:hideMark/>
          </w:tcPr>
          <w:p w14:paraId="709DF4B3" w14:textId="09D25D37" w:rsidR="002A437F" w:rsidRPr="00906252" w:rsidRDefault="002A437F" w:rsidP="002A437F">
            <w:pPr>
              <w:rPr>
                <w:color w:val="000000"/>
                <w:sz w:val="18"/>
                <w:szCs w:val="18"/>
              </w:rPr>
            </w:pPr>
            <w:r w:rsidRPr="00906252">
              <w:rPr>
                <w:color w:val="000000"/>
                <w:sz w:val="18"/>
                <w:szCs w:val="18"/>
              </w:rPr>
              <w:t xml:space="preserve">     Plataforma de producción </w:t>
            </w:r>
            <w:r>
              <w:rPr>
                <w:color w:val="000000"/>
                <w:sz w:val="18"/>
                <w:szCs w:val="18"/>
              </w:rPr>
              <w:t>promedio (</w:t>
            </w:r>
            <w:proofErr w:type="spellStart"/>
            <w:r>
              <w:rPr>
                <w:color w:val="000000"/>
                <w:sz w:val="18"/>
                <w:szCs w:val="18"/>
              </w:rPr>
              <w:t>mbd</w:t>
            </w:r>
            <w:proofErr w:type="spellEnd"/>
            <w:r>
              <w:rPr>
                <w:color w:val="000000"/>
                <w:sz w:val="18"/>
                <w:szCs w:val="18"/>
              </w:rPr>
              <w:t>) */</w:t>
            </w:r>
          </w:p>
        </w:tc>
        <w:tc>
          <w:tcPr>
            <w:tcW w:w="992" w:type="dxa"/>
            <w:tcBorders>
              <w:top w:val="nil"/>
              <w:left w:val="nil"/>
              <w:bottom w:val="nil"/>
              <w:right w:val="nil"/>
            </w:tcBorders>
            <w:shd w:val="clear" w:color="auto" w:fill="F2F2F2" w:themeFill="background1" w:themeFillShade="F2"/>
            <w:noWrap/>
            <w:vAlign w:val="bottom"/>
            <w:hideMark/>
          </w:tcPr>
          <w:p w14:paraId="76C171E8" w14:textId="58D2D9A1" w:rsidR="002A437F" w:rsidRPr="00906252" w:rsidRDefault="002A437F" w:rsidP="002A437F">
            <w:pPr>
              <w:jc w:val="right"/>
              <w:rPr>
                <w:color w:val="000000"/>
                <w:sz w:val="18"/>
                <w:szCs w:val="18"/>
              </w:rPr>
            </w:pPr>
            <w:r w:rsidRPr="00906252">
              <w:rPr>
                <w:color w:val="000000"/>
                <w:sz w:val="18"/>
                <w:szCs w:val="18"/>
              </w:rPr>
              <w:t>1,8</w:t>
            </w:r>
            <w:r w:rsidR="00AF61E8">
              <w:rPr>
                <w:color w:val="000000"/>
                <w:sz w:val="18"/>
                <w:szCs w:val="18"/>
              </w:rPr>
              <w:t>91</w:t>
            </w:r>
            <w:r w:rsidRPr="00906252">
              <w:rPr>
                <w:color w:val="000000"/>
                <w:sz w:val="18"/>
                <w:szCs w:val="18"/>
              </w:rPr>
              <w:t>.</w:t>
            </w:r>
            <w:r w:rsidR="00AF61E8">
              <w:rPr>
                <w:color w:val="000000"/>
                <w:sz w:val="18"/>
                <w:szCs w:val="18"/>
              </w:rPr>
              <w:t>2</w:t>
            </w:r>
          </w:p>
        </w:tc>
        <w:tc>
          <w:tcPr>
            <w:tcW w:w="1156" w:type="dxa"/>
            <w:tcBorders>
              <w:top w:val="nil"/>
              <w:left w:val="nil"/>
              <w:bottom w:val="nil"/>
              <w:right w:val="nil"/>
            </w:tcBorders>
            <w:shd w:val="clear" w:color="auto" w:fill="F2F2F2" w:themeFill="background1" w:themeFillShade="F2"/>
            <w:vAlign w:val="bottom"/>
          </w:tcPr>
          <w:p w14:paraId="509420D8" w14:textId="27144BEE" w:rsidR="002A437F" w:rsidRPr="00906252" w:rsidRDefault="002A437F" w:rsidP="002A437F">
            <w:pPr>
              <w:jc w:val="right"/>
              <w:rPr>
                <w:color w:val="000000"/>
                <w:sz w:val="18"/>
                <w:szCs w:val="18"/>
              </w:rPr>
            </w:pPr>
            <w:r w:rsidRPr="00906252">
              <w:rPr>
                <w:color w:val="000000"/>
                <w:sz w:val="18"/>
                <w:szCs w:val="18"/>
              </w:rPr>
              <w:t>1,</w:t>
            </w:r>
            <w:r w:rsidR="00AF61E8">
              <w:rPr>
                <w:color w:val="000000"/>
                <w:sz w:val="18"/>
                <w:szCs w:val="18"/>
              </w:rPr>
              <w:t>71</w:t>
            </w:r>
            <w:r w:rsidRPr="00906252">
              <w:rPr>
                <w:color w:val="000000"/>
                <w:sz w:val="18"/>
                <w:szCs w:val="18"/>
              </w:rPr>
              <w:t>3.</w:t>
            </w:r>
            <w:r w:rsidR="00AF61E8">
              <w:rPr>
                <w:color w:val="000000"/>
                <w:sz w:val="18"/>
                <w:szCs w:val="18"/>
              </w:rPr>
              <w:t>9</w:t>
            </w:r>
          </w:p>
        </w:tc>
        <w:tc>
          <w:tcPr>
            <w:tcW w:w="1157" w:type="dxa"/>
            <w:tcBorders>
              <w:top w:val="nil"/>
              <w:left w:val="nil"/>
              <w:bottom w:val="nil"/>
              <w:right w:val="nil"/>
            </w:tcBorders>
            <w:shd w:val="clear" w:color="auto" w:fill="F2F2F2" w:themeFill="background1" w:themeFillShade="F2"/>
            <w:noWrap/>
            <w:vAlign w:val="bottom"/>
            <w:hideMark/>
          </w:tcPr>
          <w:p w14:paraId="763BCD49" w14:textId="7FEE1A59" w:rsidR="002A437F" w:rsidRPr="00906252" w:rsidRDefault="002A437F" w:rsidP="002A437F">
            <w:pPr>
              <w:jc w:val="right"/>
              <w:rPr>
                <w:color w:val="000000"/>
                <w:sz w:val="18"/>
                <w:szCs w:val="18"/>
              </w:rPr>
            </w:pPr>
            <w:r w:rsidRPr="00906252">
              <w:rPr>
                <w:color w:val="000000"/>
                <w:sz w:val="18"/>
                <w:szCs w:val="18"/>
              </w:rPr>
              <w:t>1,</w:t>
            </w:r>
            <w:r w:rsidR="00AF61E8">
              <w:rPr>
                <w:color w:val="000000"/>
                <w:sz w:val="18"/>
                <w:szCs w:val="18"/>
              </w:rPr>
              <w:t>794</w:t>
            </w:r>
            <w:r w:rsidRPr="00906252">
              <w:rPr>
                <w:color w:val="000000"/>
                <w:sz w:val="18"/>
                <w:szCs w:val="18"/>
              </w:rPr>
              <w:t>.0</w:t>
            </w:r>
          </w:p>
        </w:tc>
      </w:tr>
      <w:tr w:rsidR="002A437F" w:rsidRPr="00906252" w14:paraId="40B3C360" w14:textId="77777777" w:rsidTr="009C339D">
        <w:trPr>
          <w:trHeight w:val="300"/>
          <w:jc w:val="center"/>
        </w:trPr>
        <w:tc>
          <w:tcPr>
            <w:tcW w:w="3969" w:type="dxa"/>
            <w:tcBorders>
              <w:top w:val="nil"/>
              <w:left w:val="nil"/>
              <w:right w:val="nil"/>
            </w:tcBorders>
            <w:shd w:val="clear" w:color="auto" w:fill="FFFFFF" w:themeFill="background1"/>
            <w:noWrap/>
            <w:vAlign w:val="bottom"/>
            <w:hideMark/>
          </w:tcPr>
          <w:p w14:paraId="6C94494D" w14:textId="034396AE" w:rsidR="002A437F" w:rsidRPr="00906252" w:rsidRDefault="002A437F" w:rsidP="002A437F">
            <w:pPr>
              <w:rPr>
                <w:color w:val="000000"/>
                <w:sz w:val="18"/>
                <w:szCs w:val="18"/>
              </w:rPr>
            </w:pPr>
            <w:r w:rsidRPr="00906252">
              <w:rPr>
                <w:color w:val="000000"/>
                <w:sz w:val="18"/>
                <w:szCs w:val="18"/>
              </w:rPr>
              <w:t xml:space="preserve">     Plataforma de exportación </w:t>
            </w:r>
            <w:r>
              <w:rPr>
                <w:color w:val="000000"/>
                <w:sz w:val="18"/>
                <w:szCs w:val="18"/>
              </w:rPr>
              <w:t>promedio (</w:t>
            </w:r>
            <w:proofErr w:type="spellStart"/>
            <w:r>
              <w:rPr>
                <w:color w:val="000000"/>
                <w:sz w:val="18"/>
                <w:szCs w:val="18"/>
              </w:rPr>
              <w:t>mbd</w:t>
            </w:r>
            <w:proofErr w:type="spellEnd"/>
            <w:r>
              <w:rPr>
                <w:color w:val="000000"/>
                <w:sz w:val="18"/>
                <w:szCs w:val="18"/>
              </w:rPr>
              <w:t>)</w:t>
            </w:r>
          </w:p>
        </w:tc>
        <w:tc>
          <w:tcPr>
            <w:tcW w:w="992" w:type="dxa"/>
            <w:tcBorders>
              <w:top w:val="nil"/>
              <w:left w:val="nil"/>
              <w:right w:val="nil"/>
            </w:tcBorders>
            <w:shd w:val="clear" w:color="auto" w:fill="FFFFFF" w:themeFill="background1"/>
            <w:noWrap/>
            <w:vAlign w:val="bottom"/>
            <w:hideMark/>
          </w:tcPr>
          <w:p w14:paraId="0FCCF182" w14:textId="595D5E0F" w:rsidR="002A437F" w:rsidRPr="00906252" w:rsidRDefault="00AF61E8" w:rsidP="002A437F">
            <w:pPr>
              <w:jc w:val="right"/>
              <w:rPr>
                <w:color w:val="000000"/>
                <w:sz w:val="18"/>
                <w:szCs w:val="18"/>
              </w:rPr>
            </w:pPr>
            <w:r>
              <w:rPr>
                <w:color w:val="000000"/>
                <w:sz w:val="18"/>
                <w:szCs w:val="18"/>
              </w:rPr>
              <w:t>891.5</w:t>
            </w:r>
          </w:p>
        </w:tc>
        <w:tc>
          <w:tcPr>
            <w:tcW w:w="1156" w:type="dxa"/>
            <w:tcBorders>
              <w:top w:val="nil"/>
              <w:left w:val="nil"/>
              <w:right w:val="nil"/>
            </w:tcBorders>
            <w:shd w:val="clear" w:color="auto" w:fill="FFFFFF" w:themeFill="background1"/>
            <w:vAlign w:val="bottom"/>
          </w:tcPr>
          <w:p w14:paraId="34525760" w14:textId="71676D33" w:rsidR="002A437F" w:rsidRPr="00906252" w:rsidRDefault="00AF61E8" w:rsidP="002A437F">
            <w:pPr>
              <w:jc w:val="right"/>
              <w:rPr>
                <w:color w:val="000000"/>
                <w:sz w:val="18"/>
                <w:szCs w:val="18"/>
              </w:rPr>
            </w:pPr>
            <w:r>
              <w:rPr>
                <w:color w:val="000000"/>
                <w:sz w:val="18"/>
                <w:szCs w:val="18"/>
              </w:rPr>
              <w:t>616</w:t>
            </w:r>
            <w:r w:rsidR="002A437F" w:rsidRPr="00906252">
              <w:rPr>
                <w:color w:val="000000"/>
                <w:sz w:val="18"/>
                <w:szCs w:val="18"/>
              </w:rPr>
              <w:t>.4</w:t>
            </w:r>
          </w:p>
        </w:tc>
        <w:tc>
          <w:tcPr>
            <w:tcW w:w="1157" w:type="dxa"/>
            <w:tcBorders>
              <w:top w:val="nil"/>
              <w:left w:val="nil"/>
              <w:right w:val="nil"/>
            </w:tcBorders>
            <w:shd w:val="clear" w:color="auto" w:fill="FFFFFF" w:themeFill="background1"/>
            <w:noWrap/>
            <w:vAlign w:val="bottom"/>
            <w:hideMark/>
          </w:tcPr>
          <w:p w14:paraId="4459B64F" w14:textId="3E1AC3AB" w:rsidR="002A437F" w:rsidRPr="00906252" w:rsidRDefault="00AF61E8" w:rsidP="002A437F">
            <w:pPr>
              <w:jc w:val="right"/>
              <w:rPr>
                <w:color w:val="000000"/>
                <w:sz w:val="18"/>
                <w:szCs w:val="18"/>
              </w:rPr>
            </w:pPr>
            <w:r>
              <w:rPr>
                <w:color w:val="000000"/>
                <w:sz w:val="18"/>
                <w:szCs w:val="18"/>
              </w:rPr>
              <w:t>521</w:t>
            </w:r>
            <w:r w:rsidR="002A437F" w:rsidRPr="00906252">
              <w:rPr>
                <w:color w:val="000000"/>
                <w:sz w:val="18"/>
                <w:szCs w:val="18"/>
              </w:rPr>
              <w:t>.</w:t>
            </w:r>
            <w:r>
              <w:rPr>
                <w:color w:val="000000"/>
                <w:sz w:val="18"/>
                <w:szCs w:val="18"/>
              </w:rPr>
              <w:t>0</w:t>
            </w:r>
          </w:p>
        </w:tc>
      </w:tr>
      <w:tr w:rsidR="002A437F" w:rsidRPr="00906252" w14:paraId="4891DAB3" w14:textId="77777777" w:rsidTr="009C339D">
        <w:trPr>
          <w:trHeight w:val="300"/>
          <w:jc w:val="center"/>
        </w:trPr>
        <w:tc>
          <w:tcPr>
            <w:tcW w:w="3969" w:type="dxa"/>
            <w:tcBorders>
              <w:top w:val="nil"/>
              <w:left w:val="nil"/>
              <w:right w:val="nil"/>
            </w:tcBorders>
            <w:shd w:val="clear" w:color="auto" w:fill="F2F2F2" w:themeFill="background1" w:themeFillShade="F2"/>
            <w:noWrap/>
            <w:vAlign w:val="bottom"/>
          </w:tcPr>
          <w:p w14:paraId="2164D560" w14:textId="6438AD74" w:rsidR="002A437F" w:rsidRPr="00906252" w:rsidRDefault="002A437F" w:rsidP="002A437F">
            <w:pPr>
              <w:rPr>
                <w:color w:val="000000"/>
                <w:sz w:val="18"/>
                <w:szCs w:val="18"/>
              </w:rPr>
            </w:pPr>
            <w:r w:rsidRPr="00906252">
              <w:rPr>
                <w:color w:val="000000"/>
                <w:sz w:val="18"/>
                <w:szCs w:val="18"/>
              </w:rPr>
              <w:t xml:space="preserve">     Plataforma de </w:t>
            </w:r>
            <w:r>
              <w:rPr>
                <w:color w:val="000000"/>
                <w:sz w:val="18"/>
                <w:szCs w:val="18"/>
              </w:rPr>
              <w:t>privados</w:t>
            </w:r>
            <w:r w:rsidRPr="00906252">
              <w:rPr>
                <w:color w:val="000000"/>
                <w:sz w:val="18"/>
                <w:szCs w:val="18"/>
              </w:rPr>
              <w:t xml:space="preserve"> </w:t>
            </w:r>
            <w:r>
              <w:rPr>
                <w:color w:val="000000"/>
                <w:sz w:val="18"/>
                <w:szCs w:val="18"/>
              </w:rPr>
              <w:t>promedio (</w:t>
            </w:r>
            <w:proofErr w:type="spellStart"/>
            <w:r>
              <w:rPr>
                <w:color w:val="000000"/>
                <w:sz w:val="18"/>
                <w:szCs w:val="18"/>
              </w:rPr>
              <w:t>mbd</w:t>
            </w:r>
            <w:proofErr w:type="spellEnd"/>
            <w:r>
              <w:rPr>
                <w:color w:val="000000"/>
                <w:sz w:val="18"/>
                <w:szCs w:val="18"/>
              </w:rPr>
              <w:t>)</w:t>
            </w:r>
          </w:p>
        </w:tc>
        <w:tc>
          <w:tcPr>
            <w:tcW w:w="992" w:type="dxa"/>
            <w:tcBorders>
              <w:top w:val="nil"/>
              <w:left w:val="nil"/>
              <w:right w:val="nil"/>
            </w:tcBorders>
            <w:shd w:val="clear" w:color="auto" w:fill="F2F2F2" w:themeFill="background1" w:themeFillShade="F2"/>
            <w:noWrap/>
            <w:vAlign w:val="bottom"/>
          </w:tcPr>
          <w:p w14:paraId="345A7B2C" w14:textId="3983B6B1" w:rsidR="002A437F" w:rsidRPr="00906252" w:rsidRDefault="00AF61E8" w:rsidP="002A437F">
            <w:pPr>
              <w:jc w:val="right"/>
              <w:rPr>
                <w:color w:val="000000"/>
                <w:sz w:val="18"/>
                <w:szCs w:val="18"/>
              </w:rPr>
            </w:pPr>
            <w:r>
              <w:rPr>
                <w:color w:val="000000"/>
                <w:sz w:val="18"/>
                <w:szCs w:val="18"/>
              </w:rPr>
              <w:t>74.0</w:t>
            </w:r>
          </w:p>
        </w:tc>
        <w:tc>
          <w:tcPr>
            <w:tcW w:w="1156" w:type="dxa"/>
            <w:tcBorders>
              <w:top w:val="nil"/>
              <w:left w:val="nil"/>
              <w:right w:val="nil"/>
            </w:tcBorders>
            <w:shd w:val="clear" w:color="auto" w:fill="F2F2F2" w:themeFill="background1" w:themeFillShade="F2"/>
            <w:vAlign w:val="bottom"/>
          </w:tcPr>
          <w:p w14:paraId="0E3422C6" w14:textId="59FDAC33" w:rsidR="002A437F" w:rsidRPr="00906252" w:rsidRDefault="00AF61E8" w:rsidP="002A437F">
            <w:pPr>
              <w:jc w:val="right"/>
              <w:rPr>
                <w:color w:val="000000"/>
                <w:sz w:val="18"/>
                <w:szCs w:val="18"/>
              </w:rPr>
            </w:pPr>
            <w:r>
              <w:rPr>
                <w:color w:val="000000"/>
                <w:sz w:val="18"/>
                <w:szCs w:val="18"/>
              </w:rPr>
              <w:t>51.0</w:t>
            </w:r>
          </w:p>
        </w:tc>
        <w:tc>
          <w:tcPr>
            <w:tcW w:w="1157" w:type="dxa"/>
            <w:tcBorders>
              <w:top w:val="nil"/>
              <w:left w:val="nil"/>
              <w:right w:val="nil"/>
            </w:tcBorders>
            <w:shd w:val="clear" w:color="auto" w:fill="F2F2F2" w:themeFill="background1" w:themeFillShade="F2"/>
            <w:noWrap/>
            <w:vAlign w:val="bottom"/>
          </w:tcPr>
          <w:p w14:paraId="0126CCF7" w14:textId="2D890AFE" w:rsidR="002A437F" w:rsidRPr="00906252" w:rsidRDefault="00AF61E8" w:rsidP="002A437F">
            <w:pPr>
              <w:jc w:val="right"/>
              <w:rPr>
                <w:color w:val="000000"/>
                <w:sz w:val="18"/>
                <w:szCs w:val="18"/>
              </w:rPr>
            </w:pPr>
            <w:r>
              <w:rPr>
                <w:color w:val="000000"/>
                <w:sz w:val="18"/>
                <w:szCs w:val="18"/>
              </w:rPr>
              <w:t>119.0</w:t>
            </w:r>
          </w:p>
        </w:tc>
      </w:tr>
      <w:tr w:rsidR="002A437F" w:rsidRPr="002A437F" w14:paraId="357EF8C9" w14:textId="77777777" w:rsidTr="009C339D">
        <w:trPr>
          <w:trHeight w:val="300"/>
          <w:jc w:val="center"/>
        </w:trPr>
        <w:tc>
          <w:tcPr>
            <w:tcW w:w="3969" w:type="dxa"/>
            <w:tcBorders>
              <w:top w:val="nil"/>
              <w:left w:val="nil"/>
              <w:right w:val="nil"/>
            </w:tcBorders>
            <w:shd w:val="clear" w:color="auto" w:fill="FFFFFF" w:themeFill="background1"/>
            <w:noWrap/>
            <w:vAlign w:val="bottom"/>
          </w:tcPr>
          <w:p w14:paraId="2DDE7005" w14:textId="6CC6C37C" w:rsidR="002A437F" w:rsidRPr="002A437F" w:rsidRDefault="002A437F" w:rsidP="002A437F">
            <w:pPr>
              <w:rPr>
                <w:b/>
                <w:bCs/>
                <w:color w:val="000000"/>
                <w:sz w:val="18"/>
                <w:szCs w:val="18"/>
              </w:rPr>
            </w:pPr>
            <w:r w:rsidRPr="002A437F">
              <w:rPr>
                <w:b/>
                <w:bCs/>
                <w:color w:val="000000"/>
                <w:sz w:val="18"/>
                <w:szCs w:val="18"/>
              </w:rPr>
              <w:t>Gas</w:t>
            </w:r>
          </w:p>
        </w:tc>
        <w:tc>
          <w:tcPr>
            <w:tcW w:w="992" w:type="dxa"/>
            <w:tcBorders>
              <w:top w:val="nil"/>
              <w:left w:val="nil"/>
              <w:right w:val="nil"/>
            </w:tcBorders>
            <w:shd w:val="clear" w:color="auto" w:fill="FFFFFF" w:themeFill="background1"/>
            <w:noWrap/>
            <w:vAlign w:val="bottom"/>
          </w:tcPr>
          <w:p w14:paraId="497C36C6" w14:textId="77777777" w:rsidR="002A437F" w:rsidRPr="00AF61E8" w:rsidRDefault="002A437F" w:rsidP="002A437F">
            <w:pPr>
              <w:jc w:val="right"/>
              <w:rPr>
                <w:color w:val="000000"/>
                <w:sz w:val="18"/>
                <w:szCs w:val="18"/>
              </w:rPr>
            </w:pPr>
          </w:p>
        </w:tc>
        <w:tc>
          <w:tcPr>
            <w:tcW w:w="1156" w:type="dxa"/>
            <w:tcBorders>
              <w:top w:val="nil"/>
              <w:left w:val="nil"/>
              <w:right w:val="nil"/>
            </w:tcBorders>
            <w:shd w:val="clear" w:color="auto" w:fill="FFFFFF" w:themeFill="background1"/>
            <w:vAlign w:val="bottom"/>
          </w:tcPr>
          <w:p w14:paraId="3D4E244B" w14:textId="77777777" w:rsidR="002A437F" w:rsidRPr="00AF61E8" w:rsidRDefault="002A437F" w:rsidP="002A437F">
            <w:pPr>
              <w:jc w:val="right"/>
              <w:rPr>
                <w:color w:val="000000"/>
                <w:sz w:val="18"/>
                <w:szCs w:val="18"/>
              </w:rPr>
            </w:pPr>
          </w:p>
        </w:tc>
        <w:tc>
          <w:tcPr>
            <w:tcW w:w="1157" w:type="dxa"/>
            <w:tcBorders>
              <w:top w:val="nil"/>
              <w:left w:val="nil"/>
              <w:right w:val="nil"/>
            </w:tcBorders>
            <w:shd w:val="clear" w:color="auto" w:fill="FFFFFF" w:themeFill="background1"/>
            <w:noWrap/>
            <w:vAlign w:val="bottom"/>
          </w:tcPr>
          <w:p w14:paraId="79D32D54" w14:textId="77777777" w:rsidR="002A437F" w:rsidRPr="00AF61E8" w:rsidRDefault="002A437F" w:rsidP="002A437F">
            <w:pPr>
              <w:jc w:val="right"/>
              <w:rPr>
                <w:color w:val="000000"/>
                <w:sz w:val="18"/>
                <w:szCs w:val="18"/>
              </w:rPr>
            </w:pPr>
          </w:p>
        </w:tc>
      </w:tr>
      <w:tr w:rsidR="002A437F" w:rsidRPr="00906252" w14:paraId="25EE5562" w14:textId="77777777" w:rsidTr="009C339D">
        <w:trPr>
          <w:trHeight w:val="300"/>
          <w:jc w:val="center"/>
        </w:trPr>
        <w:tc>
          <w:tcPr>
            <w:tcW w:w="3969" w:type="dxa"/>
            <w:tcBorders>
              <w:top w:val="nil"/>
              <w:left w:val="nil"/>
              <w:bottom w:val="single" w:sz="4" w:space="0" w:color="auto"/>
              <w:right w:val="nil"/>
            </w:tcBorders>
            <w:shd w:val="clear" w:color="auto" w:fill="F2F2F2" w:themeFill="background1" w:themeFillShade="F2"/>
            <w:noWrap/>
            <w:vAlign w:val="bottom"/>
          </w:tcPr>
          <w:p w14:paraId="563E77C4" w14:textId="4D4E921B" w:rsidR="002A437F" w:rsidRPr="00906252" w:rsidRDefault="002A437F" w:rsidP="002A437F">
            <w:pPr>
              <w:rPr>
                <w:color w:val="000000"/>
                <w:sz w:val="18"/>
                <w:szCs w:val="18"/>
              </w:rPr>
            </w:pPr>
            <w:r>
              <w:rPr>
                <w:color w:val="000000"/>
                <w:sz w:val="18"/>
                <w:szCs w:val="18"/>
              </w:rPr>
              <w:t xml:space="preserve">     Precio promedio (dólares/</w:t>
            </w:r>
            <w:proofErr w:type="spellStart"/>
            <w:r>
              <w:rPr>
                <w:color w:val="000000"/>
                <w:sz w:val="18"/>
                <w:szCs w:val="18"/>
              </w:rPr>
              <w:t>MMBtu</w:t>
            </w:r>
            <w:proofErr w:type="spellEnd"/>
            <w:r>
              <w:rPr>
                <w:color w:val="000000"/>
                <w:sz w:val="18"/>
                <w:szCs w:val="18"/>
              </w:rPr>
              <w:t>)</w:t>
            </w:r>
          </w:p>
        </w:tc>
        <w:tc>
          <w:tcPr>
            <w:tcW w:w="992" w:type="dxa"/>
            <w:tcBorders>
              <w:top w:val="nil"/>
              <w:left w:val="nil"/>
              <w:bottom w:val="single" w:sz="4" w:space="0" w:color="auto"/>
              <w:right w:val="nil"/>
            </w:tcBorders>
            <w:shd w:val="clear" w:color="auto" w:fill="F2F2F2" w:themeFill="background1" w:themeFillShade="F2"/>
            <w:noWrap/>
            <w:vAlign w:val="bottom"/>
          </w:tcPr>
          <w:p w14:paraId="35857325" w14:textId="39B2DDF4" w:rsidR="002A437F" w:rsidRPr="00906252" w:rsidRDefault="00AF61E8" w:rsidP="002A437F">
            <w:pPr>
              <w:jc w:val="right"/>
              <w:rPr>
                <w:color w:val="000000"/>
                <w:sz w:val="18"/>
                <w:szCs w:val="18"/>
              </w:rPr>
            </w:pPr>
            <w:r>
              <w:rPr>
                <w:color w:val="000000"/>
                <w:sz w:val="18"/>
                <w:szCs w:val="18"/>
              </w:rPr>
              <w:t>3.1</w:t>
            </w:r>
          </w:p>
        </w:tc>
        <w:tc>
          <w:tcPr>
            <w:tcW w:w="1156" w:type="dxa"/>
            <w:tcBorders>
              <w:top w:val="nil"/>
              <w:left w:val="nil"/>
              <w:bottom w:val="single" w:sz="4" w:space="0" w:color="auto"/>
              <w:right w:val="nil"/>
            </w:tcBorders>
            <w:shd w:val="clear" w:color="auto" w:fill="F2F2F2" w:themeFill="background1" w:themeFillShade="F2"/>
            <w:vAlign w:val="bottom"/>
          </w:tcPr>
          <w:p w14:paraId="5B9F1D38" w14:textId="5502864A" w:rsidR="002A437F" w:rsidRPr="00906252" w:rsidRDefault="00AF61E8" w:rsidP="002A437F">
            <w:pPr>
              <w:jc w:val="right"/>
              <w:rPr>
                <w:color w:val="000000"/>
                <w:sz w:val="18"/>
                <w:szCs w:val="18"/>
              </w:rPr>
            </w:pPr>
            <w:r>
              <w:rPr>
                <w:color w:val="000000"/>
                <w:sz w:val="18"/>
                <w:szCs w:val="18"/>
              </w:rPr>
              <w:t>3.5</w:t>
            </w:r>
          </w:p>
        </w:tc>
        <w:tc>
          <w:tcPr>
            <w:tcW w:w="1157" w:type="dxa"/>
            <w:tcBorders>
              <w:top w:val="nil"/>
              <w:left w:val="nil"/>
              <w:bottom w:val="single" w:sz="4" w:space="0" w:color="auto"/>
              <w:right w:val="nil"/>
            </w:tcBorders>
            <w:shd w:val="clear" w:color="auto" w:fill="F2F2F2" w:themeFill="background1" w:themeFillShade="F2"/>
            <w:noWrap/>
            <w:vAlign w:val="bottom"/>
          </w:tcPr>
          <w:p w14:paraId="0230D1D4" w14:textId="5B8CA64F" w:rsidR="002A437F" w:rsidRPr="00906252" w:rsidRDefault="00AF61E8" w:rsidP="002A437F">
            <w:pPr>
              <w:jc w:val="right"/>
              <w:rPr>
                <w:color w:val="000000"/>
                <w:sz w:val="18"/>
                <w:szCs w:val="18"/>
              </w:rPr>
            </w:pPr>
            <w:r>
              <w:rPr>
                <w:color w:val="000000"/>
                <w:sz w:val="18"/>
                <w:szCs w:val="18"/>
              </w:rPr>
              <w:t>4.0</w:t>
            </w:r>
          </w:p>
        </w:tc>
      </w:tr>
      <w:tr w:rsidR="002A437F" w:rsidRPr="00906252" w14:paraId="75DC1974" w14:textId="77777777" w:rsidTr="009C339D">
        <w:trPr>
          <w:trHeight w:val="300"/>
          <w:jc w:val="center"/>
        </w:trPr>
        <w:tc>
          <w:tcPr>
            <w:tcW w:w="3969" w:type="dxa"/>
            <w:tcBorders>
              <w:top w:val="single" w:sz="4" w:space="0" w:color="auto"/>
              <w:left w:val="nil"/>
              <w:bottom w:val="nil"/>
              <w:right w:val="nil"/>
            </w:tcBorders>
            <w:noWrap/>
            <w:vAlign w:val="bottom"/>
            <w:hideMark/>
          </w:tcPr>
          <w:p w14:paraId="4B5B0913" w14:textId="1C3360FA" w:rsidR="002A437F" w:rsidRPr="00906252" w:rsidRDefault="002A437F" w:rsidP="002A437F">
            <w:pPr>
              <w:rPr>
                <w:color w:val="000000"/>
                <w:sz w:val="16"/>
                <w:szCs w:val="16"/>
              </w:rPr>
            </w:pPr>
            <w:r w:rsidRPr="00906252">
              <w:rPr>
                <w:color w:val="000000"/>
                <w:sz w:val="16"/>
                <w:szCs w:val="16"/>
              </w:rPr>
              <w:t xml:space="preserve"> </w:t>
            </w:r>
            <w:r>
              <w:rPr>
                <w:color w:val="000000"/>
                <w:sz w:val="16"/>
                <w:szCs w:val="16"/>
              </w:rPr>
              <w:t>*/</w:t>
            </w:r>
            <w:r w:rsidRPr="00906252">
              <w:rPr>
                <w:color w:val="000000"/>
                <w:sz w:val="16"/>
                <w:szCs w:val="16"/>
              </w:rPr>
              <w:t xml:space="preserve"> </w:t>
            </w:r>
            <w:r>
              <w:rPr>
                <w:color w:val="000000"/>
                <w:sz w:val="16"/>
                <w:szCs w:val="16"/>
              </w:rPr>
              <w:t>Incluye Pemex, condesados, socios y privados.</w:t>
            </w:r>
          </w:p>
        </w:tc>
        <w:tc>
          <w:tcPr>
            <w:tcW w:w="992" w:type="dxa"/>
            <w:tcBorders>
              <w:top w:val="single" w:sz="4" w:space="0" w:color="auto"/>
              <w:left w:val="nil"/>
              <w:bottom w:val="nil"/>
              <w:right w:val="nil"/>
            </w:tcBorders>
            <w:noWrap/>
            <w:vAlign w:val="bottom"/>
            <w:hideMark/>
          </w:tcPr>
          <w:p w14:paraId="7E77F783" w14:textId="77777777" w:rsidR="002A437F" w:rsidRPr="00906252" w:rsidRDefault="002A437F" w:rsidP="002A437F">
            <w:pPr>
              <w:rPr>
                <w:color w:val="000000"/>
                <w:sz w:val="16"/>
                <w:szCs w:val="16"/>
              </w:rPr>
            </w:pPr>
          </w:p>
        </w:tc>
        <w:tc>
          <w:tcPr>
            <w:tcW w:w="1156" w:type="dxa"/>
            <w:tcBorders>
              <w:top w:val="single" w:sz="4" w:space="0" w:color="auto"/>
              <w:left w:val="nil"/>
              <w:bottom w:val="nil"/>
              <w:right w:val="nil"/>
            </w:tcBorders>
          </w:tcPr>
          <w:p w14:paraId="46777D6C" w14:textId="77777777" w:rsidR="002A437F" w:rsidRPr="00906252" w:rsidRDefault="002A437F" w:rsidP="002A437F">
            <w:pPr>
              <w:rPr>
                <w:sz w:val="20"/>
                <w:szCs w:val="20"/>
              </w:rPr>
            </w:pPr>
          </w:p>
        </w:tc>
        <w:tc>
          <w:tcPr>
            <w:tcW w:w="1157" w:type="dxa"/>
            <w:tcBorders>
              <w:top w:val="single" w:sz="4" w:space="0" w:color="auto"/>
              <w:left w:val="nil"/>
              <w:bottom w:val="nil"/>
              <w:right w:val="nil"/>
            </w:tcBorders>
            <w:noWrap/>
            <w:vAlign w:val="bottom"/>
            <w:hideMark/>
          </w:tcPr>
          <w:p w14:paraId="5B5F6615" w14:textId="55EED53E" w:rsidR="002A437F" w:rsidRPr="00906252" w:rsidRDefault="002A437F" w:rsidP="002A437F">
            <w:pPr>
              <w:rPr>
                <w:sz w:val="20"/>
                <w:szCs w:val="20"/>
              </w:rPr>
            </w:pPr>
          </w:p>
        </w:tc>
      </w:tr>
      <w:tr w:rsidR="002A437F" w:rsidRPr="00906252" w14:paraId="0E7A047E" w14:textId="77777777" w:rsidTr="009C339D">
        <w:trPr>
          <w:trHeight w:val="300"/>
          <w:jc w:val="center"/>
        </w:trPr>
        <w:tc>
          <w:tcPr>
            <w:tcW w:w="3969" w:type="dxa"/>
            <w:tcBorders>
              <w:top w:val="nil"/>
              <w:left w:val="nil"/>
              <w:bottom w:val="nil"/>
              <w:right w:val="nil"/>
            </w:tcBorders>
            <w:noWrap/>
            <w:vAlign w:val="bottom"/>
            <w:hideMark/>
          </w:tcPr>
          <w:p w14:paraId="17C97194" w14:textId="77777777" w:rsidR="002A437F" w:rsidRPr="00906252" w:rsidRDefault="002A437F" w:rsidP="002A437F">
            <w:pPr>
              <w:rPr>
                <w:color w:val="000000"/>
                <w:sz w:val="16"/>
                <w:szCs w:val="16"/>
              </w:rPr>
            </w:pPr>
            <w:r w:rsidRPr="00906252">
              <w:rPr>
                <w:color w:val="000000"/>
                <w:sz w:val="16"/>
                <w:szCs w:val="16"/>
              </w:rPr>
              <w:t xml:space="preserve">Fuente: SHCP. </w:t>
            </w:r>
          </w:p>
        </w:tc>
        <w:tc>
          <w:tcPr>
            <w:tcW w:w="992" w:type="dxa"/>
            <w:tcBorders>
              <w:top w:val="nil"/>
              <w:left w:val="nil"/>
              <w:bottom w:val="nil"/>
              <w:right w:val="nil"/>
            </w:tcBorders>
            <w:noWrap/>
            <w:vAlign w:val="bottom"/>
            <w:hideMark/>
          </w:tcPr>
          <w:p w14:paraId="2616E6C0" w14:textId="77777777" w:rsidR="002A437F" w:rsidRPr="00906252" w:rsidRDefault="002A437F" w:rsidP="002A437F">
            <w:pPr>
              <w:rPr>
                <w:color w:val="000000"/>
                <w:sz w:val="16"/>
                <w:szCs w:val="16"/>
              </w:rPr>
            </w:pPr>
          </w:p>
        </w:tc>
        <w:tc>
          <w:tcPr>
            <w:tcW w:w="1156" w:type="dxa"/>
            <w:tcBorders>
              <w:top w:val="nil"/>
              <w:left w:val="nil"/>
              <w:bottom w:val="nil"/>
              <w:right w:val="nil"/>
            </w:tcBorders>
          </w:tcPr>
          <w:p w14:paraId="0F5D137D" w14:textId="77777777" w:rsidR="002A437F" w:rsidRPr="00906252" w:rsidRDefault="002A437F" w:rsidP="002A437F">
            <w:pPr>
              <w:rPr>
                <w:sz w:val="20"/>
                <w:szCs w:val="20"/>
              </w:rPr>
            </w:pPr>
          </w:p>
        </w:tc>
        <w:tc>
          <w:tcPr>
            <w:tcW w:w="1157" w:type="dxa"/>
            <w:tcBorders>
              <w:top w:val="nil"/>
              <w:left w:val="nil"/>
              <w:bottom w:val="nil"/>
              <w:right w:val="nil"/>
            </w:tcBorders>
            <w:noWrap/>
            <w:vAlign w:val="bottom"/>
            <w:hideMark/>
          </w:tcPr>
          <w:p w14:paraId="579F1F20" w14:textId="7113602A" w:rsidR="002A437F" w:rsidRPr="00906252" w:rsidRDefault="002A437F" w:rsidP="002A437F">
            <w:pPr>
              <w:rPr>
                <w:sz w:val="20"/>
                <w:szCs w:val="20"/>
              </w:rPr>
            </w:pPr>
          </w:p>
        </w:tc>
      </w:tr>
    </w:tbl>
    <w:p w14:paraId="17728D82" w14:textId="77777777" w:rsidR="0047517D" w:rsidRDefault="0047517D" w:rsidP="00AD7E91">
      <w:pPr>
        <w:pStyle w:val="PRIMERAPLANA"/>
        <w:spacing w:line="360" w:lineRule="auto"/>
        <w:rPr>
          <w:rFonts w:ascii="Times New Roman" w:hAnsi="Times New Roman"/>
          <w:bCs/>
        </w:rPr>
      </w:pPr>
    </w:p>
    <w:p w14:paraId="0F1AE7FB" w14:textId="4988563F" w:rsidR="005B0395" w:rsidRDefault="00CA5DED" w:rsidP="00CA5DED">
      <w:pPr>
        <w:pStyle w:val="PRIMERAPLANA"/>
        <w:spacing w:line="360" w:lineRule="auto"/>
        <w:rPr>
          <w:rFonts w:ascii="Times New Roman" w:hAnsi="Times New Roman"/>
          <w:bCs/>
        </w:rPr>
      </w:pPr>
      <w:r w:rsidRPr="00CA5DED">
        <w:rPr>
          <w:rFonts w:ascii="Times New Roman" w:hAnsi="Times New Roman"/>
          <w:bCs/>
        </w:rPr>
        <w:t>El entorno macroeconómico para el 2026 se encuentra sujeto a riesgos que podrían modificar las</w:t>
      </w:r>
      <w:r>
        <w:rPr>
          <w:rFonts w:ascii="Times New Roman" w:hAnsi="Times New Roman"/>
          <w:bCs/>
        </w:rPr>
        <w:t xml:space="preserve"> </w:t>
      </w:r>
      <w:r w:rsidRPr="00CA5DED">
        <w:rPr>
          <w:rFonts w:ascii="Times New Roman" w:hAnsi="Times New Roman"/>
          <w:bCs/>
        </w:rPr>
        <w:t>estimaciones anteriores.</w:t>
      </w:r>
    </w:p>
    <w:p w14:paraId="75B08F38" w14:textId="77777777" w:rsidR="004810A1" w:rsidRPr="007D1162" w:rsidRDefault="004810A1" w:rsidP="00BD1B03">
      <w:pPr>
        <w:pStyle w:val="PRIMERAPLANA"/>
        <w:spacing w:line="360" w:lineRule="auto"/>
        <w:rPr>
          <w:rFonts w:ascii="Times New Roman" w:hAnsi="Times New Roman"/>
          <w:bCs/>
        </w:rPr>
      </w:pPr>
    </w:p>
    <w:p w14:paraId="0CD5DD1A" w14:textId="2C87BD65" w:rsidR="00BD1B03" w:rsidRPr="00270689" w:rsidRDefault="004810A1" w:rsidP="00BD1B03">
      <w:pPr>
        <w:pStyle w:val="PRIMERAPLANA"/>
        <w:spacing w:line="360" w:lineRule="auto"/>
        <w:rPr>
          <w:rFonts w:ascii="Times New Roman" w:hAnsi="Times New Roman"/>
          <w:b/>
        </w:rPr>
      </w:pPr>
      <w:r w:rsidRPr="00270689">
        <w:rPr>
          <w:rFonts w:ascii="Times New Roman" w:hAnsi="Times New Roman"/>
          <w:b/>
        </w:rPr>
        <w:t>Riesgos a la Baja.</w:t>
      </w:r>
    </w:p>
    <w:p w14:paraId="4B2F2B52" w14:textId="77777777" w:rsidR="004810A1" w:rsidRPr="00FD37DE" w:rsidRDefault="004810A1" w:rsidP="00BD1B03">
      <w:pPr>
        <w:pStyle w:val="PRIMERAPLANA"/>
        <w:spacing w:line="360" w:lineRule="auto"/>
        <w:rPr>
          <w:rFonts w:ascii="Times New Roman" w:hAnsi="Times New Roman"/>
          <w:bCs/>
        </w:rPr>
      </w:pPr>
    </w:p>
    <w:p w14:paraId="393900E7" w14:textId="533D4655" w:rsidR="00A536A4" w:rsidRDefault="00A536A4" w:rsidP="00E80A4B">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Persistencia o intensificación de la incertidumbre en torno a la política comercial global, con posibles disrupciones en las cadenas de valor y efectos adversos sobre la actividad</w:t>
      </w:r>
      <w:r>
        <w:rPr>
          <w:rFonts w:ascii="Times New Roman" w:hAnsi="Times New Roman"/>
          <w:bCs/>
          <w:lang w:val="es-MX"/>
        </w:rPr>
        <w:t xml:space="preserve"> </w:t>
      </w:r>
      <w:r w:rsidRPr="00A536A4">
        <w:rPr>
          <w:rFonts w:ascii="Times New Roman" w:hAnsi="Times New Roman"/>
          <w:bCs/>
          <w:lang w:val="es-MX"/>
        </w:rPr>
        <w:t xml:space="preserve">económica nacional. </w:t>
      </w:r>
    </w:p>
    <w:p w14:paraId="0B197B8F" w14:textId="6FC74D05" w:rsidR="00A536A4" w:rsidRDefault="00A536A4" w:rsidP="007154C9">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Deterioro en el proceso de revisión del T-MEC, que incremente la incertidumbre jurídica y comercial, y dé</w:t>
      </w:r>
      <w:r>
        <w:rPr>
          <w:rFonts w:ascii="Times New Roman" w:hAnsi="Times New Roman"/>
          <w:bCs/>
          <w:lang w:val="es-MX"/>
        </w:rPr>
        <w:t xml:space="preserve"> </w:t>
      </w:r>
      <w:r w:rsidRPr="00A536A4">
        <w:rPr>
          <w:rFonts w:ascii="Times New Roman" w:hAnsi="Times New Roman"/>
          <w:bCs/>
          <w:lang w:val="es-MX"/>
        </w:rPr>
        <w:t>lugar a medidas desfavorables para el sector exportador.</w:t>
      </w:r>
    </w:p>
    <w:p w14:paraId="3FBA1BE8" w14:textId="77777777" w:rsidR="00A536A4" w:rsidRPr="00A536A4" w:rsidRDefault="00A536A4" w:rsidP="00A536A4">
      <w:pPr>
        <w:pStyle w:val="PRIMERAPLANA"/>
        <w:spacing w:line="360" w:lineRule="auto"/>
        <w:ind w:left="426"/>
        <w:rPr>
          <w:rFonts w:ascii="Times New Roman" w:hAnsi="Times New Roman"/>
          <w:bCs/>
          <w:lang w:val="es-MX"/>
        </w:rPr>
      </w:pPr>
    </w:p>
    <w:p w14:paraId="49060F07" w14:textId="22DCD90C" w:rsidR="00A536A4" w:rsidRDefault="00A536A4" w:rsidP="00263AF3">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lastRenderedPageBreak/>
        <w:t>Endurecimiento de las condiciones financieras derivado de nuevas presiones inflacionarias asociadas a cambios en la política comercial internacional, lo que podría elevar las tasas de interés y aumentar la volatilidad en los</w:t>
      </w:r>
      <w:r>
        <w:rPr>
          <w:rFonts w:ascii="Times New Roman" w:hAnsi="Times New Roman"/>
          <w:bCs/>
          <w:lang w:val="es-MX"/>
        </w:rPr>
        <w:t xml:space="preserve"> </w:t>
      </w:r>
      <w:r w:rsidRPr="00A536A4">
        <w:rPr>
          <w:rFonts w:ascii="Times New Roman" w:hAnsi="Times New Roman"/>
          <w:bCs/>
          <w:lang w:val="es-MX"/>
        </w:rPr>
        <w:t>mercados.</w:t>
      </w:r>
    </w:p>
    <w:p w14:paraId="68C10918" w14:textId="77777777" w:rsidR="00A536A4" w:rsidRPr="00A536A4" w:rsidRDefault="00A536A4" w:rsidP="00A536A4">
      <w:pPr>
        <w:pStyle w:val="PRIMERAPLANA"/>
        <w:spacing w:line="360" w:lineRule="auto"/>
        <w:ind w:left="426"/>
        <w:rPr>
          <w:rFonts w:ascii="Times New Roman" w:hAnsi="Times New Roman"/>
          <w:bCs/>
          <w:lang w:val="es-MX"/>
        </w:rPr>
      </w:pPr>
    </w:p>
    <w:p w14:paraId="6320F698" w14:textId="1FFFBB9D" w:rsidR="00A536A4" w:rsidRDefault="00A536A4" w:rsidP="008354F6">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Escalamiento de tensiones geopolíticas con impactos sobre los precios internacionales de materias primas y</w:t>
      </w:r>
      <w:r>
        <w:rPr>
          <w:rFonts w:ascii="Times New Roman" w:hAnsi="Times New Roman"/>
          <w:bCs/>
          <w:lang w:val="es-MX"/>
        </w:rPr>
        <w:t xml:space="preserve"> </w:t>
      </w:r>
      <w:r w:rsidRPr="00A536A4">
        <w:rPr>
          <w:rFonts w:ascii="Times New Roman" w:hAnsi="Times New Roman"/>
          <w:bCs/>
          <w:lang w:val="es-MX"/>
        </w:rPr>
        <w:t>mayor inestabilidad financiera global.</w:t>
      </w:r>
    </w:p>
    <w:p w14:paraId="4D506F23" w14:textId="77777777" w:rsidR="00A536A4" w:rsidRPr="00A536A4" w:rsidRDefault="00A536A4" w:rsidP="00A536A4">
      <w:pPr>
        <w:pStyle w:val="PRIMERAPLANA"/>
        <w:spacing w:line="360" w:lineRule="auto"/>
        <w:ind w:left="426"/>
        <w:rPr>
          <w:rFonts w:ascii="Times New Roman" w:hAnsi="Times New Roman"/>
          <w:bCs/>
          <w:lang w:val="es-MX"/>
        </w:rPr>
      </w:pPr>
    </w:p>
    <w:p w14:paraId="17FFF3CD" w14:textId="79326EFC" w:rsidR="00A536A4" w:rsidRDefault="00A536A4" w:rsidP="00612B91">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Mayor frecuencia o intensidad de fenómenos climáticos extremos, con efectos negativos en las actividades primarias, manufactureras e infraestructura, además de presiones inflacionarias que podrían requerir una postura</w:t>
      </w:r>
      <w:r>
        <w:rPr>
          <w:rFonts w:ascii="Times New Roman" w:hAnsi="Times New Roman"/>
          <w:bCs/>
          <w:lang w:val="es-MX"/>
        </w:rPr>
        <w:t xml:space="preserve"> </w:t>
      </w:r>
      <w:r w:rsidRPr="00A536A4">
        <w:rPr>
          <w:rFonts w:ascii="Times New Roman" w:hAnsi="Times New Roman"/>
          <w:bCs/>
          <w:lang w:val="es-MX"/>
        </w:rPr>
        <w:t>monetaria más restrictiva.</w:t>
      </w:r>
    </w:p>
    <w:p w14:paraId="6609B053" w14:textId="77777777" w:rsidR="00A536A4" w:rsidRPr="00A536A4" w:rsidRDefault="00A536A4" w:rsidP="00A536A4">
      <w:pPr>
        <w:pStyle w:val="PRIMERAPLANA"/>
        <w:spacing w:line="360" w:lineRule="auto"/>
        <w:ind w:left="426"/>
        <w:rPr>
          <w:rFonts w:ascii="Times New Roman" w:hAnsi="Times New Roman"/>
          <w:bCs/>
          <w:lang w:val="es-MX"/>
        </w:rPr>
      </w:pPr>
    </w:p>
    <w:p w14:paraId="1664BBD2" w14:textId="77777777" w:rsidR="00A536A4" w:rsidRDefault="00A536A4" w:rsidP="00A536A4">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Desempeño económico de EE.UU. por debajo de lo previsto, afectado por disrupciones comerciales o menor dinamismo interno, con efectos negativos sobre las exportaciones mexicanas, el turismo y el flujo de remesas.</w:t>
      </w:r>
    </w:p>
    <w:p w14:paraId="31863358" w14:textId="77777777" w:rsidR="00A536A4" w:rsidRDefault="00A536A4" w:rsidP="00A536A4">
      <w:pPr>
        <w:pStyle w:val="PRIMERAPLANA"/>
        <w:spacing w:line="360" w:lineRule="auto"/>
        <w:ind w:left="426"/>
        <w:rPr>
          <w:rFonts w:ascii="Times New Roman" w:hAnsi="Times New Roman"/>
          <w:bCs/>
          <w:lang w:val="es-MX"/>
        </w:rPr>
      </w:pPr>
    </w:p>
    <w:p w14:paraId="0086FAC7" w14:textId="5055F0E7" w:rsidR="00A536A4" w:rsidRPr="00A536A4" w:rsidRDefault="00A536A4" w:rsidP="00A536A4">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Nuevas disrupciones en las cadenas globales de suministro, ya sea por choques logísticos, bloqueos marítimos o restricciones a insumos críticos, con impactos en la producción manufacturera.</w:t>
      </w:r>
    </w:p>
    <w:p w14:paraId="2BB55B0A" w14:textId="77777777" w:rsidR="001454AF" w:rsidRDefault="001454AF" w:rsidP="007D1162">
      <w:pPr>
        <w:pStyle w:val="PRIMERAPLANA"/>
        <w:spacing w:line="360" w:lineRule="auto"/>
        <w:ind w:firstLine="426"/>
        <w:rPr>
          <w:rFonts w:ascii="Times New Roman" w:hAnsi="Times New Roman"/>
          <w:bCs/>
          <w:lang w:val="es-MX"/>
        </w:rPr>
      </w:pPr>
    </w:p>
    <w:p w14:paraId="5D753ABA" w14:textId="00E3515F" w:rsidR="00C2582E" w:rsidRPr="00270689" w:rsidRDefault="00C2582E" w:rsidP="0076187B">
      <w:pPr>
        <w:pStyle w:val="PRIMERAPLANA"/>
        <w:spacing w:line="360" w:lineRule="auto"/>
        <w:rPr>
          <w:rFonts w:ascii="Times New Roman" w:hAnsi="Times New Roman"/>
          <w:b/>
          <w:lang w:val="es-MX"/>
        </w:rPr>
      </w:pPr>
      <w:r w:rsidRPr="00270689">
        <w:rPr>
          <w:rFonts w:ascii="Times New Roman" w:hAnsi="Times New Roman"/>
          <w:b/>
          <w:lang w:val="es-MX"/>
        </w:rPr>
        <w:t>Riesgos al Alza.</w:t>
      </w:r>
    </w:p>
    <w:p w14:paraId="1334F0B8" w14:textId="77777777" w:rsidR="00C2582E" w:rsidRPr="007D1162" w:rsidRDefault="00C2582E" w:rsidP="00BD1B03">
      <w:pPr>
        <w:pStyle w:val="PRIMERAPLANA"/>
        <w:spacing w:line="360" w:lineRule="auto"/>
        <w:rPr>
          <w:rFonts w:ascii="Times New Roman" w:hAnsi="Times New Roman"/>
          <w:bCs/>
          <w:lang w:val="es-MX"/>
        </w:rPr>
      </w:pPr>
    </w:p>
    <w:p w14:paraId="572D3FE1" w14:textId="4A628AEB" w:rsidR="00A536A4" w:rsidRDefault="00A536A4" w:rsidP="00EA1D63">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Disipación de la incertidumbre en torno a la política comercial internacional, que permita reactivar proyectos de inversión y mejore el desempeño de</w:t>
      </w:r>
      <w:r>
        <w:rPr>
          <w:rFonts w:ascii="Times New Roman" w:hAnsi="Times New Roman"/>
          <w:bCs/>
          <w:lang w:val="es-MX"/>
        </w:rPr>
        <w:t xml:space="preserve"> </w:t>
      </w:r>
      <w:r w:rsidRPr="00A536A4">
        <w:rPr>
          <w:rFonts w:ascii="Times New Roman" w:hAnsi="Times New Roman"/>
          <w:bCs/>
          <w:lang w:val="es-MX"/>
        </w:rPr>
        <w:t>sectores expuestos a cambios regulatorios.</w:t>
      </w:r>
    </w:p>
    <w:p w14:paraId="2BDB2761" w14:textId="77777777" w:rsidR="00A536A4" w:rsidRPr="00A536A4" w:rsidRDefault="00A536A4" w:rsidP="00A536A4">
      <w:pPr>
        <w:pStyle w:val="PRIMERAPLANA"/>
        <w:spacing w:line="360" w:lineRule="auto"/>
        <w:ind w:left="426"/>
        <w:rPr>
          <w:rFonts w:ascii="Times New Roman" w:hAnsi="Times New Roman"/>
          <w:bCs/>
          <w:lang w:val="es-MX"/>
        </w:rPr>
      </w:pPr>
    </w:p>
    <w:p w14:paraId="574440C2" w14:textId="589CE66B" w:rsidR="00A536A4" w:rsidRDefault="00A536A4" w:rsidP="00ED2F9D">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lastRenderedPageBreak/>
        <w:t>Avance favorable en la revisión del T-MEC, que refuerce la certeza jurídica y regulatoria, preserve el acceso preferencial de México al mercado de EE.UU.</w:t>
      </w:r>
      <w:r>
        <w:rPr>
          <w:rFonts w:ascii="Times New Roman" w:hAnsi="Times New Roman"/>
          <w:bCs/>
          <w:lang w:val="es-MX"/>
        </w:rPr>
        <w:t xml:space="preserve"> </w:t>
      </w:r>
      <w:proofErr w:type="spellStart"/>
      <w:r w:rsidRPr="00A536A4">
        <w:rPr>
          <w:rFonts w:ascii="Times New Roman" w:hAnsi="Times New Roman"/>
          <w:bCs/>
          <w:lang w:val="es-MX"/>
        </w:rPr>
        <w:t>e</w:t>
      </w:r>
      <w:proofErr w:type="spellEnd"/>
      <w:r w:rsidRPr="00A536A4">
        <w:rPr>
          <w:rFonts w:ascii="Times New Roman" w:hAnsi="Times New Roman"/>
          <w:bCs/>
          <w:lang w:val="es-MX"/>
        </w:rPr>
        <w:t xml:space="preserve"> incentive la inversión en sectores estratégicos.</w:t>
      </w:r>
    </w:p>
    <w:p w14:paraId="731061BB" w14:textId="21BA28D2" w:rsidR="00A536A4" w:rsidRPr="00A536A4" w:rsidRDefault="00A536A4" w:rsidP="00674B3B">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Consolidación de proyectos de infraestructura productiva, con potencial para detonar mayor dinamismo económico regional y las cadenas</w:t>
      </w:r>
      <w:r>
        <w:rPr>
          <w:rFonts w:ascii="Times New Roman" w:hAnsi="Times New Roman"/>
          <w:bCs/>
          <w:lang w:val="es-MX"/>
        </w:rPr>
        <w:t xml:space="preserve"> </w:t>
      </w:r>
      <w:r w:rsidRPr="00A536A4">
        <w:rPr>
          <w:rFonts w:ascii="Times New Roman" w:hAnsi="Times New Roman"/>
          <w:bCs/>
          <w:lang w:val="es-MX"/>
        </w:rPr>
        <w:t>productivas locales.</w:t>
      </w:r>
    </w:p>
    <w:p w14:paraId="56824516" w14:textId="4B6E9632" w:rsidR="00A536A4" w:rsidRPr="00A536A4" w:rsidRDefault="00A536A4" w:rsidP="00A536A4">
      <w:pPr>
        <w:pStyle w:val="PRIMERAPLANA"/>
        <w:spacing w:line="360" w:lineRule="auto"/>
        <w:ind w:left="426"/>
        <w:rPr>
          <w:rFonts w:ascii="Times New Roman" w:hAnsi="Times New Roman"/>
          <w:bCs/>
          <w:lang w:val="es-MX"/>
        </w:rPr>
      </w:pPr>
    </w:p>
    <w:p w14:paraId="6F50E241" w14:textId="2F72D567" w:rsidR="00A536A4" w:rsidRDefault="00A536A4" w:rsidP="0054517D">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Impacto positivo de las nuevas políticas comerciales de EE.UU. en sectores de alta integración, que aumente la demanda de exportaciones mexicanas, apoyadas en nuestra posición estratégica en la</w:t>
      </w:r>
      <w:r>
        <w:rPr>
          <w:rFonts w:ascii="Times New Roman" w:hAnsi="Times New Roman"/>
          <w:bCs/>
          <w:lang w:val="es-MX"/>
        </w:rPr>
        <w:t xml:space="preserve"> </w:t>
      </w:r>
      <w:r w:rsidRPr="00A536A4">
        <w:rPr>
          <w:rFonts w:ascii="Times New Roman" w:hAnsi="Times New Roman"/>
          <w:bCs/>
          <w:lang w:val="es-MX"/>
        </w:rPr>
        <w:t>región de Norteamérica.</w:t>
      </w:r>
    </w:p>
    <w:p w14:paraId="7CCDC72F" w14:textId="77777777" w:rsidR="00A536A4" w:rsidRPr="00A536A4" w:rsidRDefault="00A536A4" w:rsidP="00A536A4">
      <w:pPr>
        <w:pStyle w:val="PRIMERAPLANA"/>
        <w:spacing w:line="360" w:lineRule="auto"/>
        <w:ind w:left="426"/>
        <w:rPr>
          <w:rFonts w:ascii="Times New Roman" w:hAnsi="Times New Roman"/>
          <w:bCs/>
          <w:lang w:val="es-MX"/>
        </w:rPr>
      </w:pPr>
    </w:p>
    <w:p w14:paraId="5008FB50" w14:textId="3CBCD0EF" w:rsidR="00A536A4" w:rsidRDefault="00A536A4" w:rsidP="00893EBA">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Mayor diversificación de los mercados de exportación, con una inserción de productos de alto</w:t>
      </w:r>
      <w:r>
        <w:rPr>
          <w:rFonts w:ascii="Times New Roman" w:hAnsi="Times New Roman"/>
          <w:bCs/>
          <w:lang w:val="es-MX"/>
        </w:rPr>
        <w:t xml:space="preserve"> </w:t>
      </w:r>
      <w:r w:rsidRPr="00A536A4">
        <w:rPr>
          <w:rFonts w:ascii="Times New Roman" w:hAnsi="Times New Roman"/>
          <w:bCs/>
          <w:lang w:val="es-MX"/>
        </w:rPr>
        <w:t>valor.</w:t>
      </w:r>
    </w:p>
    <w:p w14:paraId="1474AAB1" w14:textId="77777777" w:rsidR="00A536A4" w:rsidRPr="00A536A4" w:rsidRDefault="00A536A4" w:rsidP="00A536A4">
      <w:pPr>
        <w:pStyle w:val="PRIMERAPLANA"/>
        <w:spacing w:line="360" w:lineRule="auto"/>
        <w:ind w:left="426"/>
        <w:rPr>
          <w:rFonts w:ascii="Times New Roman" w:hAnsi="Times New Roman"/>
          <w:bCs/>
          <w:lang w:val="es-MX"/>
        </w:rPr>
      </w:pPr>
    </w:p>
    <w:p w14:paraId="35CFE37A" w14:textId="77777777" w:rsidR="00A536A4" w:rsidRDefault="00A536A4" w:rsidP="00A536A4">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Condiciones financieras más favorables por una relajación monetaria mayor a la anticipada, que reduzca el costo del crédito y detone mayor inversión y consumo privado.</w:t>
      </w:r>
    </w:p>
    <w:p w14:paraId="47FA0B14" w14:textId="77777777" w:rsidR="00A536A4" w:rsidRDefault="00A536A4" w:rsidP="00A536A4">
      <w:pPr>
        <w:pStyle w:val="PRIMERAPLANA"/>
        <w:spacing w:line="360" w:lineRule="auto"/>
        <w:ind w:left="426"/>
        <w:rPr>
          <w:rFonts w:ascii="Times New Roman" w:hAnsi="Times New Roman"/>
          <w:bCs/>
          <w:lang w:val="es-MX"/>
        </w:rPr>
      </w:pPr>
    </w:p>
    <w:p w14:paraId="1C28F5BF" w14:textId="2A1F4403" w:rsidR="00A536A4" w:rsidRPr="00A536A4" w:rsidRDefault="00A536A4" w:rsidP="00A536A4">
      <w:pPr>
        <w:pStyle w:val="PRIMERAPLANA"/>
        <w:numPr>
          <w:ilvl w:val="0"/>
          <w:numId w:val="26"/>
        </w:numPr>
        <w:spacing w:line="360" w:lineRule="auto"/>
        <w:ind w:left="426" w:hanging="426"/>
        <w:rPr>
          <w:rFonts w:ascii="Times New Roman" w:hAnsi="Times New Roman"/>
          <w:bCs/>
          <w:lang w:val="es-MX"/>
        </w:rPr>
      </w:pPr>
      <w:r w:rsidRPr="00A536A4">
        <w:rPr>
          <w:rFonts w:ascii="Times New Roman" w:hAnsi="Times New Roman"/>
          <w:bCs/>
          <w:lang w:val="es-MX"/>
        </w:rPr>
        <w:t>Consolidación del Plan México como motor de crecimiento, con efectos mayores a los esperados a partir de los incentivos fiscales y financieros implementados desde 2025.</w:t>
      </w:r>
    </w:p>
    <w:p w14:paraId="5937B914" w14:textId="77777777" w:rsidR="00BD1B03" w:rsidRDefault="00BD1B03" w:rsidP="00BD1B03">
      <w:pPr>
        <w:pStyle w:val="PRIMERAPLANA"/>
        <w:spacing w:line="360" w:lineRule="auto"/>
        <w:rPr>
          <w:rFonts w:ascii="Times New Roman" w:hAnsi="Times New Roman"/>
          <w:bCs/>
        </w:rPr>
      </w:pPr>
    </w:p>
    <w:p w14:paraId="45028483" w14:textId="77777777" w:rsidR="00FA18A9" w:rsidRDefault="00A15C5A" w:rsidP="00A15C5A">
      <w:pPr>
        <w:pStyle w:val="PRIMERAPLANA"/>
        <w:spacing w:line="360" w:lineRule="auto"/>
        <w:rPr>
          <w:rFonts w:ascii="Times New Roman" w:hAnsi="Times New Roman"/>
          <w:bCs/>
        </w:rPr>
      </w:pPr>
      <w:r w:rsidRPr="00A15C5A">
        <w:rPr>
          <w:rFonts w:ascii="Times New Roman" w:hAnsi="Times New Roman"/>
          <w:bCs/>
        </w:rPr>
        <w:t>El Paquete Económico para el ejercicio fiscal 2026 se formula bajo un escenario de normalización gradual</w:t>
      </w:r>
      <w:r>
        <w:rPr>
          <w:rFonts w:ascii="Times New Roman" w:hAnsi="Times New Roman"/>
          <w:bCs/>
        </w:rPr>
        <w:t xml:space="preserve"> </w:t>
      </w:r>
      <w:r w:rsidRPr="00A15C5A">
        <w:rPr>
          <w:rFonts w:ascii="Times New Roman" w:hAnsi="Times New Roman"/>
          <w:bCs/>
        </w:rPr>
        <w:t>del déficit fiscal, en apego a los principios de equilibrio y responsabilidad establecidos en la LFPRH, y en</w:t>
      </w:r>
      <w:r>
        <w:rPr>
          <w:rFonts w:ascii="Times New Roman" w:hAnsi="Times New Roman"/>
          <w:bCs/>
        </w:rPr>
        <w:t xml:space="preserve"> </w:t>
      </w:r>
      <w:r w:rsidRPr="00A15C5A">
        <w:rPr>
          <w:rFonts w:ascii="Times New Roman" w:hAnsi="Times New Roman"/>
          <w:bCs/>
        </w:rPr>
        <w:t xml:space="preserve">concordancia con el compromiso del Gobierno de México con la sostenibilidad de la deuda pública. </w:t>
      </w:r>
    </w:p>
    <w:p w14:paraId="4E1B2653" w14:textId="77777777" w:rsidR="00FA18A9" w:rsidRDefault="00FA18A9" w:rsidP="00A15C5A">
      <w:pPr>
        <w:pStyle w:val="PRIMERAPLANA"/>
        <w:spacing w:line="360" w:lineRule="auto"/>
        <w:rPr>
          <w:rFonts w:ascii="Times New Roman" w:hAnsi="Times New Roman"/>
          <w:bCs/>
        </w:rPr>
      </w:pPr>
    </w:p>
    <w:p w14:paraId="034B8E96" w14:textId="0CA26C23" w:rsidR="00A536A4" w:rsidRDefault="00A15C5A" w:rsidP="00A15C5A">
      <w:pPr>
        <w:pStyle w:val="PRIMERAPLANA"/>
        <w:spacing w:line="360" w:lineRule="auto"/>
        <w:rPr>
          <w:rFonts w:ascii="Times New Roman" w:hAnsi="Times New Roman"/>
          <w:bCs/>
        </w:rPr>
      </w:pPr>
      <w:r w:rsidRPr="00A15C5A">
        <w:rPr>
          <w:rFonts w:ascii="Times New Roman" w:hAnsi="Times New Roman"/>
          <w:bCs/>
        </w:rPr>
        <w:t>Este marco descansa en la evolución reciente de la economía nacional, en las proyecciones del entorno</w:t>
      </w:r>
      <w:r>
        <w:rPr>
          <w:rFonts w:ascii="Times New Roman" w:hAnsi="Times New Roman"/>
          <w:bCs/>
        </w:rPr>
        <w:t xml:space="preserve"> </w:t>
      </w:r>
      <w:r w:rsidRPr="00A15C5A">
        <w:rPr>
          <w:rFonts w:ascii="Times New Roman" w:hAnsi="Times New Roman"/>
          <w:bCs/>
        </w:rPr>
        <w:t>internacional y en los supuestos de ingresos y gasto público que sustentan el Paquete Económico. Con</w:t>
      </w:r>
      <w:r>
        <w:rPr>
          <w:rFonts w:ascii="Times New Roman" w:hAnsi="Times New Roman"/>
          <w:bCs/>
        </w:rPr>
        <w:t xml:space="preserve"> </w:t>
      </w:r>
      <w:r w:rsidRPr="00A15C5A">
        <w:rPr>
          <w:rFonts w:ascii="Times New Roman" w:hAnsi="Times New Roman"/>
          <w:bCs/>
        </w:rPr>
        <w:t>base en la previsión de las principales variables macroeconómicas presentadas, se estima</w:t>
      </w:r>
      <w:r>
        <w:rPr>
          <w:rFonts w:ascii="Times New Roman" w:hAnsi="Times New Roman"/>
          <w:bCs/>
        </w:rPr>
        <w:t xml:space="preserve"> </w:t>
      </w:r>
      <w:r w:rsidRPr="00A15C5A">
        <w:rPr>
          <w:rFonts w:ascii="Times New Roman" w:hAnsi="Times New Roman"/>
          <w:bCs/>
        </w:rPr>
        <w:t xml:space="preserve">para efectos de </w:t>
      </w:r>
      <w:r w:rsidRPr="00A15C5A">
        <w:rPr>
          <w:rFonts w:ascii="Times New Roman" w:hAnsi="Times New Roman"/>
          <w:bCs/>
        </w:rPr>
        <w:lastRenderedPageBreak/>
        <w:t>las finanzas públicas un crecimiento real anual del PIB de 2.3% en 2026, que servirá como</w:t>
      </w:r>
      <w:r>
        <w:rPr>
          <w:rFonts w:ascii="Times New Roman" w:hAnsi="Times New Roman"/>
          <w:bCs/>
        </w:rPr>
        <w:t xml:space="preserve"> </w:t>
      </w:r>
      <w:r w:rsidRPr="00A15C5A">
        <w:rPr>
          <w:rFonts w:ascii="Times New Roman" w:hAnsi="Times New Roman"/>
          <w:bCs/>
        </w:rPr>
        <w:t>ancla para la estimación de los ingresos presupuestarios y las necesidades de gasto público.</w:t>
      </w:r>
    </w:p>
    <w:p w14:paraId="7FE9B19A" w14:textId="77777777" w:rsidR="00A536A4" w:rsidRDefault="00A536A4" w:rsidP="00BD1B03">
      <w:pPr>
        <w:pStyle w:val="PRIMERAPLANA"/>
        <w:spacing w:line="360" w:lineRule="auto"/>
        <w:rPr>
          <w:rFonts w:ascii="Times New Roman" w:hAnsi="Times New Roman"/>
          <w:bCs/>
        </w:rPr>
      </w:pPr>
    </w:p>
    <w:p w14:paraId="5520BDA1" w14:textId="7BFE3668" w:rsidR="00A536A4" w:rsidRDefault="00A15C5A" w:rsidP="00A15C5A">
      <w:pPr>
        <w:pStyle w:val="PRIMERAPLANA"/>
        <w:spacing w:line="360" w:lineRule="auto"/>
        <w:rPr>
          <w:rFonts w:ascii="Times New Roman" w:hAnsi="Times New Roman"/>
          <w:bCs/>
        </w:rPr>
      </w:pPr>
      <w:r w:rsidRPr="00A15C5A">
        <w:rPr>
          <w:rFonts w:ascii="Times New Roman" w:hAnsi="Times New Roman"/>
          <w:bCs/>
        </w:rPr>
        <w:t>En 2026, el Gobierno de México impulsará medidas para ampliar la recaudación tributaria, al tiempo que</w:t>
      </w:r>
      <w:r>
        <w:rPr>
          <w:rFonts w:ascii="Times New Roman" w:hAnsi="Times New Roman"/>
          <w:bCs/>
        </w:rPr>
        <w:t xml:space="preserve"> </w:t>
      </w:r>
      <w:r w:rsidRPr="00A15C5A">
        <w:rPr>
          <w:rFonts w:ascii="Times New Roman" w:hAnsi="Times New Roman"/>
          <w:bCs/>
        </w:rPr>
        <w:t>se ejercerá el gasto público bajo criterios de austeridad, combate a la corrupción, eficiencia y</w:t>
      </w:r>
      <w:r>
        <w:rPr>
          <w:rFonts w:ascii="Times New Roman" w:hAnsi="Times New Roman"/>
          <w:bCs/>
        </w:rPr>
        <w:t xml:space="preserve"> </w:t>
      </w:r>
      <w:r w:rsidRPr="00A15C5A">
        <w:rPr>
          <w:rFonts w:ascii="Times New Roman" w:hAnsi="Times New Roman"/>
          <w:bCs/>
        </w:rPr>
        <w:t>transparencia. Se propone un déficit presupuestario de 3.6% del PIB, el cual considera un déficit del</w:t>
      </w:r>
      <w:r>
        <w:rPr>
          <w:rFonts w:ascii="Times New Roman" w:hAnsi="Times New Roman"/>
          <w:bCs/>
        </w:rPr>
        <w:t xml:space="preserve"> </w:t>
      </w:r>
      <w:r w:rsidRPr="00A15C5A">
        <w:rPr>
          <w:rFonts w:ascii="Times New Roman" w:hAnsi="Times New Roman"/>
          <w:bCs/>
        </w:rPr>
        <w:t>Gobierno Federal de 4.6% y un superávit de 1.0% del PIB de las Empresas Públicas del Estado (Pemex y</w:t>
      </w:r>
      <w:r>
        <w:rPr>
          <w:rFonts w:ascii="Times New Roman" w:hAnsi="Times New Roman"/>
          <w:bCs/>
        </w:rPr>
        <w:t xml:space="preserve"> </w:t>
      </w:r>
      <w:r w:rsidRPr="00A15C5A">
        <w:rPr>
          <w:rFonts w:ascii="Times New Roman" w:hAnsi="Times New Roman"/>
          <w:bCs/>
        </w:rPr>
        <w:t>CFE) y los organismos de control presupuestario directo (IMSS e ISSSTE), en conjunto. Se anticipa además</w:t>
      </w:r>
      <w:r>
        <w:rPr>
          <w:rFonts w:ascii="Times New Roman" w:hAnsi="Times New Roman"/>
          <w:bCs/>
        </w:rPr>
        <w:t xml:space="preserve"> </w:t>
      </w:r>
      <w:r w:rsidRPr="00A15C5A">
        <w:rPr>
          <w:rFonts w:ascii="Times New Roman" w:hAnsi="Times New Roman"/>
          <w:bCs/>
        </w:rPr>
        <w:t>un superávit primario del balance presupuestario de 0.5% del PIB.</w:t>
      </w:r>
    </w:p>
    <w:p w14:paraId="799F8229" w14:textId="77777777" w:rsidR="00A536A4" w:rsidRDefault="00A536A4" w:rsidP="00BD1B03">
      <w:pPr>
        <w:pStyle w:val="PRIMERAPLANA"/>
        <w:spacing w:line="360" w:lineRule="auto"/>
        <w:rPr>
          <w:rFonts w:ascii="Times New Roman" w:hAnsi="Times New Roman"/>
          <w:bCs/>
        </w:rPr>
      </w:pPr>
    </w:p>
    <w:p w14:paraId="6AF38FD3" w14:textId="77777777" w:rsidR="00FA18A9" w:rsidRDefault="00204FF1" w:rsidP="003F6D25">
      <w:pPr>
        <w:pStyle w:val="PRIMERAPLANA"/>
        <w:spacing w:line="360" w:lineRule="auto"/>
        <w:rPr>
          <w:rFonts w:ascii="Times New Roman" w:hAnsi="Times New Roman"/>
          <w:bCs/>
        </w:rPr>
      </w:pPr>
      <w:r w:rsidRPr="00204FF1">
        <w:rPr>
          <w:rFonts w:ascii="Times New Roman" w:hAnsi="Times New Roman"/>
          <w:bCs/>
        </w:rPr>
        <w:t>La política de ingresos estará orientada a fortalecer la eficiencia recaudatoria</w:t>
      </w:r>
      <w:r w:rsidR="00A6048B">
        <w:rPr>
          <w:rFonts w:ascii="Times New Roman" w:hAnsi="Times New Roman"/>
          <w:bCs/>
        </w:rPr>
        <w:t>,</w:t>
      </w:r>
      <w:r w:rsidRPr="00204FF1">
        <w:rPr>
          <w:rFonts w:ascii="Times New Roman" w:hAnsi="Times New Roman"/>
          <w:bCs/>
        </w:rPr>
        <w:t xml:space="preserve"> a través de mecanismos</w:t>
      </w:r>
      <w:r>
        <w:rPr>
          <w:rFonts w:ascii="Times New Roman" w:hAnsi="Times New Roman"/>
          <w:bCs/>
        </w:rPr>
        <w:t xml:space="preserve"> </w:t>
      </w:r>
      <w:r w:rsidRPr="00204FF1">
        <w:rPr>
          <w:rFonts w:ascii="Times New Roman" w:hAnsi="Times New Roman"/>
          <w:bCs/>
        </w:rPr>
        <w:t>de prevención, detección y sanción de la evasión y elusión fiscal, con el fin de garantizar que las personas</w:t>
      </w:r>
      <w:r>
        <w:rPr>
          <w:rFonts w:ascii="Times New Roman" w:hAnsi="Times New Roman"/>
          <w:bCs/>
        </w:rPr>
        <w:t xml:space="preserve"> </w:t>
      </w:r>
      <w:r w:rsidRPr="00204FF1">
        <w:rPr>
          <w:rFonts w:ascii="Times New Roman" w:hAnsi="Times New Roman"/>
          <w:bCs/>
        </w:rPr>
        <w:t>contribuyentes realicen una aportación más justa y equitativa. Asimismo, en 2026 se ampliará la base</w:t>
      </w:r>
      <w:r>
        <w:rPr>
          <w:rFonts w:ascii="Times New Roman" w:hAnsi="Times New Roman"/>
          <w:bCs/>
        </w:rPr>
        <w:t xml:space="preserve"> </w:t>
      </w:r>
      <w:r w:rsidRPr="00204FF1">
        <w:rPr>
          <w:rFonts w:ascii="Times New Roman" w:hAnsi="Times New Roman"/>
          <w:bCs/>
        </w:rPr>
        <w:t>tributaria mediante una serie de disposiciones que abonen a salvaguardar la salud física y mental de la</w:t>
      </w:r>
      <w:r>
        <w:rPr>
          <w:rFonts w:ascii="Times New Roman" w:hAnsi="Times New Roman"/>
          <w:bCs/>
        </w:rPr>
        <w:t xml:space="preserve"> </w:t>
      </w:r>
      <w:r w:rsidRPr="00204FF1">
        <w:rPr>
          <w:rFonts w:ascii="Times New Roman" w:hAnsi="Times New Roman"/>
          <w:bCs/>
        </w:rPr>
        <w:t>población, al tiempo que se incorporarán medidas de apoyo a diversos sectores para impulsar el</w:t>
      </w:r>
      <w:r>
        <w:rPr>
          <w:rFonts w:ascii="Times New Roman" w:hAnsi="Times New Roman"/>
          <w:bCs/>
        </w:rPr>
        <w:t xml:space="preserve"> </w:t>
      </w:r>
      <w:r w:rsidRPr="00204FF1">
        <w:rPr>
          <w:rFonts w:ascii="Times New Roman" w:hAnsi="Times New Roman"/>
          <w:bCs/>
        </w:rPr>
        <w:t>desarrollo económico del país.</w:t>
      </w:r>
      <w:r>
        <w:rPr>
          <w:rFonts w:ascii="Times New Roman" w:hAnsi="Times New Roman"/>
          <w:bCs/>
        </w:rPr>
        <w:t xml:space="preserve"> </w:t>
      </w:r>
    </w:p>
    <w:p w14:paraId="12C27CF7" w14:textId="77777777" w:rsidR="00FA18A9" w:rsidRDefault="00FA18A9" w:rsidP="003F6D25">
      <w:pPr>
        <w:pStyle w:val="PRIMERAPLANA"/>
        <w:spacing w:line="360" w:lineRule="auto"/>
        <w:rPr>
          <w:rFonts w:ascii="Times New Roman" w:hAnsi="Times New Roman"/>
          <w:bCs/>
        </w:rPr>
      </w:pPr>
    </w:p>
    <w:p w14:paraId="049DD7BB" w14:textId="1CE18546" w:rsidR="00A536A4" w:rsidRDefault="00204FF1" w:rsidP="003F6D25">
      <w:pPr>
        <w:pStyle w:val="PRIMERAPLANA"/>
        <w:spacing w:line="360" w:lineRule="auto"/>
        <w:rPr>
          <w:rFonts w:ascii="Times New Roman" w:hAnsi="Times New Roman"/>
          <w:bCs/>
        </w:rPr>
      </w:pPr>
      <w:r w:rsidRPr="00204FF1">
        <w:rPr>
          <w:rFonts w:ascii="Times New Roman" w:hAnsi="Times New Roman"/>
          <w:bCs/>
        </w:rPr>
        <w:t>En 2026 se establecerán impuestos saludables con el objetivo de desincentivar el consumo de productos</w:t>
      </w:r>
      <w:r>
        <w:rPr>
          <w:rFonts w:ascii="Times New Roman" w:hAnsi="Times New Roman"/>
          <w:bCs/>
        </w:rPr>
        <w:t xml:space="preserve"> </w:t>
      </w:r>
      <w:r w:rsidRPr="00204FF1">
        <w:rPr>
          <w:rFonts w:ascii="Times New Roman" w:hAnsi="Times New Roman"/>
          <w:bCs/>
        </w:rPr>
        <w:t>que afectan la salud física y mental de la población.</w:t>
      </w:r>
      <w:r w:rsidR="003F6D25">
        <w:rPr>
          <w:rFonts w:ascii="Times New Roman" w:hAnsi="Times New Roman"/>
          <w:bCs/>
        </w:rPr>
        <w:t xml:space="preserve"> E</w:t>
      </w:r>
      <w:r w:rsidR="003F6D25" w:rsidRPr="003F6D25">
        <w:rPr>
          <w:rFonts w:ascii="Times New Roman" w:hAnsi="Times New Roman"/>
          <w:bCs/>
        </w:rPr>
        <w:t>n 2026</w:t>
      </w:r>
      <w:r w:rsidR="003F6D25">
        <w:rPr>
          <w:rFonts w:ascii="Times New Roman" w:hAnsi="Times New Roman"/>
          <w:bCs/>
        </w:rPr>
        <w:t xml:space="preserve"> </w:t>
      </w:r>
      <w:r w:rsidR="003F6D25" w:rsidRPr="003F6D25">
        <w:rPr>
          <w:rFonts w:ascii="Times New Roman" w:hAnsi="Times New Roman"/>
          <w:bCs/>
        </w:rPr>
        <w:t>se implementarán diversas medidas que otorgarán estímulos y fortalecerán la competitividad del país a</w:t>
      </w:r>
      <w:r w:rsidR="003F6D25">
        <w:rPr>
          <w:rFonts w:ascii="Times New Roman" w:hAnsi="Times New Roman"/>
          <w:bCs/>
        </w:rPr>
        <w:t xml:space="preserve"> </w:t>
      </w:r>
      <w:r w:rsidR="003F6D25" w:rsidRPr="003F6D25">
        <w:rPr>
          <w:rFonts w:ascii="Times New Roman" w:hAnsi="Times New Roman"/>
          <w:bCs/>
        </w:rPr>
        <w:t>nivel internacional. En este marco, se aplicarán acciones orientadas a reducir las desventajas competitivas</w:t>
      </w:r>
      <w:r w:rsidR="003F6D25">
        <w:rPr>
          <w:rFonts w:ascii="Times New Roman" w:hAnsi="Times New Roman"/>
          <w:bCs/>
        </w:rPr>
        <w:t xml:space="preserve"> </w:t>
      </w:r>
      <w:r w:rsidR="003F6D25" w:rsidRPr="003F6D25">
        <w:rPr>
          <w:rFonts w:ascii="Times New Roman" w:hAnsi="Times New Roman"/>
          <w:bCs/>
        </w:rPr>
        <w:t>que algunos sectores enfrentan frente a otros países en materia de comercio internacional.</w:t>
      </w:r>
    </w:p>
    <w:p w14:paraId="5E298E98" w14:textId="77777777" w:rsidR="00204FF1" w:rsidRDefault="00204FF1" w:rsidP="00BD1B03">
      <w:pPr>
        <w:pStyle w:val="PRIMERAPLANA"/>
        <w:spacing w:line="360" w:lineRule="auto"/>
        <w:rPr>
          <w:rFonts w:ascii="Times New Roman" w:hAnsi="Times New Roman"/>
          <w:bCs/>
        </w:rPr>
      </w:pPr>
    </w:p>
    <w:p w14:paraId="53C9992A" w14:textId="4261796C" w:rsidR="00204FF1" w:rsidRDefault="003F6D25" w:rsidP="003F6D25">
      <w:pPr>
        <w:pStyle w:val="PRIMERAPLANA"/>
        <w:spacing w:line="360" w:lineRule="auto"/>
        <w:rPr>
          <w:rFonts w:ascii="Times New Roman" w:hAnsi="Times New Roman"/>
          <w:bCs/>
        </w:rPr>
      </w:pPr>
      <w:r w:rsidRPr="003F6D25">
        <w:rPr>
          <w:rFonts w:ascii="Times New Roman" w:hAnsi="Times New Roman"/>
          <w:bCs/>
        </w:rPr>
        <w:lastRenderedPageBreak/>
        <w:t xml:space="preserve">Para el ejercicio fiscal 2026 se presupuestan ingresos por 8,721.1 </w:t>
      </w:r>
      <w:proofErr w:type="spellStart"/>
      <w:r w:rsidRPr="003F6D25">
        <w:rPr>
          <w:rFonts w:ascii="Times New Roman" w:hAnsi="Times New Roman"/>
          <w:bCs/>
        </w:rPr>
        <w:t>mmp</w:t>
      </w:r>
      <w:proofErr w:type="spellEnd"/>
      <w:r w:rsidRPr="003F6D25">
        <w:rPr>
          <w:rFonts w:ascii="Times New Roman" w:hAnsi="Times New Roman"/>
          <w:bCs/>
        </w:rPr>
        <w:t xml:space="preserve">, mayores en 519.2 </w:t>
      </w:r>
      <w:proofErr w:type="spellStart"/>
      <w:r w:rsidRPr="003F6D25">
        <w:rPr>
          <w:rFonts w:ascii="Times New Roman" w:hAnsi="Times New Roman"/>
          <w:bCs/>
        </w:rPr>
        <w:t>mmp</w:t>
      </w:r>
      <w:proofErr w:type="spellEnd"/>
      <w:r w:rsidRPr="003F6D25">
        <w:rPr>
          <w:rFonts w:ascii="Times New Roman" w:hAnsi="Times New Roman"/>
          <w:bCs/>
        </w:rPr>
        <w:t xml:space="preserve"> respecto</w:t>
      </w:r>
      <w:r>
        <w:rPr>
          <w:rFonts w:ascii="Times New Roman" w:hAnsi="Times New Roman"/>
          <w:bCs/>
        </w:rPr>
        <w:t xml:space="preserve"> </w:t>
      </w:r>
      <w:r w:rsidRPr="003F6D25">
        <w:rPr>
          <w:rFonts w:ascii="Times New Roman" w:hAnsi="Times New Roman"/>
          <w:bCs/>
        </w:rPr>
        <w:t>al cierre estimado para 2025, lo que representa un incremento real de 6.3%. Lo anterior se explica,</w:t>
      </w:r>
      <w:r>
        <w:rPr>
          <w:rFonts w:ascii="Times New Roman" w:hAnsi="Times New Roman"/>
          <w:bCs/>
        </w:rPr>
        <w:t xml:space="preserve"> </w:t>
      </w:r>
      <w:r w:rsidRPr="003F6D25">
        <w:rPr>
          <w:rFonts w:ascii="Times New Roman" w:hAnsi="Times New Roman"/>
          <w:bCs/>
        </w:rPr>
        <w:t>mayoritariamente, por un aumento de 5.7% real respecto al cierre estimado de 2025 en los ingresos</w:t>
      </w:r>
      <w:r>
        <w:rPr>
          <w:rFonts w:ascii="Times New Roman" w:hAnsi="Times New Roman"/>
          <w:bCs/>
        </w:rPr>
        <w:t xml:space="preserve"> </w:t>
      </w:r>
      <w:r w:rsidRPr="003F6D25">
        <w:rPr>
          <w:rFonts w:ascii="Times New Roman" w:hAnsi="Times New Roman"/>
          <w:bCs/>
        </w:rPr>
        <w:t>tributarios y de 2.3% real en los ingresos de organismos y empresas.</w:t>
      </w:r>
    </w:p>
    <w:p w14:paraId="129276C9" w14:textId="77777777" w:rsidR="00204FF1" w:rsidRDefault="00204FF1" w:rsidP="00BD1B03">
      <w:pPr>
        <w:pStyle w:val="PRIMERAPLANA"/>
        <w:spacing w:line="360" w:lineRule="auto"/>
        <w:rPr>
          <w:rFonts w:ascii="Times New Roman" w:hAnsi="Times New Roman"/>
          <w:bCs/>
        </w:rPr>
      </w:pPr>
    </w:p>
    <w:p w14:paraId="17A8AAC6" w14:textId="4D188377" w:rsidR="00204FF1" w:rsidRDefault="003F6D25" w:rsidP="003F6D25">
      <w:pPr>
        <w:pStyle w:val="PRIMERAPLANA"/>
        <w:spacing w:line="360" w:lineRule="auto"/>
        <w:rPr>
          <w:rFonts w:ascii="Times New Roman" w:hAnsi="Times New Roman"/>
          <w:bCs/>
        </w:rPr>
      </w:pPr>
      <w:r w:rsidRPr="003F6D25">
        <w:rPr>
          <w:rFonts w:ascii="Times New Roman" w:hAnsi="Times New Roman"/>
          <w:bCs/>
        </w:rPr>
        <w:t>La política de gasto en 2026 respaldará un modelo de desarrollo con bienestar que garantiza los derechos</w:t>
      </w:r>
      <w:r>
        <w:rPr>
          <w:rFonts w:ascii="Times New Roman" w:hAnsi="Times New Roman"/>
          <w:bCs/>
        </w:rPr>
        <w:t xml:space="preserve"> </w:t>
      </w:r>
      <w:r w:rsidRPr="003F6D25">
        <w:rPr>
          <w:rFonts w:ascii="Times New Roman" w:hAnsi="Times New Roman"/>
          <w:bCs/>
        </w:rPr>
        <w:t>sociales e impulsa la inversión con un enfoque de prosperidad compartida. Bajo criterios de</w:t>
      </w:r>
      <w:r>
        <w:rPr>
          <w:rFonts w:ascii="Times New Roman" w:hAnsi="Times New Roman"/>
          <w:bCs/>
        </w:rPr>
        <w:t xml:space="preserve"> </w:t>
      </w:r>
      <w:r w:rsidRPr="003F6D25">
        <w:rPr>
          <w:rFonts w:ascii="Times New Roman" w:hAnsi="Times New Roman"/>
          <w:bCs/>
        </w:rPr>
        <w:t>responsabilidad fiscal, se priorizarán recursos hacia programas sociales, infraestructura estratégica y</w:t>
      </w:r>
      <w:r>
        <w:rPr>
          <w:rFonts w:ascii="Times New Roman" w:hAnsi="Times New Roman"/>
          <w:bCs/>
        </w:rPr>
        <w:t xml:space="preserve"> </w:t>
      </w:r>
      <w:r w:rsidRPr="003F6D25">
        <w:rPr>
          <w:rFonts w:ascii="Times New Roman" w:hAnsi="Times New Roman"/>
          <w:bCs/>
        </w:rPr>
        <w:t>servicios esenciales como salud, educación, alimentación, vivienda y seguridad con el objetivo de reducir</w:t>
      </w:r>
      <w:r>
        <w:rPr>
          <w:rFonts w:ascii="Times New Roman" w:hAnsi="Times New Roman"/>
          <w:bCs/>
        </w:rPr>
        <w:t xml:space="preserve"> </w:t>
      </w:r>
      <w:r w:rsidRPr="003F6D25">
        <w:rPr>
          <w:rFonts w:ascii="Times New Roman" w:hAnsi="Times New Roman"/>
          <w:bCs/>
        </w:rPr>
        <w:t>desigualdades estructurales y generar condiciones para la justicia social. Con ello, el gasto público se</w:t>
      </w:r>
      <w:r>
        <w:rPr>
          <w:rFonts w:ascii="Times New Roman" w:hAnsi="Times New Roman"/>
          <w:bCs/>
        </w:rPr>
        <w:t xml:space="preserve"> </w:t>
      </w:r>
      <w:r w:rsidRPr="003F6D25">
        <w:rPr>
          <w:rFonts w:ascii="Times New Roman" w:hAnsi="Times New Roman"/>
          <w:bCs/>
        </w:rPr>
        <w:t>consolidará como un instrumento central para materializar los compromisos del PND 2025-2030 y se</w:t>
      </w:r>
      <w:r>
        <w:rPr>
          <w:rFonts w:ascii="Times New Roman" w:hAnsi="Times New Roman"/>
          <w:bCs/>
        </w:rPr>
        <w:t xml:space="preserve"> </w:t>
      </w:r>
      <w:r w:rsidRPr="003F6D25">
        <w:rPr>
          <w:rFonts w:ascii="Times New Roman" w:hAnsi="Times New Roman"/>
          <w:bCs/>
        </w:rPr>
        <w:t>avanzará hacia un país más justo, incluyente y solidario.</w:t>
      </w:r>
    </w:p>
    <w:p w14:paraId="45F45820" w14:textId="0AD71D54" w:rsidR="00204FF1" w:rsidRDefault="003F6D25" w:rsidP="003F6D25">
      <w:pPr>
        <w:pStyle w:val="PRIMERAPLANA"/>
        <w:spacing w:line="360" w:lineRule="auto"/>
        <w:rPr>
          <w:rFonts w:ascii="Times New Roman" w:hAnsi="Times New Roman"/>
          <w:bCs/>
        </w:rPr>
      </w:pPr>
      <w:r w:rsidRPr="003F6D25">
        <w:rPr>
          <w:rFonts w:ascii="Times New Roman" w:hAnsi="Times New Roman"/>
          <w:bCs/>
        </w:rPr>
        <w:t xml:space="preserve">Para el ejercicio fiscal 2026, el gasto neto total ascenderá a 10,114.8 </w:t>
      </w:r>
      <w:proofErr w:type="spellStart"/>
      <w:r w:rsidRPr="003F6D25">
        <w:rPr>
          <w:rFonts w:ascii="Times New Roman" w:hAnsi="Times New Roman"/>
          <w:bCs/>
        </w:rPr>
        <w:t>mmp</w:t>
      </w:r>
      <w:proofErr w:type="spellEnd"/>
      <w:r w:rsidRPr="003F6D25">
        <w:rPr>
          <w:rFonts w:ascii="Times New Roman" w:hAnsi="Times New Roman"/>
          <w:bCs/>
        </w:rPr>
        <w:t>, lo que equivale a un incremento</w:t>
      </w:r>
      <w:r>
        <w:rPr>
          <w:rFonts w:ascii="Times New Roman" w:hAnsi="Times New Roman"/>
          <w:bCs/>
        </w:rPr>
        <w:t xml:space="preserve"> </w:t>
      </w:r>
      <w:r w:rsidRPr="003F6D25">
        <w:rPr>
          <w:rFonts w:ascii="Times New Roman" w:hAnsi="Times New Roman"/>
          <w:bCs/>
        </w:rPr>
        <w:t>de 5.9% real respecto al aprobado para 2025. Dentro de su composición, destaca que el gasto</w:t>
      </w:r>
      <w:r w:rsidR="006172BD">
        <w:rPr>
          <w:rFonts w:ascii="Times New Roman" w:hAnsi="Times New Roman"/>
          <w:bCs/>
        </w:rPr>
        <w:t xml:space="preserve"> </w:t>
      </w:r>
      <w:r w:rsidRPr="003F6D25">
        <w:rPr>
          <w:rFonts w:ascii="Times New Roman" w:hAnsi="Times New Roman"/>
          <w:bCs/>
        </w:rPr>
        <w:t>programable, que se orienta a la generación de bienes, provisión de servicios y ejecución de obras</w:t>
      </w:r>
      <w:r w:rsidR="006172BD">
        <w:rPr>
          <w:rFonts w:ascii="Times New Roman" w:hAnsi="Times New Roman"/>
          <w:bCs/>
        </w:rPr>
        <w:t xml:space="preserve"> </w:t>
      </w:r>
      <w:r w:rsidRPr="003F6D25">
        <w:rPr>
          <w:rFonts w:ascii="Times New Roman" w:hAnsi="Times New Roman"/>
          <w:bCs/>
        </w:rPr>
        <w:t xml:space="preserve">públicas que la población demanda, sumará 7,015.9 </w:t>
      </w:r>
      <w:proofErr w:type="spellStart"/>
      <w:r w:rsidRPr="003F6D25">
        <w:rPr>
          <w:rFonts w:ascii="Times New Roman" w:hAnsi="Times New Roman"/>
          <w:bCs/>
        </w:rPr>
        <w:t>mmp</w:t>
      </w:r>
      <w:proofErr w:type="spellEnd"/>
      <w:r w:rsidRPr="003F6D25">
        <w:rPr>
          <w:rFonts w:ascii="Times New Roman" w:hAnsi="Times New Roman"/>
          <w:bCs/>
        </w:rPr>
        <w:t>, lo que representará un incremento de 5.1% en</w:t>
      </w:r>
      <w:r w:rsidR="006172BD">
        <w:rPr>
          <w:rFonts w:ascii="Times New Roman" w:hAnsi="Times New Roman"/>
          <w:bCs/>
        </w:rPr>
        <w:t xml:space="preserve"> </w:t>
      </w:r>
      <w:r w:rsidRPr="003F6D25">
        <w:rPr>
          <w:rFonts w:ascii="Times New Roman" w:hAnsi="Times New Roman"/>
          <w:bCs/>
        </w:rPr>
        <w:t>términos reales con relación a lo aprobado en 2025.</w:t>
      </w:r>
    </w:p>
    <w:p w14:paraId="0846F65F" w14:textId="77777777" w:rsidR="00204FF1" w:rsidRDefault="00204FF1" w:rsidP="00BD1B03">
      <w:pPr>
        <w:pStyle w:val="PRIMERAPLANA"/>
        <w:spacing w:line="360" w:lineRule="auto"/>
        <w:rPr>
          <w:rFonts w:ascii="Times New Roman" w:hAnsi="Times New Roman"/>
          <w:bCs/>
        </w:rPr>
      </w:pPr>
    </w:p>
    <w:p w14:paraId="62DB9CC9" w14:textId="5894F86F" w:rsidR="00204FF1" w:rsidRDefault="006172BD" w:rsidP="006172BD">
      <w:pPr>
        <w:pStyle w:val="PRIMERAPLANA"/>
        <w:spacing w:line="360" w:lineRule="auto"/>
        <w:rPr>
          <w:rFonts w:ascii="Times New Roman" w:hAnsi="Times New Roman"/>
          <w:bCs/>
        </w:rPr>
      </w:pPr>
      <w:r>
        <w:rPr>
          <w:rFonts w:ascii="Times New Roman" w:hAnsi="Times New Roman"/>
          <w:bCs/>
        </w:rPr>
        <w:t>E</w:t>
      </w:r>
      <w:r w:rsidRPr="006172BD">
        <w:rPr>
          <w:rFonts w:ascii="Times New Roman" w:hAnsi="Times New Roman"/>
          <w:bCs/>
        </w:rPr>
        <w:t>n el P</w:t>
      </w:r>
      <w:r>
        <w:rPr>
          <w:rFonts w:ascii="Times New Roman" w:hAnsi="Times New Roman"/>
          <w:bCs/>
        </w:rPr>
        <w:t xml:space="preserve">royecto de </w:t>
      </w:r>
      <w:r w:rsidRPr="006172BD">
        <w:rPr>
          <w:rFonts w:ascii="Times New Roman" w:hAnsi="Times New Roman"/>
          <w:bCs/>
        </w:rPr>
        <w:t>PEF 2026, el respaldo a la economía social adquiere rango programático como motor de inclusión</w:t>
      </w:r>
      <w:r>
        <w:rPr>
          <w:rFonts w:ascii="Times New Roman" w:hAnsi="Times New Roman"/>
          <w:bCs/>
        </w:rPr>
        <w:t xml:space="preserve"> </w:t>
      </w:r>
      <w:r w:rsidRPr="006172BD">
        <w:rPr>
          <w:rFonts w:ascii="Times New Roman" w:hAnsi="Times New Roman"/>
          <w:bCs/>
        </w:rPr>
        <w:t>productiva, cohesión social y desarrollo local sostenible. Asimismo, se impulsan proyectos de</w:t>
      </w:r>
      <w:r>
        <w:rPr>
          <w:rFonts w:ascii="Times New Roman" w:hAnsi="Times New Roman"/>
          <w:bCs/>
        </w:rPr>
        <w:t xml:space="preserve"> </w:t>
      </w:r>
      <w:r w:rsidRPr="006172BD">
        <w:rPr>
          <w:rFonts w:ascii="Times New Roman" w:hAnsi="Times New Roman"/>
          <w:bCs/>
        </w:rPr>
        <w:t>infraestructura estratégica para mejorar la conectividad del país, incluyendo transporte de pasajeros,</w:t>
      </w:r>
      <w:r>
        <w:rPr>
          <w:rFonts w:ascii="Times New Roman" w:hAnsi="Times New Roman"/>
          <w:bCs/>
        </w:rPr>
        <w:t xml:space="preserve"> </w:t>
      </w:r>
      <w:r w:rsidRPr="006172BD">
        <w:rPr>
          <w:rFonts w:ascii="Times New Roman" w:hAnsi="Times New Roman"/>
          <w:bCs/>
        </w:rPr>
        <w:t>modernización de puertos y aeropuertos, así como el fortalecimiento del comercio interno y</w:t>
      </w:r>
      <w:r>
        <w:rPr>
          <w:rFonts w:ascii="Times New Roman" w:hAnsi="Times New Roman"/>
          <w:bCs/>
        </w:rPr>
        <w:t xml:space="preserve"> </w:t>
      </w:r>
      <w:r w:rsidRPr="006172BD">
        <w:rPr>
          <w:rFonts w:ascii="Times New Roman" w:hAnsi="Times New Roman"/>
          <w:bCs/>
        </w:rPr>
        <w:t>transfronterizo. Con ello, se busca dinamizar la economía nacional y garantizar que el trabajo de todas las</w:t>
      </w:r>
      <w:r>
        <w:rPr>
          <w:rFonts w:ascii="Times New Roman" w:hAnsi="Times New Roman"/>
          <w:bCs/>
        </w:rPr>
        <w:t xml:space="preserve"> </w:t>
      </w:r>
      <w:r w:rsidRPr="006172BD">
        <w:rPr>
          <w:rFonts w:ascii="Times New Roman" w:hAnsi="Times New Roman"/>
          <w:bCs/>
        </w:rPr>
        <w:t xml:space="preserve">personas se </w:t>
      </w:r>
      <w:r w:rsidRPr="006172BD">
        <w:rPr>
          <w:rFonts w:ascii="Times New Roman" w:hAnsi="Times New Roman"/>
          <w:bCs/>
        </w:rPr>
        <w:lastRenderedPageBreak/>
        <w:t>traduzca en bienestar familiar y en condiciones dignas de vida, en un entorno que favorezca</w:t>
      </w:r>
      <w:r>
        <w:rPr>
          <w:rFonts w:ascii="Times New Roman" w:hAnsi="Times New Roman"/>
          <w:bCs/>
        </w:rPr>
        <w:t xml:space="preserve"> </w:t>
      </w:r>
      <w:r w:rsidRPr="006172BD">
        <w:rPr>
          <w:rFonts w:ascii="Times New Roman" w:hAnsi="Times New Roman"/>
          <w:bCs/>
        </w:rPr>
        <w:t>su desarrollo pleno.</w:t>
      </w:r>
    </w:p>
    <w:p w14:paraId="007B0EDB" w14:textId="77777777" w:rsidR="00204FF1" w:rsidRDefault="00204FF1" w:rsidP="00BD1B03">
      <w:pPr>
        <w:pStyle w:val="PRIMERAPLANA"/>
        <w:spacing w:line="360" w:lineRule="auto"/>
        <w:rPr>
          <w:rFonts w:ascii="Times New Roman" w:hAnsi="Times New Roman"/>
          <w:bCs/>
        </w:rPr>
      </w:pPr>
    </w:p>
    <w:p w14:paraId="66CE0B03" w14:textId="2795D0A0" w:rsidR="00204FF1" w:rsidRDefault="006172BD" w:rsidP="006172BD">
      <w:pPr>
        <w:pStyle w:val="PRIMERAPLANA"/>
        <w:spacing w:line="360" w:lineRule="auto"/>
        <w:rPr>
          <w:rFonts w:ascii="Times New Roman" w:hAnsi="Times New Roman"/>
          <w:bCs/>
        </w:rPr>
      </w:pPr>
      <w:r w:rsidRPr="006172BD">
        <w:rPr>
          <w:rFonts w:ascii="Times New Roman" w:hAnsi="Times New Roman"/>
          <w:bCs/>
        </w:rPr>
        <w:t>En 2026, la política de deuda mantendrá una estrategia de financiamiento acorde a las necesidades del</w:t>
      </w:r>
      <w:r w:rsidR="004756D6">
        <w:rPr>
          <w:rFonts w:ascii="Times New Roman" w:hAnsi="Times New Roman"/>
          <w:bCs/>
        </w:rPr>
        <w:t xml:space="preserve"> </w:t>
      </w:r>
      <w:r w:rsidRPr="006172BD">
        <w:rPr>
          <w:rFonts w:ascii="Times New Roman" w:hAnsi="Times New Roman"/>
          <w:bCs/>
        </w:rPr>
        <w:t>portafolio y las condiciones prevalecientes en los mercados financieros, con el fin de obtener las mejores</w:t>
      </w:r>
      <w:r w:rsidR="004756D6">
        <w:rPr>
          <w:rFonts w:ascii="Times New Roman" w:hAnsi="Times New Roman"/>
          <w:bCs/>
        </w:rPr>
        <w:t xml:space="preserve"> </w:t>
      </w:r>
      <w:r w:rsidRPr="006172BD">
        <w:rPr>
          <w:rFonts w:ascii="Times New Roman" w:hAnsi="Times New Roman"/>
          <w:bCs/>
        </w:rPr>
        <w:t>condiciones de costo y una gestión adecuada de los riesgos; asimismo se continuará con la emisión de</w:t>
      </w:r>
      <w:r w:rsidR="004756D6">
        <w:rPr>
          <w:rFonts w:ascii="Times New Roman" w:hAnsi="Times New Roman"/>
          <w:bCs/>
        </w:rPr>
        <w:t xml:space="preserve"> </w:t>
      </w:r>
      <w:r w:rsidRPr="006172BD">
        <w:rPr>
          <w:rFonts w:ascii="Times New Roman" w:hAnsi="Times New Roman"/>
          <w:bCs/>
        </w:rPr>
        <w:t>instrumentos alineados con los Objetivos de Desarrollo Sostenible (ODS) y principios Ambientales, Sociales</w:t>
      </w:r>
      <w:r w:rsidR="004756D6">
        <w:rPr>
          <w:rFonts w:ascii="Times New Roman" w:hAnsi="Times New Roman"/>
          <w:bCs/>
        </w:rPr>
        <w:t xml:space="preserve"> </w:t>
      </w:r>
      <w:r w:rsidRPr="006172BD">
        <w:rPr>
          <w:rFonts w:ascii="Times New Roman" w:hAnsi="Times New Roman"/>
          <w:bCs/>
        </w:rPr>
        <w:t>y de Gobernanza (ASG), que permitan asignar recursos hacia actividades con impactos positivos en la</w:t>
      </w:r>
      <w:r w:rsidR="004756D6">
        <w:rPr>
          <w:rFonts w:ascii="Times New Roman" w:hAnsi="Times New Roman"/>
          <w:bCs/>
        </w:rPr>
        <w:t xml:space="preserve"> </w:t>
      </w:r>
      <w:r w:rsidRPr="006172BD">
        <w:rPr>
          <w:rFonts w:ascii="Times New Roman" w:hAnsi="Times New Roman"/>
          <w:bCs/>
        </w:rPr>
        <w:t>sociedad y el medio ambiente, con el objetivo de fortalecer la estabilidad macroeconómica en conjunto</w:t>
      </w:r>
      <w:r w:rsidR="004756D6">
        <w:rPr>
          <w:rFonts w:ascii="Times New Roman" w:hAnsi="Times New Roman"/>
          <w:bCs/>
        </w:rPr>
        <w:t xml:space="preserve"> </w:t>
      </w:r>
      <w:r w:rsidRPr="006172BD">
        <w:rPr>
          <w:rFonts w:ascii="Times New Roman" w:hAnsi="Times New Roman"/>
          <w:bCs/>
        </w:rPr>
        <w:t>con la sostenibilidad de la deuda.</w:t>
      </w:r>
    </w:p>
    <w:p w14:paraId="75E32C32" w14:textId="77777777" w:rsidR="00204FF1" w:rsidRDefault="00204FF1" w:rsidP="00BD1B03">
      <w:pPr>
        <w:pStyle w:val="PRIMERAPLANA"/>
        <w:spacing w:line="360" w:lineRule="auto"/>
        <w:rPr>
          <w:rFonts w:ascii="Times New Roman" w:hAnsi="Times New Roman"/>
          <w:bCs/>
        </w:rPr>
      </w:pPr>
    </w:p>
    <w:p w14:paraId="3065873F" w14:textId="77777777" w:rsidR="00FA18A9" w:rsidRDefault="004756D6" w:rsidP="004756D6">
      <w:pPr>
        <w:pStyle w:val="PRIMERAPLANA"/>
        <w:spacing w:line="360" w:lineRule="auto"/>
        <w:rPr>
          <w:rFonts w:ascii="Times New Roman" w:hAnsi="Times New Roman"/>
          <w:bCs/>
        </w:rPr>
      </w:pPr>
      <w:r>
        <w:rPr>
          <w:rFonts w:ascii="Times New Roman" w:hAnsi="Times New Roman"/>
          <w:bCs/>
        </w:rPr>
        <w:t>P</w:t>
      </w:r>
      <w:r w:rsidRPr="004756D6">
        <w:rPr>
          <w:rFonts w:ascii="Times New Roman" w:hAnsi="Times New Roman"/>
          <w:bCs/>
        </w:rPr>
        <w:t>ara 2026 se estima que el SHRFSP se ubicará en 52.3% del PIB,</w:t>
      </w:r>
      <w:r>
        <w:rPr>
          <w:rFonts w:ascii="Times New Roman" w:hAnsi="Times New Roman"/>
          <w:bCs/>
        </w:rPr>
        <w:t xml:space="preserve"> </w:t>
      </w:r>
      <w:r w:rsidRPr="004756D6">
        <w:rPr>
          <w:rFonts w:ascii="Times New Roman" w:hAnsi="Times New Roman"/>
          <w:bCs/>
        </w:rPr>
        <w:t>nivel que contribuirá a preservar la estabilidad macroeconómica y a mantener condiciones favorables de</w:t>
      </w:r>
      <w:r>
        <w:rPr>
          <w:rFonts w:ascii="Times New Roman" w:hAnsi="Times New Roman"/>
          <w:bCs/>
        </w:rPr>
        <w:t xml:space="preserve"> </w:t>
      </w:r>
      <w:r w:rsidRPr="004756D6">
        <w:rPr>
          <w:rFonts w:ascii="Times New Roman" w:hAnsi="Times New Roman"/>
          <w:bCs/>
        </w:rPr>
        <w:t>acceso al financiamiento. En este marco, la Iniciativa de Ley de Ingresos de la Federación (ILIF) 2026,</w:t>
      </w:r>
      <w:r>
        <w:rPr>
          <w:rFonts w:ascii="Times New Roman" w:hAnsi="Times New Roman"/>
          <w:bCs/>
        </w:rPr>
        <w:t xml:space="preserve"> </w:t>
      </w:r>
      <w:r w:rsidRPr="004756D6">
        <w:rPr>
          <w:rFonts w:ascii="Times New Roman" w:hAnsi="Times New Roman"/>
          <w:bCs/>
        </w:rPr>
        <w:t>sometida a consideración del H. Congreso de la Unión, plantea un techo de endeudamiento interno neto</w:t>
      </w:r>
      <w:r>
        <w:rPr>
          <w:rFonts w:ascii="Times New Roman" w:hAnsi="Times New Roman"/>
          <w:bCs/>
        </w:rPr>
        <w:t xml:space="preserve"> </w:t>
      </w:r>
      <w:r w:rsidRPr="004756D6">
        <w:rPr>
          <w:rFonts w:ascii="Times New Roman" w:hAnsi="Times New Roman"/>
          <w:bCs/>
        </w:rPr>
        <w:t xml:space="preserve">del Gobierno Federal de 1,780.0 </w:t>
      </w:r>
      <w:proofErr w:type="spellStart"/>
      <w:r w:rsidRPr="004756D6">
        <w:rPr>
          <w:rFonts w:ascii="Times New Roman" w:hAnsi="Times New Roman"/>
          <w:bCs/>
        </w:rPr>
        <w:t>mmp</w:t>
      </w:r>
      <w:proofErr w:type="spellEnd"/>
      <w:r w:rsidRPr="004756D6">
        <w:rPr>
          <w:rFonts w:ascii="Times New Roman" w:hAnsi="Times New Roman"/>
          <w:bCs/>
        </w:rPr>
        <w:t xml:space="preserve"> y un techo de endeudamiento externo neto</w:t>
      </w:r>
      <w:r w:rsidR="00F65CDD">
        <w:rPr>
          <w:rFonts w:ascii="Times New Roman" w:hAnsi="Times New Roman"/>
          <w:bCs/>
        </w:rPr>
        <w:t>,</w:t>
      </w:r>
      <w:r w:rsidRPr="004756D6">
        <w:rPr>
          <w:rFonts w:ascii="Times New Roman" w:hAnsi="Times New Roman"/>
          <w:bCs/>
        </w:rPr>
        <w:t xml:space="preserve"> que incluye al</w:t>
      </w:r>
      <w:r>
        <w:rPr>
          <w:rFonts w:ascii="Times New Roman" w:hAnsi="Times New Roman"/>
          <w:bCs/>
        </w:rPr>
        <w:t xml:space="preserve"> </w:t>
      </w:r>
      <w:r w:rsidRPr="004756D6">
        <w:rPr>
          <w:rFonts w:ascii="Times New Roman" w:hAnsi="Times New Roman"/>
          <w:bCs/>
        </w:rPr>
        <w:t xml:space="preserve">Gobierno Federal y a la banca de desarrollo de 15.5 </w:t>
      </w:r>
      <w:proofErr w:type="spellStart"/>
      <w:r w:rsidRPr="004756D6">
        <w:rPr>
          <w:rFonts w:ascii="Times New Roman" w:hAnsi="Times New Roman"/>
          <w:bCs/>
        </w:rPr>
        <w:t>mmd</w:t>
      </w:r>
      <w:proofErr w:type="spellEnd"/>
      <w:r w:rsidRPr="004756D6">
        <w:rPr>
          <w:rFonts w:ascii="Times New Roman" w:hAnsi="Times New Roman"/>
          <w:bCs/>
        </w:rPr>
        <w:t>.</w:t>
      </w:r>
      <w:r>
        <w:rPr>
          <w:rFonts w:ascii="Times New Roman" w:hAnsi="Times New Roman"/>
          <w:bCs/>
        </w:rPr>
        <w:t xml:space="preserve"> </w:t>
      </w:r>
    </w:p>
    <w:p w14:paraId="6EED2EBF" w14:textId="77777777" w:rsidR="00FA18A9" w:rsidRDefault="00FA18A9" w:rsidP="004756D6">
      <w:pPr>
        <w:pStyle w:val="PRIMERAPLANA"/>
        <w:spacing w:line="360" w:lineRule="auto"/>
        <w:rPr>
          <w:rFonts w:ascii="Times New Roman" w:hAnsi="Times New Roman"/>
          <w:bCs/>
        </w:rPr>
      </w:pPr>
    </w:p>
    <w:p w14:paraId="135FE4D6" w14:textId="420257C0" w:rsidR="00204FF1" w:rsidRDefault="004756D6" w:rsidP="004756D6">
      <w:pPr>
        <w:pStyle w:val="PRIMERAPLANA"/>
        <w:spacing w:line="360" w:lineRule="auto"/>
        <w:rPr>
          <w:rFonts w:ascii="Times New Roman" w:hAnsi="Times New Roman"/>
          <w:bCs/>
        </w:rPr>
      </w:pPr>
      <w:r w:rsidRPr="004756D6">
        <w:rPr>
          <w:rFonts w:ascii="Times New Roman" w:hAnsi="Times New Roman"/>
          <w:bCs/>
        </w:rPr>
        <w:t>Durante el ejercicio fiscal 2026 se privilegiará el financiamiento interno, a tasa fija y de largo plazo, con el</w:t>
      </w:r>
      <w:r>
        <w:rPr>
          <w:rFonts w:ascii="Times New Roman" w:hAnsi="Times New Roman"/>
          <w:bCs/>
        </w:rPr>
        <w:t xml:space="preserve"> </w:t>
      </w:r>
      <w:r w:rsidRPr="004756D6">
        <w:rPr>
          <w:rFonts w:ascii="Times New Roman" w:hAnsi="Times New Roman"/>
          <w:bCs/>
        </w:rPr>
        <w:t>propósito de reducir la exposición a la volatilidad de los mercados internacionales y dar mayor estabilidad</w:t>
      </w:r>
      <w:r>
        <w:rPr>
          <w:rFonts w:ascii="Times New Roman" w:hAnsi="Times New Roman"/>
          <w:bCs/>
        </w:rPr>
        <w:t xml:space="preserve"> </w:t>
      </w:r>
      <w:r w:rsidRPr="004756D6">
        <w:rPr>
          <w:rFonts w:ascii="Times New Roman" w:hAnsi="Times New Roman"/>
          <w:bCs/>
        </w:rPr>
        <w:t>a la deuda. En este marco, se prevé que el 84.4% de la deuda se denomine en moneda nacional y que el</w:t>
      </w:r>
      <w:r>
        <w:rPr>
          <w:rFonts w:ascii="Times New Roman" w:hAnsi="Times New Roman"/>
          <w:bCs/>
        </w:rPr>
        <w:t xml:space="preserve"> </w:t>
      </w:r>
      <w:r w:rsidRPr="004756D6">
        <w:rPr>
          <w:rFonts w:ascii="Times New Roman" w:hAnsi="Times New Roman"/>
          <w:bCs/>
        </w:rPr>
        <w:t>80.3% de los valores gubernamentales se emita a tasa fija y de largo plazo, lo que permitirá minimizar la</w:t>
      </w:r>
      <w:r>
        <w:rPr>
          <w:rFonts w:ascii="Times New Roman" w:hAnsi="Times New Roman"/>
          <w:bCs/>
        </w:rPr>
        <w:t xml:space="preserve"> </w:t>
      </w:r>
      <w:r w:rsidRPr="004756D6">
        <w:rPr>
          <w:rFonts w:ascii="Times New Roman" w:hAnsi="Times New Roman"/>
          <w:bCs/>
        </w:rPr>
        <w:t>exposición a las variaciones en el tipo de cambio, así como en las tasas de interés.</w:t>
      </w:r>
      <w:r>
        <w:rPr>
          <w:rFonts w:ascii="Times New Roman" w:hAnsi="Times New Roman"/>
          <w:bCs/>
        </w:rPr>
        <w:t xml:space="preserve"> S</w:t>
      </w:r>
      <w:r w:rsidRPr="004756D6">
        <w:rPr>
          <w:rFonts w:ascii="Times New Roman" w:hAnsi="Times New Roman"/>
          <w:bCs/>
        </w:rPr>
        <w:t>e estima que, para el cierre de 2026, la deuda externa de mercado se encontrará</w:t>
      </w:r>
      <w:r>
        <w:rPr>
          <w:rFonts w:ascii="Times New Roman" w:hAnsi="Times New Roman"/>
          <w:bCs/>
        </w:rPr>
        <w:t xml:space="preserve"> </w:t>
      </w:r>
      <w:r w:rsidRPr="004756D6">
        <w:rPr>
          <w:rFonts w:ascii="Times New Roman" w:hAnsi="Times New Roman"/>
          <w:bCs/>
        </w:rPr>
        <w:t xml:space="preserve">contratada en su totalidad a tasa fija y 97.5% a </w:t>
      </w:r>
      <w:r w:rsidRPr="004756D6">
        <w:rPr>
          <w:rFonts w:ascii="Times New Roman" w:hAnsi="Times New Roman"/>
          <w:bCs/>
        </w:rPr>
        <w:lastRenderedPageBreak/>
        <w:t>un plazo mayor a un año, mientras que el plazo promedio</w:t>
      </w:r>
      <w:r>
        <w:rPr>
          <w:rFonts w:ascii="Times New Roman" w:hAnsi="Times New Roman"/>
          <w:bCs/>
        </w:rPr>
        <w:t xml:space="preserve"> </w:t>
      </w:r>
      <w:r w:rsidRPr="004756D6">
        <w:rPr>
          <w:rFonts w:ascii="Times New Roman" w:hAnsi="Times New Roman"/>
          <w:bCs/>
        </w:rPr>
        <w:t>y la duración de la deuda externa se ubicará en 15.8 y 7.8 años, respectivamente.</w:t>
      </w:r>
    </w:p>
    <w:p w14:paraId="3C407602" w14:textId="77777777" w:rsidR="00204FF1" w:rsidRDefault="00204FF1" w:rsidP="00BD1B03">
      <w:pPr>
        <w:pStyle w:val="PRIMERAPLANA"/>
        <w:spacing w:line="360" w:lineRule="auto"/>
        <w:rPr>
          <w:rFonts w:ascii="Times New Roman" w:hAnsi="Times New Roman"/>
          <w:bCs/>
        </w:rPr>
      </w:pPr>
    </w:p>
    <w:p w14:paraId="52F75875" w14:textId="58B6F5D9" w:rsidR="00204FF1" w:rsidRDefault="004756D6" w:rsidP="004756D6">
      <w:pPr>
        <w:pStyle w:val="PRIMERAPLANA"/>
        <w:spacing w:line="360" w:lineRule="auto"/>
        <w:rPr>
          <w:rFonts w:ascii="Times New Roman" w:hAnsi="Times New Roman"/>
          <w:bCs/>
        </w:rPr>
      </w:pPr>
      <w:r w:rsidRPr="004756D6">
        <w:rPr>
          <w:rFonts w:ascii="Times New Roman" w:hAnsi="Times New Roman"/>
          <w:bCs/>
        </w:rPr>
        <w:t>En 2026, la política financiera fomentará la competencia, impulsará la inclusión y garantizará la estabilidad</w:t>
      </w:r>
      <w:r>
        <w:rPr>
          <w:rFonts w:ascii="Times New Roman" w:hAnsi="Times New Roman"/>
          <w:bCs/>
        </w:rPr>
        <w:t xml:space="preserve"> </w:t>
      </w:r>
      <w:r w:rsidRPr="004756D6">
        <w:rPr>
          <w:rFonts w:ascii="Times New Roman" w:hAnsi="Times New Roman"/>
          <w:bCs/>
        </w:rPr>
        <w:t>del sistema. Para ello</w:t>
      </w:r>
      <w:r w:rsidR="00F65CDD">
        <w:rPr>
          <w:rFonts w:ascii="Times New Roman" w:hAnsi="Times New Roman"/>
          <w:bCs/>
        </w:rPr>
        <w:t xml:space="preserve">, </w:t>
      </w:r>
      <w:r w:rsidRPr="004756D6">
        <w:rPr>
          <w:rFonts w:ascii="Times New Roman" w:hAnsi="Times New Roman"/>
          <w:bCs/>
        </w:rPr>
        <w:t>en coordinación con autoridades nacionales e internacionales, el sector privado y</w:t>
      </w:r>
      <w:r>
        <w:rPr>
          <w:rFonts w:ascii="Times New Roman" w:hAnsi="Times New Roman"/>
          <w:bCs/>
        </w:rPr>
        <w:t xml:space="preserve"> </w:t>
      </w:r>
      <w:r w:rsidRPr="004756D6">
        <w:rPr>
          <w:rFonts w:ascii="Times New Roman" w:hAnsi="Times New Roman"/>
          <w:bCs/>
        </w:rPr>
        <w:t>organismos especializados, se promoverá el acceso equitativo a los servicios financieros de calidad, la</w:t>
      </w:r>
      <w:r>
        <w:rPr>
          <w:rFonts w:ascii="Times New Roman" w:hAnsi="Times New Roman"/>
          <w:bCs/>
        </w:rPr>
        <w:t xml:space="preserve"> </w:t>
      </w:r>
      <w:r w:rsidRPr="004756D6">
        <w:rPr>
          <w:rFonts w:ascii="Times New Roman" w:hAnsi="Times New Roman"/>
          <w:bCs/>
        </w:rPr>
        <w:t>asignación eficiente de recursos y el desarrollo sostenible a través de la modernización regulatoria, la</w:t>
      </w:r>
      <w:r>
        <w:rPr>
          <w:rFonts w:ascii="Times New Roman" w:hAnsi="Times New Roman"/>
          <w:bCs/>
        </w:rPr>
        <w:t xml:space="preserve"> </w:t>
      </w:r>
      <w:r w:rsidRPr="004756D6">
        <w:rPr>
          <w:rFonts w:ascii="Times New Roman" w:hAnsi="Times New Roman"/>
          <w:bCs/>
        </w:rPr>
        <w:t>simplificación administrativa, el impulso a nuevos instrumentos y mercados, la innovación tecnológica, la</w:t>
      </w:r>
      <w:r>
        <w:rPr>
          <w:rFonts w:ascii="Times New Roman" w:hAnsi="Times New Roman"/>
          <w:bCs/>
        </w:rPr>
        <w:t xml:space="preserve"> </w:t>
      </w:r>
      <w:r w:rsidRPr="004756D6">
        <w:rPr>
          <w:rFonts w:ascii="Times New Roman" w:hAnsi="Times New Roman"/>
          <w:bCs/>
        </w:rPr>
        <w:t>protección a los usuarios y la adopción de mejores prácticas en sostenibilidad y equidad de género</w:t>
      </w:r>
      <w:r>
        <w:rPr>
          <w:rFonts w:ascii="Times New Roman" w:hAnsi="Times New Roman"/>
          <w:bCs/>
        </w:rPr>
        <w:t>.</w:t>
      </w:r>
    </w:p>
    <w:p w14:paraId="4B6CF501" w14:textId="77777777" w:rsidR="00A536A4" w:rsidRPr="00FD37DE" w:rsidRDefault="00A536A4" w:rsidP="00BD1B03">
      <w:pPr>
        <w:pStyle w:val="PRIMERAPLANA"/>
        <w:spacing w:line="360" w:lineRule="auto"/>
        <w:rPr>
          <w:rFonts w:ascii="Times New Roman" w:hAnsi="Times New Roman"/>
          <w:bCs/>
        </w:rPr>
      </w:pPr>
    </w:p>
    <w:p w14:paraId="4036C458" w14:textId="344F57D1" w:rsidR="00BD0BF7" w:rsidRPr="007D1162" w:rsidRDefault="00F27C8A" w:rsidP="009C1CB9">
      <w:pPr>
        <w:pStyle w:val="PRIMERAPLANA"/>
        <w:numPr>
          <w:ilvl w:val="0"/>
          <w:numId w:val="23"/>
        </w:numPr>
        <w:spacing w:line="360" w:lineRule="auto"/>
        <w:ind w:left="426" w:hanging="426"/>
        <w:rPr>
          <w:rFonts w:ascii="Times New Roman" w:hAnsi="Times New Roman"/>
          <w:b/>
          <w:bCs/>
        </w:rPr>
      </w:pPr>
      <w:r>
        <w:rPr>
          <w:rFonts w:ascii="Times New Roman" w:hAnsi="Times New Roman"/>
          <w:b/>
          <w:bCs/>
        </w:rPr>
        <w:t>EVOLUCIÓN ECONÓMICA Y DE LAS FINANZAS PÚBLICAS EN EL MEDIANO PLAZO</w:t>
      </w:r>
    </w:p>
    <w:p w14:paraId="3CE17B32" w14:textId="77777777" w:rsidR="00B36D56" w:rsidRPr="00FD37DE" w:rsidRDefault="00B36D56" w:rsidP="006011E9">
      <w:pPr>
        <w:pStyle w:val="PRIMERAPLANA"/>
        <w:spacing w:line="360" w:lineRule="auto"/>
        <w:rPr>
          <w:rFonts w:ascii="Times New Roman" w:hAnsi="Times New Roman"/>
          <w:bCs/>
        </w:rPr>
      </w:pPr>
    </w:p>
    <w:p w14:paraId="56FC1163" w14:textId="239C3D28" w:rsidR="00D64E13" w:rsidRDefault="00F27C8A" w:rsidP="00F27C8A">
      <w:pPr>
        <w:pStyle w:val="PRIMERAPLANA"/>
        <w:spacing w:line="360" w:lineRule="auto"/>
        <w:rPr>
          <w:rFonts w:ascii="Times New Roman" w:hAnsi="Times New Roman"/>
          <w:bCs/>
        </w:rPr>
      </w:pPr>
      <w:r w:rsidRPr="00F27C8A">
        <w:rPr>
          <w:rFonts w:ascii="Times New Roman" w:hAnsi="Times New Roman"/>
          <w:bCs/>
        </w:rPr>
        <w:t>El marco macroeconómico 2027-2031 presenta una proyección inercial de las principales variables</w:t>
      </w:r>
      <w:r>
        <w:rPr>
          <w:rFonts w:ascii="Times New Roman" w:hAnsi="Times New Roman"/>
          <w:bCs/>
        </w:rPr>
        <w:t xml:space="preserve"> </w:t>
      </w:r>
      <w:r w:rsidRPr="00F27C8A">
        <w:rPr>
          <w:rFonts w:ascii="Times New Roman" w:hAnsi="Times New Roman"/>
          <w:bCs/>
        </w:rPr>
        <w:t>económicas del país. Si bien no considera el efecto de nuevas medidas de política económica, sí incorpora</w:t>
      </w:r>
      <w:r w:rsidR="00D64E13">
        <w:rPr>
          <w:rFonts w:ascii="Times New Roman" w:hAnsi="Times New Roman"/>
          <w:bCs/>
        </w:rPr>
        <w:t xml:space="preserve"> </w:t>
      </w:r>
      <w:r w:rsidRPr="00F27C8A">
        <w:rPr>
          <w:rFonts w:ascii="Times New Roman" w:hAnsi="Times New Roman"/>
          <w:bCs/>
        </w:rPr>
        <w:t>los impactos tendenciales de las políticas ya aplicadas, las cuales han contribuido a consolidar bases más</w:t>
      </w:r>
      <w:r w:rsidR="00D64E13">
        <w:rPr>
          <w:rFonts w:ascii="Times New Roman" w:hAnsi="Times New Roman"/>
          <w:bCs/>
        </w:rPr>
        <w:t xml:space="preserve"> </w:t>
      </w:r>
      <w:r w:rsidRPr="00F27C8A">
        <w:rPr>
          <w:rFonts w:ascii="Times New Roman" w:hAnsi="Times New Roman"/>
          <w:bCs/>
        </w:rPr>
        <w:t>firmes para un crecimiento sostenido y finanzas públicas sanas.</w:t>
      </w:r>
    </w:p>
    <w:p w14:paraId="0BFDEA9D" w14:textId="77777777" w:rsidR="00D64E13" w:rsidRDefault="00D64E13" w:rsidP="00F27C8A">
      <w:pPr>
        <w:pStyle w:val="PRIMERAPLANA"/>
        <w:spacing w:line="360" w:lineRule="auto"/>
        <w:rPr>
          <w:rFonts w:ascii="Times New Roman" w:hAnsi="Times New Roman"/>
          <w:bCs/>
        </w:rPr>
      </w:pPr>
    </w:p>
    <w:p w14:paraId="16C502E3" w14:textId="569F1979" w:rsidR="00F27C8A" w:rsidRDefault="00F27C8A" w:rsidP="00F27C8A">
      <w:pPr>
        <w:pStyle w:val="PRIMERAPLANA"/>
        <w:spacing w:line="360" w:lineRule="auto"/>
        <w:rPr>
          <w:rFonts w:ascii="Times New Roman" w:hAnsi="Times New Roman"/>
          <w:bCs/>
        </w:rPr>
      </w:pPr>
      <w:r w:rsidRPr="00F27C8A">
        <w:rPr>
          <w:rFonts w:ascii="Times New Roman" w:hAnsi="Times New Roman"/>
          <w:bCs/>
        </w:rPr>
        <w:t>En el mediano plazo, la economía mexicana mantendrá una senda de crecimiento impulsada</w:t>
      </w:r>
      <w:r w:rsidR="00D64E13">
        <w:rPr>
          <w:rFonts w:ascii="Times New Roman" w:hAnsi="Times New Roman"/>
          <w:bCs/>
        </w:rPr>
        <w:t xml:space="preserve"> </w:t>
      </w:r>
      <w:r w:rsidRPr="00F27C8A">
        <w:rPr>
          <w:rFonts w:ascii="Times New Roman" w:hAnsi="Times New Roman"/>
          <w:bCs/>
        </w:rPr>
        <w:t>principalmente por el mercado interno. El consumo privado continuará como principal motor de la</w:t>
      </w:r>
      <w:r w:rsidR="00D64E13">
        <w:rPr>
          <w:rFonts w:ascii="Times New Roman" w:hAnsi="Times New Roman"/>
          <w:bCs/>
        </w:rPr>
        <w:t xml:space="preserve"> </w:t>
      </w:r>
      <w:r w:rsidRPr="00F27C8A">
        <w:rPr>
          <w:rFonts w:ascii="Times New Roman" w:hAnsi="Times New Roman"/>
          <w:bCs/>
        </w:rPr>
        <w:t>actividad económica, respaldado por la generación de empleo, la mayor formalización, el incremento de</w:t>
      </w:r>
      <w:r w:rsidR="00D64E13">
        <w:rPr>
          <w:rFonts w:ascii="Times New Roman" w:hAnsi="Times New Roman"/>
          <w:bCs/>
        </w:rPr>
        <w:t xml:space="preserve"> </w:t>
      </w:r>
      <w:r w:rsidRPr="00F27C8A">
        <w:rPr>
          <w:rFonts w:ascii="Times New Roman" w:hAnsi="Times New Roman"/>
          <w:bCs/>
        </w:rPr>
        <w:t>los salarios reales y la consolidación de la red de programas sociales que ha disminuido la población en</w:t>
      </w:r>
      <w:r w:rsidR="00D64E13">
        <w:rPr>
          <w:rFonts w:ascii="Times New Roman" w:hAnsi="Times New Roman"/>
          <w:bCs/>
        </w:rPr>
        <w:t xml:space="preserve"> </w:t>
      </w:r>
      <w:r w:rsidRPr="00F27C8A">
        <w:rPr>
          <w:rFonts w:ascii="Times New Roman" w:hAnsi="Times New Roman"/>
          <w:bCs/>
        </w:rPr>
        <w:t>condición de pobreza y asegurado un mayor consumo para los hogares de bajos ingresos. La oferta</w:t>
      </w:r>
      <w:r w:rsidR="00D64E13">
        <w:rPr>
          <w:rFonts w:ascii="Times New Roman" w:hAnsi="Times New Roman"/>
          <w:bCs/>
        </w:rPr>
        <w:t xml:space="preserve"> </w:t>
      </w:r>
      <w:r w:rsidRPr="00F27C8A">
        <w:rPr>
          <w:rFonts w:ascii="Times New Roman" w:hAnsi="Times New Roman"/>
          <w:bCs/>
        </w:rPr>
        <w:t>laboral crecerá en línea con las proyecciones demográficas, que contemplan una expansión en la</w:t>
      </w:r>
      <w:r w:rsidR="00D64E13">
        <w:rPr>
          <w:rFonts w:ascii="Times New Roman" w:hAnsi="Times New Roman"/>
          <w:bCs/>
        </w:rPr>
        <w:t xml:space="preserve"> </w:t>
      </w:r>
      <w:r w:rsidRPr="00F27C8A">
        <w:rPr>
          <w:rFonts w:ascii="Times New Roman" w:hAnsi="Times New Roman"/>
          <w:bCs/>
        </w:rPr>
        <w:t xml:space="preserve">población en edad productiva.  </w:t>
      </w:r>
    </w:p>
    <w:p w14:paraId="3D508725" w14:textId="77777777" w:rsidR="00F27C8A" w:rsidRDefault="00F27C8A" w:rsidP="00716174">
      <w:pPr>
        <w:pStyle w:val="PRIMERAPLANA"/>
        <w:spacing w:line="360" w:lineRule="auto"/>
        <w:rPr>
          <w:rFonts w:ascii="Times New Roman" w:hAnsi="Times New Roman"/>
          <w:bCs/>
        </w:rPr>
      </w:pPr>
    </w:p>
    <w:p w14:paraId="78107B5A" w14:textId="6D1AF0A6" w:rsidR="00F27C8A" w:rsidRDefault="00D64E13" w:rsidP="00D64E13">
      <w:pPr>
        <w:pStyle w:val="PRIMERAPLANA"/>
        <w:spacing w:line="360" w:lineRule="auto"/>
        <w:rPr>
          <w:rFonts w:ascii="Times New Roman" w:hAnsi="Times New Roman"/>
          <w:bCs/>
        </w:rPr>
      </w:pPr>
      <w:r>
        <w:rPr>
          <w:rFonts w:ascii="Times New Roman" w:hAnsi="Times New Roman"/>
          <w:bCs/>
        </w:rPr>
        <w:lastRenderedPageBreak/>
        <w:t>L</w:t>
      </w:r>
      <w:r w:rsidRPr="00D64E13">
        <w:rPr>
          <w:rFonts w:ascii="Times New Roman" w:hAnsi="Times New Roman"/>
          <w:bCs/>
        </w:rPr>
        <w:t>a inversión pública en infraestructura mantendrá</w:t>
      </w:r>
      <w:r>
        <w:rPr>
          <w:rFonts w:ascii="Times New Roman" w:hAnsi="Times New Roman"/>
          <w:bCs/>
        </w:rPr>
        <w:t xml:space="preserve"> </w:t>
      </w:r>
      <w:r w:rsidRPr="00D64E13">
        <w:rPr>
          <w:rFonts w:ascii="Times New Roman" w:hAnsi="Times New Roman"/>
          <w:bCs/>
        </w:rPr>
        <w:t>su papel en el fortalecimiento de la conectividad regional y en la generación de condiciones favorables</w:t>
      </w:r>
      <w:r>
        <w:rPr>
          <w:rFonts w:ascii="Times New Roman" w:hAnsi="Times New Roman"/>
          <w:bCs/>
        </w:rPr>
        <w:t xml:space="preserve"> </w:t>
      </w:r>
      <w:r w:rsidRPr="00D64E13">
        <w:rPr>
          <w:rFonts w:ascii="Times New Roman" w:hAnsi="Times New Roman"/>
          <w:bCs/>
        </w:rPr>
        <w:t>para elevar la capacidad productiva e integrar de manera más equitativa el mercado interno. Se prevé la consolidación de sectores manufactureros de alto contenido tecnológico como equipo de</w:t>
      </w:r>
      <w:r>
        <w:rPr>
          <w:rFonts w:ascii="Times New Roman" w:hAnsi="Times New Roman"/>
          <w:bCs/>
        </w:rPr>
        <w:t xml:space="preserve"> </w:t>
      </w:r>
      <w:r w:rsidRPr="00D64E13">
        <w:rPr>
          <w:rFonts w:ascii="Times New Roman" w:hAnsi="Times New Roman"/>
          <w:bCs/>
        </w:rPr>
        <w:t>cómputo y aparatos electrónicos, en paralelo al dinamismo de servicios asociados con la formalización del</w:t>
      </w:r>
      <w:r>
        <w:rPr>
          <w:rFonts w:ascii="Times New Roman" w:hAnsi="Times New Roman"/>
          <w:bCs/>
        </w:rPr>
        <w:t xml:space="preserve"> </w:t>
      </w:r>
      <w:r w:rsidRPr="00D64E13">
        <w:rPr>
          <w:rFonts w:ascii="Times New Roman" w:hAnsi="Times New Roman"/>
          <w:bCs/>
        </w:rPr>
        <w:t>sector productivo y al desarrollo de la economía digital. Estos procesos contribuirán a diversificar la base</w:t>
      </w:r>
      <w:r>
        <w:rPr>
          <w:rFonts w:ascii="Times New Roman" w:hAnsi="Times New Roman"/>
          <w:bCs/>
        </w:rPr>
        <w:t xml:space="preserve"> </w:t>
      </w:r>
      <w:r w:rsidRPr="00D64E13">
        <w:rPr>
          <w:rFonts w:ascii="Times New Roman" w:hAnsi="Times New Roman"/>
          <w:bCs/>
        </w:rPr>
        <w:t>productiva y a sostener un crecimiento balanceado y resiliente en el mediano plazo</w:t>
      </w:r>
      <w:r>
        <w:rPr>
          <w:rFonts w:ascii="Times New Roman" w:hAnsi="Times New Roman"/>
          <w:bCs/>
        </w:rPr>
        <w:t>.</w:t>
      </w:r>
    </w:p>
    <w:p w14:paraId="17352576" w14:textId="77777777" w:rsidR="00F27C8A" w:rsidRDefault="00F27C8A" w:rsidP="00716174">
      <w:pPr>
        <w:pStyle w:val="PRIMERAPLANA"/>
        <w:spacing w:line="360" w:lineRule="auto"/>
        <w:rPr>
          <w:rFonts w:ascii="Times New Roman" w:hAnsi="Times New Roman"/>
          <w:bCs/>
        </w:rPr>
      </w:pPr>
    </w:p>
    <w:p w14:paraId="1094F4B7" w14:textId="3B7FB57D" w:rsidR="00D64E13" w:rsidRPr="00D64E13" w:rsidRDefault="00F43B8C" w:rsidP="00D64E13">
      <w:pPr>
        <w:pStyle w:val="PRIMERAPLANA"/>
        <w:spacing w:line="360" w:lineRule="auto"/>
        <w:rPr>
          <w:rFonts w:ascii="Times New Roman" w:hAnsi="Times New Roman"/>
          <w:bCs/>
        </w:rPr>
      </w:pPr>
      <w:r>
        <w:rPr>
          <w:rFonts w:ascii="Times New Roman" w:hAnsi="Times New Roman"/>
          <w:bCs/>
        </w:rPr>
        <w:t>S</w:t>
      </w:r>
      <w:r w:rsidR="00D64E13" w:rsidRPr="00D64E13">
        <w:rPr>
          <w:rFonts w:ascii="Times New Roman" w:hAnsi="Times New Roman"/>
          <w:bCs/>
        </w:rPr>
        <w:t>e estima que entre 2027 y 2031, la tasa promedio de crecimiento real del PIB se</w:t>
      </w:r>
      <w:r w:rsidR="00D64E13">
        <w:rPr>
          <w:rFonts w:ascii="Times New Roman" w:hAnsi="Times New Roman"/>
          <w:bCs/>
        </w:rPr>
        <w:t xml:space="preserve"> </w:t>
      </w:r>
      <w:r w:rsidR="00D64E13" w:rsidRPr="00D64E13">
        <w:rPr>
          <w:rFonts w:ascii="Times New Roman" w:hAnsi="Times New Roman"/>
          <w:bCs/>
        </w:rPr>
        <w:t>ubicará en un rango entre 1.5</w:t>
      </w:r>
      <w:r>
        <w:rPr>
          <w:rFonts w:ascii="Times New Roman" w:hAnsi="Times New Roman"/>
          <w:bCs/>
        </w:rPr>
        <w:t>%</w:t>
      </w:r>
      <w:r w:rsidR="00D64E13" w:rsidRPr="00D64E13">
        <w:rPr>
          <w:rFonts w:ascii="Times New Roman" w:hAnsi="Times New Roman"/>
          <w:bCs/>
        </w:rPr>
        <w:t xml:space="preserve"> y 2.5% anual. Estas proyecciones son consistentes con el incremento</w:t>
      </w:r>
      <w:r w:rsidR="00D64E13">
        <w:rPr>
          <w:rFonts w:ascii="Times New Roman" w:hAnsi="Times New Roman"/>
          <w:bCs/>
        </w:rPr>
        <w:t xml:space="preserve"> </w:t>
      </w:r>
      <w:r w:rsidR="00D64E13" w:rsidRPr="00D64E13">
        <w:rPr>
          <w:rFonts w:ascii="Times New Roman" w:hAnsi="Times New Roman"/>
          <w:bCs/>
        </w:rPr>
        <w:t>previsto para el PIB potencial, cuyo cálculo se encuentra establecido en el art. 11-C del Reglamento de la</w:t>
      </w:r>
      <w:r w:rsidR="00D64E13">
        <w:rPr>
          <w:rFonts w:ascii="Times New Roman" w:hAnsi="Times New Roman"/>
          <w:bCs/>
        </w:rPr>
        <w:t xml:space="preserve"> </w:t>
      </w:r>
      <w:r w:rsidR="00D64E13" w:rsidRPr="00D64E13">
        <w:rPr>
          <w:rFonts w:ascii="Times New Roman" w:hAnsi="Times New Roman"/>
          <w:bCs/>
        </w:rPr>
        <w:t>LFPRH.</w:t>
      </w:r>
      <w:r w:rsidR="00D64E13">
        <w:rPr>
          <w:rFonts w:ascii="Times New Roman" w:hAnsi="Times New Roman"/>
          <w:bCs/>
        </w:rPr>
        <w:t xml:space="preserve"> </w:t>
      </w:r>
      <w:r w:rsidR="00D64E13" w:rsidRPr="00D64E13">
        <w:rPr>
          <w:rFonts w:ascii="Times New Roman" w:hAnsi="Times New Roman"/>
          <w:bCs/>
        </w:rPr>
        <w:t>Se pronostica que la inflación se ubicará en el intervalo de variabilidad establecido por el Banco de México</w:t>
      </w:r>
      <w:r w:rsidR="00D64E13">
        <w:rPr>
          <w:rFonts w:ascii="Times New Roman" w:hAnsi="Times New Roman"/>
          <w:bCs/>
        </w:rPr>
        <w:t xml:space="preserve"> </w:t>
      </w:r>
      <w:r w:rsidR="00D64E13" w:rsidRPr="00D64E13">
        <w:rPr>
          <w:rFonts w:ascii="Times New Roman" w:hAnsi="Times New Roman"/>
          <w:bCs/>
        </w:rPr>
        <w:t>de 2.0</w:t>
      </w:r>
      <w:r>
        <w:rPr>
          <w:rFonts w:ascii="Times New Roman" w:hAnsi="Times New Roman"/>
          <w:bCs/>
        </w:rPr>
        <w:t>%</w:t>
      </w:r>
      <w:r w:rsidR="00D64E13" w:rsidRPr="00D64E13">
        <w:rPr>
          <w:rFonts w:ascii="Times New Roman" w:hAnsi="Times New Roman"/>
          <w:bCs/>
        </w:rPr>
        <w:t xml:space="preserve"> a 4.0% anual, mientras que la tasa de Cetes a 28 días se estabilizará en un nivel de 5.5% a partir de</w:t>
      </w:r>
      <w:r w:rsidR="00D64E13">
        <w:rPr>
          <w:rFonts w:ascii="Times New Roman" w:hAnsi="Times New Roman"/>
          <w:bCs/>
        </w:rPr>
        <w:t xml:space="preserve"> </w:t>
      </w:r>
      <w:r w:rsidR="00D64E13" w:rsidRPr="00D64E13">
        <w:rPr>
          <w:rFonts w:ascii="Times New Roman" w:hAnsi="Times New Roman"/>
          <w:bCs/>
        </w:rPr>
        <w:t xml:space="preserve">2027. </w:t>
      </w:r>
    </w:p>
    <w:p w14:paraId="25866EBC" w14:textId="77777777" w:rsidR="00D64E13" w:rsidRDefault="00D64E13" w:rsidP="00D64E13">
      <w:pPr>
        <w:pStyle w:val="PRIMERAPLANA"/>
        <w:spacing w:line="360" w:lineRule="auto"/>
        <w:rPr>
          <w:rFonts w:ascii="Times New Roman" w:hAnsi="Times New Roman"/>
          <w:bCs/>
        </w:rPr>
      </w:pPr>
    </w:p>
    <w:p w14:paraId="24BCDD4A" w14:textId="09E12674" w:rsidR="00D64E13" w:rsidRPr="00D64E13" w:rsidRDefault="00D64E13" w:rsidP="00D64E13">
      <w:pPr>
        <w:pStyle w:val="PRIMERAPLANA"/>
        <w:spacing w:line="360" w:lineRule="auto"/>
        <w:rPr>
          <w:rFonts w:ascii="Times New Roman" w:hAnsi="Times New Roman"/>
          <w:bCs/>
        </w:rPr>
      </w:pPr>
      <w:r w:rsidRPr="00D64E13">
        <w:rPr>
          <w:rFonts w:ascii="Times New Roman" w:hAnsi="Times New Roman"/>
          <w:bCs/>
        </w:rPr>
        <w:t>La cuenta corriente de la balanza de pagos registrará un déficit promedio moderado de 0.4% del PIB entre</w:t>
      </w:r>
      <w:r>
        <w:rPr>
          <w:rFonts w:ascii="Times New Roman" w:hAnsi="Times New Roman"/>
          <w:bCs/>
        </w:rPr>
        <w:t xml:space="preserve"> </w:t>
      </w:r>
      <w:r w:rsidRPr="00D64E13">
        <w:rPr>
          <w:rFonts w:ascii="Times New Roman" w:hAnsi="Times New Roman"/>
          <w:bCs/>
        </w:rPr>
        <w:t>2027 y 2031. Este resultado estará determinado, principalmente, por el crecimiento de EE.UU., el cua</w:t>
      </w:r>
      <w:r>
        <w:rPr>
          <w:rFonts w:ascii="Times New Roman" w:hAnsi="Times New Roman"/>
          <w:bCs/>
        </w:rPr>
        <w:t xml:space="preserve">l </w:t>
      </w:r>
      <w:r w:rsidRPr="00D64E13">
        <w:rPr>
          <w:rFonts w:ascii="Times New Roman" w:hAnsi="Times New Roman"/>
          <w:bCs/>
        </w:rPr>
        <w:t>permitirá un incremento de las exportaciones de México y un flujo positivo de remesas provenientes de</w:t>
      </w:r>
      <w:r>
        <w:rPr>
          <w:rFonts w:ascii="Times New Roman" w:hAnsi="Times New Roman"/>
          <w:bCs/>
        </w:rPr>
        <w:t xml:space="preserve"> </w:t>
      </w:r>
      <w:r w:rsidRPr="00D64E13">
        <w:rPr>
          <w:rFonts w:ascii="Times New Roman" w:hAnsi="Times New Roman"/>
          <w:bCs/>
        </w:rPr>
        <w:t>los trabajadores de origen mexicano. La creciente entrada de IED permanecerá como una fuente</w:t>
      </w:r>
      <w:r>
        <w:rPr>
          <w:rFonts w:ascii="Times New Roman" w:hAnsi="Times New Roman"/>
          <w:bCs/>
        </w:rPr>
        <w:t xml:space="preserve"> </w:t>
      </w:r>
      <w:r w:rsidRPr="00D64E13">
        <w:rPr>
          <w:rFonts w:ascii="Times New Roman" w:hAnsi="Times New Roman"/>
          <w:bCs/>
        </w:rPr>
        <w:t>importante de financiamiento de la cuenta corriente en el mediano plazo. Por lo anterior, el tipo de cambio</w:t>
      </w:r>
      <w:r>
        <w:rPr>
          <w:rFonts w:ascii="Times New Roman" w:hAnsi="Times New Roman"/>
          <w:bCs/>
        </w:rPr>
        <w:t xml:space="preserve"> </w:t>
      </w:r>
      <w:r w:rsidRPr="00D64E13">
        <w:rPr>
          <w:rFonts w:ascii="Times New Roman" w:hAnsi="Times New Roman"/>
          <w:bCs/>
        </w:rPr>
        <w:t>se mantendrá estable alrededor de 18.3 pesos por dólar.</w:t>
      </w:r>
    </w:p>
    <w:p w14:paraId="3E925244" w14:textId="77777777" w:rsidR="00D64E13" w:rsidRDefault="00D64E13" w:rsidP="00D64E13">
      <w:pPr>
        <w:pStyle w:val="PRIMERAPLANA"/>
        <w:spacing w:line="360" w:lineRule="auto"/>
        <w:rPr>
          <w:rFonts w:ascii="Times New Roman" w:hAnsi="Times New Roman"/>
          <w:bCs/>
        </w:rPr>
      </w:pPr>
    </w:p>
    <w:p w14:paraId="5FCF36C9" w14:textId="60CCC5AD" w:rsidR="00D64E13" w:rsidRPr="00D64E13" w:rsidRDefault="00D64E13" w:rsidP="00D64E13">
      <w:pPr>
        <w:pStyle w:val="PRIMERAPLANA"/>
        <w:spacing w:line="360" w:lineRule="auto"/>
        <w:rPr>
          <w:rFonts w:ascii="Times New Roman" w:hAnsi="Times New Roman"/>
          <w:bCs/>
        </w:rPr>
      </w:pPr>
      <w:r w:rsidRPr="00D64E13">
        <w:rPr>
          <w:rFonts w:ascii="Times New Roman" w:hAnsi="Times New Roman"/>
          <w:bCs/>
        </w:rPr>
        <w:t>Respecto a los indicadores petroleros, se prevé un precio promedio de 60.2 dpb, en línea con la curva de</w:t>
      </w:r>
      <w:r>
        <w:rPr>
          <w:rFonts w:ascii="Times New Roman" w:hAnsi="Times New Roman"/>
          <w:bCs/>
        </w:rPr>
        <w:t xml:space="preserve"> </w:t>
      </w:r>
      <w:r w:rsidRPr="00D64E13">
        <w:rPr>
          <w:rFonts w:ascii="Times New Roman" w:hAnsi="Times New Roman"/>
          <w:bCs/>
        </w:rPr>
        <w:t>futuros. A la par, se estima que la plataforma de producción de crudo se mantendrá en torno al objetivo</w:t>
      </w:r>
      <w:r>
        <w:rPr>
          <w:rFonts w:ascii="Times New Roman" w:hAnsi="Times New Roman"/>
          <w:bCs/>
        </w:rPr>
        <w:t xml:space="preserve"> </w:t>
      </w:r>
      <w:r w:rsidRPr="00D64E13">
        <w:rPr>
          <w:rFonts w:ascii="Times New Roman" w:hAnsi="Times New Roman"/>
          <w:bCs/>
        </w:rPr>
        <w:t xml:space="preserve">de 1.8 </w:t>
      </w:r>
      <w:proofErr w:type="spellStart"/>
      <w:r w:rsidRPr="00D64E13">
        <w:rPr>
          <w:rFonts w:ascii="Times New Roman" w:hAnsi="Times New Roman"/>
          <w:bCs/>
        </w:rPr>
        <w:t>Mbd</w:t>
      </w:r>
      <w:proofErr w:type="spellEnd"/>
      <w:r w:rsidRPr="00D64E13">
        <w:rPr>
          <w:rFonts w:ascii="Times New Roman" w:hAnsi="Times New Roman"/>
          <w:bCs/>
        </w:rPr>
        <w:t>, respaldada por el Plan Estratégico 2025-2035 de Pemex y la creciente producción de</w:t>
      </w:r>
      <w:r>
        <w:rPr>
          <w:rFonts w:ascii="Times New Roman" w:hAnsi="Times New Roman"/>
          <w:bCs/>
        </w:rPr>
        <w:t xml:space="preserve"> </w:t>
      </w:r>
      <w:r w:rsidRPr="00D64E13">
        <w:rPr>
          <w:rFonts w:ascii="Times New Roman" w:hAnsi="Times New Roman"/>
          <w:bCs/>
        </w:rPr>
        <w:t>proyectos mixtos y privados.</w:t>
      </w:r>
      <w:r>
        <w:rPr>
          <w:rFonts w:ascii="Times New Roman" w:hAnsi="Times New Roman"/>
          <w:bCs/>
        </w:rPr>
        <w:t xml:space="preserve"> </w:t>
      </w:r>
      <w:r w:rsidRPr="00D64E13">
        <w:rPr>
          <w:rFonts w:ascii="Times New Roman" w:hAnsi="Times New Roman"/>
          <w:bCs/>
        </w:rPr>
        <w:t xml:space="preserve">En el ámbito internacional, se prevé un crecimiento de la economía de EE.UU. de 2.0% </w:t>
      </w:r>
      <w:r w:rsidRPr="00D64E13">
        <w:rPr>
          <w:rFonts w:ascii="Times New Roman" w:hAnsi="Times New Roman"/>
          <w:bCs/>
        </w:rPr>
        <w:lastRenderedPageBreak/>
        <w:t>anual en promedio</w:t>
      </w:r>
      <w:r>
        <w:rPr>
          <w:rFonts w:ascii="Times New Roman" w:hAnsi="Times New Roman"/>
          <w:bCs/>
        </w:rPr>
        <w:t xml:space="preserve"> </w:t>
      </w:r>
      <w:r w:rsidRPr="00D64E13">
        <w:rPr>
          <w:rFonts w:ascii="Times New Roman" w:hAnsi="Times New Roman"/>
          <w:bCs/>
        </w:rPr>
        <w:t>entre 2027 y 2031, y de la producción industrial de 2.2% anual en el mismo periodo, lo que contribuirá a</w:t>
      </w:r>
      <w:r>
        <w:rPr>
          <w:rFonts w:ascii="Times New Roman" w:hAnsi="Times New Roman"/>
          <w:bCs/>
        </w:rPr>
        <w:t xml:space="preserve"> </w:t>
      </w:r>
      <w:r w:rsidRPr="00D64E13">
        <w:rPr>
          <w:rFonts w:ascii="Times New Roman" w:hAnsi="Times New Roman"/>
          <w:bCs/>
        </w:rPr>
        <w:t xml:space="preserve">sostener la demanda externa. </w:t>
      </w:r>
    </w:p>
    <w:p w14:paraId="67E092AB" w14:textId="77777777" w:rsidR="00D64E13" w:rsidRDefault="00D64E13" w:rsidP="00D64E13">
      <w:pPr>
        <w:pStyle w:val="PRIMERAPLANA"/>
        <w:spacing w:line="360" w:lineRule="auto"/>
        <w:rPr>
          <w:rFonts w:ascii="Times New Roman" w:hAnsi="Times New Roman"/>
          <w:bCs/>
        </w:rPr>
      </w:pPr>
    </w:p>
    <w:p w14:paraId="278C6DC2" w14:textId="2E9C9D8E" w:rsidR="00F27C8A" w:rsidRDefault="00D64E13" w:rsidP="00D64E13">
      <w:pPr>
        <w:pStyle w:val="PRIMERAPLANA"/>
        <w:spacing w:line="360" w:lineRule="auto"/>
        <w:rPr>
          <w:rFonts w:ascii="Times New Roman" w:hAnsi="Times New Roman"/>
          <w:bCs/>
        </w:rPr>
      </w:pPr>
      <w:r w:rsidRPr="00D64E13">
        <w:rPr>
          <w:rFonts w:ascii="Times New Roman" w:hAnsi="Times New Roman"/>
          <w:bCs/>
        </w:rPr>
        <w:t>El marco macroeconómico descrito se encuentra sujeto a diversos riesgos que podrían modificar las</w:t>
      </w:r>
      <w:r w:rsidR="00F43B8C">
        <w:rPr>
          <w:rFonts w:ascii="Times New Roman" w:hAnsi="Times New Roman"/>
          <w:bCs/>
        </w:rPr>
        <w:t xml:space="preserve"> </w:t>
      </w:r>
      <w:r w:rsidRPr="00D64E13">
        <w:rPr>
          <w:rFonts w:ascii="Times New Roman" w:hAnsi="Times New Roman"/>
          <w:bCs/>
        </w:rPr>
        <w:t>trayectorias estimadas, los cuales se presentan a continuación:</w:t>
      </w:r>
    </w:p>
    <w:p w14:paraId="28980E62" w14:textId="77777777" w:rsidR="00010317" w:rsidRDefault="00010317" w:rsidP="00716174">
      <w:pPr>
        <w:pStyle w:val="PRIMERAPLANA"/>
        <w:spacing w:line="360" w:lineRule="auto"/>
        <w:rPr>
          <w:rFonts w:ascii="Times New Roman" w:hAnsi="Times New Roman"/>
          <w:bCs/>
        </w:rPr>
      </w:pPr>
    </w:p>
    <w:p w14:paraId="4AF053B6" w14:textId="77777777" w:rsidR="00D64E13" w:rsidRDefault="00D64E13" w:rsidP="00D64E13">
      <w:pPr>
        <w:pStyle w:val="PRIMERAPLANA"/>
        <w:spacing w:line="360" w:lineRule="auto"/>
        <w:rPr>
          <w:rFonts w:ascii="Times New Roman" w:hAnsi="Times New Roman"/>
          <w:b/>
        </w:rPr>
      </w:pPr>
      <w:r w:rsidRPr="00D64E13">
        <w:rPr>
          <w:rFonts w:ascii="Times New Roman" w:hAnsi="Times New Roman"/>
          <w:b/>
        </w:rPr>
        <w:t xml:space="preserve">Riesgos a la baja </w:t>
      </w:r>
    </w:p>
    <w:p w14:paraId="44051956" w14:textId="77777777" w:rsidR="00D64E13" w:rsidRPr="00D64E13" w:rsidRDefault="00D64E13" w:rsidP="00D64E13">
      <w:pPr>
        <w:pStyle w:val="PRIMERAPLANA"/>
        <w:spacing w:line="360" w:lineRule="auto"/>
        <w:rPr>
          <w:rFonts w:ascii="Times New Roman" w:hAnsi="Times New Roman"/>
          <w:b/>
        </w:rPr>
      </w:pPr>
    </w:p>
    <w:p w14:paraId="56314AD0"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Persistencia o intensificación de la incertidumbre en la política económica internacional, con efectos permanentes sobre la planta exportadora nacional y sobre los principales proveedores de insumos.</w:t>
      </w:r>
    </w:p>
    <w:p w14:paraId="20BFFEA9"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Cambios estructurales en la política comercial internacional que reducirían el comercio global y limiten el acceso de las exportaciones mexicanas a distintos mercados.</w:t>
      </w:r>
    </w:p>
    <w:p w14:paraId="00996D3E" w14:textId="77777777" w:rsidR="00D64E13" w:rsidRDefault="00D64E13" w:rsidP="007C2032">
      <w:pPr>
        <w:pStyle w:val="Prrafodelista"/>
        <w:ind w:left="426" w:hanging="426"/>
        <w:rPr>
          <w:bCs/>
        </w:rPr>
      </w:pPr>
    </w:p>
    <w:p w14:paraId="72F6623E"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 xml:space="preserve">Mayor frecuencia e intensidad de fenómenos climáticos extremos, con impactos negativos en las actividades agrícolas, manufactureras, sobre la infraestructura y en otros sectores productivos. </w:t>
      </w:r>
    </w:p>
    <w:p w14:paraId="7123E2ED" w14:textId="77777777" w:rsidR="00D64E13" w:rsidRDefault="00D64E13" w:rsidP="007C2032">
      <w:pPr>
        <w:pStyle w:val="Prrafodelista"/>
        <w:ind w:left="426" w:hanging="426"/>
        <w:rPr>
          <w:bCs/>
        </w:rPr>
      </w:pPr>
    </w:p>
    <w:p w14:paraId="7D88BDAE" w14:textId="757C1598" w:rsidR="00F27C8A" w:rsidRP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Inestabilidad en el sistema financiero internacional debido a elevados niveles de endeudamiento en economías avanzadas, con posibles efectos de encarecimiento del financiamiento externo y menor atracción de flujos de inversión hacia economías</w:t>
      </w:r>
      <w:r>
        <w:rPr>
          <w:rFonts w:ascii="Times New Roman" w:hAnsi="Times New Roman"/>
          <w:bCs/>
        </w:rPr>
        <w:t xml:space="preserve"> </w:t>
      </w:r>
      <w:r w:rsidRPr="00D64E13">
        <w:rPr>
          <w:rFonts w:ascii="Times New Roman" w:hAnsi="Times New Roman"/>
          <w:bCs/>
        </w:rPr>
        <w:t>emergentes como México.</w:t>
      </w:r>
    </w:p>
    <w:p w14:paraId="3F4D766E" w14:textId="77777777" w:rsidR="00F65CDD" w:rsidRDefault="00F65CDD" w:rsidP="00D64E13">
      <w:pPr>
        <w:pStyle w:val="PRIMERAPLANA"/>
        <w:spacing w:line="360" w:lineRule="auto"/>
        <w:rPr>
          <w:rFonts w:ascii="Times New Roman" w:hAnsi="Times New Roman"/>
          <w:b/>
        </w:rPr>
      </w:pPr>
    </w:p>
    <w:p w14:paraId="037CEF18" w14:textId="7E0274F2" w:rsidR="00D64E13" w:rsidRPr="00D64E13" w:rsidRDefault="00D64E13" w:rsidP="00D64E13">
      <w:pPr>
        <w:pStyle w:val="PRIMERAPLANA"/>
        <w:spacing w:line="360" w:lineRule="auto"/>
        <w:rPr>
          <w:rFonts w:ascii="Times New Roman" w:hAnsi="Times New Roman"/>
          <w:b/>
        </w:rPr>
      </w:pPr>
      <w:r w:rsidRPr="00D64E13">
        <w:rPr>
          <w:rFonts w:ascii="Times New Roman" w:hAnsi="Times New Roman"/>
          <w:b/>
        </w:rPr>
        <w:t xml:space="preserve">Riesgos al alza </w:t>
      </w:r>
    </w:p>
    <w:p w14:paraId="3839BF5D" w14:textId="77777777" w:rsidR="00D64E13" w:rsidRDefault="00D64E13" w:rsidP="00D64E13">
      <w:pPr>
        <w:pStyle w:val="PRIMERAPLANA"/>
        <w:spacing w:line="360" w:lineRule="auto"/>
        <w:rPr>
          <w:rFonts w:ascii="Times New Roman" w:hAnsi="Times New Roman"/>
          <w:bCs/>
        </w:rPr>
      </w:pPr>
    </w:p>
    <w:p w14:paraId="5E0597F1"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lastRenderedPageBreak/>
        <w:t xml:space="preserve">Fortalecimiento de las relaciones comerciales entre México y sus principales socios a partir de la modernización del T-MEC, con reglas adaptadas a la creciente regionalización de la producción, lo que impulsaría el comercio y la atracción de inversión hacia el país. </w:t>
      </w:r>
    </w:p>
    <w:p w14:paraId="7F37F52C" w14:textId="77777777" w:rsidR="00D64E13" w:rsidRDefault="00D64E13" w:rsidP="007C2032">
      <w:pPr>
        <w:pStyle w:val="PRIMERAPLANA"/>
        <w:spacing w:line="360" w:lineRule="auto"/>
        <w:ind w:left="426" w:hanging="426"/>
        <w:rPr>
          <w:rFonts w:ascii="Times New Roman" w:hAnsi="Times New Roman"/>
          <w:bCs/>
        </w:rPr>
      </w:pPr>
    </w:p>
    <w:p w14:paraId="455CE211"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 xml:space="preserve">Efectos superiores a lo esperado de la inversión en infraestructura y los incentivos fiscales en el sur del país, que acelerarían la convergencia regional con un impulso adicional al crecimiento económico en el mediano plazo. </w:t>
      </w:r>
    </w:p>
    <w:p w14:paraId="17597B86" w14:textId="77777777" w:rsidR="00D64E13" w:rsidRDefault="00D64E13" w:rsidP="007C2032">
      <w:pPr>
        <w:pStyle w:val="Prrafodelista"/>
        <w:ind w:left="426" w:hanging="426"/>
        <w:rPr>
          <w:bCs/>
        </w:rPr>
      </w:pPr>
    </w:p>
    <w:p w14:paraId="2D212CC6" w14:textId="77777777" w:rsid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 xml:space="preserve">Aceleración en la adopción de tecnologías vinculadas con la inteligencia artificial con efectos permanentes sobre la productividad nacional. </w:t>
      </w:r>
    </w:p>
    <w:p w14:paraId="6CBF7C4C" w14:textId="77777777" w:rsidR="00D64E13" w:rsidRDefault="00D64E13" w:rsidP="007C2032">
      <w:pPr>
        <w:pStyle w:val="Prrafodelista"/>
        <w:ind w:left="426" w:hanging="426"/>
        <w:rPr>
          <w:bCs/>
        </w:rPr>
      </w:pPr>
    </w:p>
    <w:p w14:paraId="4C761B49" w14:textId="713C5246" w:rsidR="00F27C8A" w:rsidRPr="00D64E13" w:rsidRDefault="00D64E13" w:rsidP="007C2032">
      <w:pPr>
        <w:pStyle w:val="PRIMERAPLANA"/>
        <w:numPr>
          <w:ilvl w:val="0"/>
          <w:numId w:val="31"/>
        </w:numPr>
        <w:spacing w:line="360" w:lineRule="auto"/>
        <w:ind w:left="426" w:hanging="426"/>
        <w:rPr>
          <w:rFonts w:ascii="Times New Roman" w:hAnsi="Times New Roman"/>
          <w:bCs/>
        </w:rPr>
      </w:pPr>
      <w:r w:rsidRPr="00D64E13">
        <w:rPr>
          <w:rFonts w:ascii="Times New Roman" w:hAnsi="Times New Roman"/>
          <w:bCs/>
        </w:rPr>
        <w:t>Transformación de los procesos industriales y tecnificación del campo para la adaptación al cambio climático, y un uso más eficiente del agua, lo que incrementaría la resiliencia de la economía a eventos</w:t>
      </w:r>
      <w:r>
        <w:rPr>
          <w:rFonts w:ascii="Times New Roman" w:hAnsi="Times New Roman"/>
          <w:bCs/>
        </w:rPr>
        <w:t xml:space="preserve"> </w:t>
      </w:r>
      <w:r w:rsidRPr="00D64E13">
        <w:rPr>
          <w:rFonts w:ascii="Times New Roman" w:hAnsi="Times New Roman"/>
          <w:bCs/>
          <w:lang w:val="es-MX"/>
        </w:rPr>
        <w:t>climáticos adversos.</w:t>
      </w:r>
    </w:p>
    <w:tbl>
      <w:tblPr>
        <w:tblW w:w="8537" w:type="dxa"/>
        <w:jc w:val="center"/>
        <w:tblCellMar>
          <w:left w:w="70" w:type="dxa"/>
          <w:right w:w="70" w:type="dxa"/>
        </w:tblCellMar>
        <w:tblLook w:val="04A0" w:firstRow="1" w:lastRow="0" w:firstColumn="1" w:lastColumn="0" w:noHBand="0" w:noVBand="1"/>
      </w:tblPr>
      <w:tblGrid>
        <w:gridCol w:w="2268"/>
        <w:gridCol w:w="748"/>
        <w:gridCol w:w="903"/>
        <w:gridCol w:w="759"/>
        <w:gridCol w:w="851"/>
        <w:gridCol w:w="752"/>
        <w:gridCol w:w="752"/>
        <w:gridCol w:w="752"/>
        <w:gridCol w:w="705"/>
        <w:gridCol w:w="47"/>
      </w:tblGrid>
      <w:tr w:rsidR="00DC4844" w:rsidRPr="00DC4844" w14:paraId="7B24B52F" w14:textId="77777777" w:rsidTr="0020337D">
        <w:trPr>
          <w:gridAfter w:val="1"/>
          <w:wAfter w:w="47" w:type="dxa"/>
          <w:trHeight w:val="300"/>
          <w:tblHeader/>
          <w:jc w:val="center"/>
        </w:trPr>
        <w:tc>
          <w:tcPr>
            <w:tcW w:w="8490" w:type="dxa"/>
            <w:gridSpan w:val="9"/>
            <w:tcBorders>
              <w:top w:val="nil"/>
              <w:left w:val="nil"/>
              <w:bottom w:val="nil"/>
              <w:right w:val="nil"/>
            </w:tcBorders>
          </w:tcPr>
          <w:p w14:paraId="1580A800" w14:textId="16BF0BEE" w:rsidR="00DC4844" w:rsidRPr="00DC4844" w:rsidRDefault="00DC4844" w:rsidP="007245B8">
            <w:pPr>
              <w:jc w:val="center"/>
              <w:rPr>
                <w:b/>
                <w:bCs/>
                <w:color w:val="000000"/>
                <w:sz w:val="20"/>
                <w:szCs w:val="20"/>
              </w:rPr>
            </w:pPr>
            <w:r w:rsidRPr="00DC4844">
              <w:rPr>
                <w:b/>
                <w:bCs/>
                <w:color w:val="000000"/>
                <w:sz w:val="20"/>
                <w:szCs w:val="20"/>
              </w:rPr>
              <w:t>Marco Macroeconómico 202</w:t>
            </w:r>
            <w:r w:rsidR="00E9015F">
              <w:rPr>
                <w:b/>
                <w:bCs/>
                <w:color w:val="000000"/>
                <w:sz w:val="20"/>
                <w:szCs w:val="20"/>
              </w:rPr>
              <w:t>4</w:t>
            </w:r>
            <w:r w:rsidRPr="00DC4844">
              <w:rPr>
                <w:b/>
                <w:bCs/>
                <w:color w:val="000000"/>
                <w:sz w:val="20"/>
                <w:szCs w:val="20"/>
              </w:rPr>
              <w:t>-20</w:t>
            </w:r>
            <w:r w:rsidR="00E9015F">
              <w:rPr>
                <w:b/>
                <w:bCs/>
                <w:color w:val="000000"/>
                <w:sz w:val="20"/>
                <w:szCs w:val="20"/>
              </w:rPr>
              <w:t>31</w:t>
            </w:r>
          </w:p>
          <w:p w14:paraId="3C008615" w14:textId="14F269F6" w:rsidR="00DC4844" w:rsidRPr="00DC4844" w:rsidRDefault="00DC4844" w:rsidP="007245B8">
            <w:pPr>
              <w:jc w:val="center"/>
              <w:rPr>
                <w:b/>
                <w:bCs/>
                <w:color w:val="000000"/>
                <w:sz w:val="20"/>
                <w:szCs w:val="20"/>
                <w:lang w:eastAsia="es-MX"/>
              </w:rPr>
            </w:pPr>
            <w:r w:rsidRPr="00DC4844">
              <w:rPr>
                <w:b/>
                <w:bCs/>
                <w:color w:val="000000"/>
                <w:sz w:val="20"/>
                <w:szCs w:val="20"/>
              </w:rPr>
              <w:t>(Cifras estimadas)</w:t>
            </w:r>
          </w:p>
        </w:tc>
      </w:tr>
      <w:tr w:rsidR="00DC4844" w:rsidRPr="00DC4844" w14:paraId="04BF63E5" w14:textId="77777777" w:rsidTr="0020337D">
        <w:trPr>
          <w:trHeight w:val="300"/>
          <w:tblHeader/>
          <w:jc w:val="center"/>
        </w:trPr>
        <w:tc>
          <w:tcPr>
            <w:tcW w:w="2268" w:type="dxa"/>
            <w:tcBorders>
              <w:top w:val="single" w:sz="4" w:space="0" w:color="auto"/>
              <w:left w:val="nil"/>
              <w:bottom w:val="single" w:sz="4" w:space="0" w:color="auto"/>
              <w:right w:val="nil"/>
            </w:tcBorders>
            <w:shd w:val="clear" w:color="auto" w:fill="E4C776"/>
            <w:noWrap/>
            <w:vAlign w:val="center"/>
            <w:hideMark/>
          </w:tcPr>
          <w:p w14:paraId="4A47C755" w14:textId="77777777" w:rsidR="00DC4844" w:rsidRPr="00DC4844" w:rsidRDefault="00DC4844" w:rsidP="007245B8">
            <w:pPr>
              <w:rPr>
                <w:color w:val="000000"/>
                <w:sz w:val="12"/>
                <w:szCs w:val="12"/>
              </w:rPr>
            </w:pPr>
            <w:r w:rsidRPr="00DC4844">
              <w:rPr>
                <w:color w:val="000000"/>
                <w:sz w:val="12"/>
                <w:szCs w:val="12"/>
              </w:rPr>
              <w:t xml:space="preserve">  </w:t>
            </w:r>
          </w:p>
        </w:tc>
        <w:tc>
          <w:tcPr>
            <w:tcW w:w="748" w:type="dxa"/>
            <w:tcBorders>
              <w:top w:val="single" w:sz="4" w:space="0" w:color="auto"/>
              <w:left w:val="nil"/>
              <w:bottom w:val="single" w:sz="4" w:space="0" w:color="auto"/>
            </w:tcBorders>
            <w:shd w:val="clear" w:color="auto" w:fill="E4C776"/>
            <w:noWrap/>
            <w:vAlign w:val="center"/>
            <w:hideMark/>
          </w:tcPr>
          <w:p w14:paraId="07D8EEB6" w14:textId="3CF5225C" w:rsidR="00DC4844" w:rsidRPr="00DC4844" w:rsidRDefault="00DC4844" w:rsidP="007245B8">
            <w:pPr>
              <w:jc w:val="center"/>
              <w:rPr>
                <w:b/>
                <w:bCs/>
                <w:color w:val="740000"/>
                <w:sz w:val="12"/>
                <w:szCs w:val="12"/>
              </w:rPr>
            </w:pPr>
            <w:r w:rsidRPr="00DC4844">
              <w:rPr>
                <w:b/>
                <w:bCs/>
                <w:color w:val="740000"/>
                <w:sz w:val="12"/>
                <w:szCs w:val="12"/>
              </w:rPr>
              <w:t>2024*</w:t>
            </w:r>
          </w:p>
        </w:tc>
        <w:tc>
          <w:tcPr>
            <w:tcW w:w="903" w:type="dxa"/>
            <w:tcBorders>
              <w:top w:val="single" w:sz="4" w:space="0" w:color="auto"/>
              <w:bottom w:val="single" w:sz="4" w:space="0" w:color="auto"/>
              <w:right w:val="nil"/>
            </w:tcBorders>
            <w:shd w:val="clear" w:color="auto" w:fill="E4C776"/>
            <w:vAlign w:val="center"/>
          </w:tcPr>
          <w:p w14:paraId="4A576F83" w14:textId="77777777" w:rsidR="00DC4844" w:rsidRPr="00DC4844" w:rsidRDefault="00DC4844" w:rsidP="007245B8">
            <w:pPr>
              <w:jc w:val="center"/>
              <w:rPr>
                <w:b/>
                <w:bCs/>
                <w:color w:val="740000"/>
                <w:sz w:val="12"/>
                <w:szCs w:val="12"/>
              </w:rPr>
            </w:pPr>
            <w:r w:rsidRPr="00DC4844">
              <w:rPr>
                <w:b/>
                <w:bCs/>
                <w:color w:val="740000"/>
                <w:sz w:val="12"/>
                <w:szCs w:val="12"/>
              </w:rPr>
              <w:t>2025</w:t>
            </w:r>
          </w:p>
        </w:tc>
        <w:tc>
          <w:tcPr>
            <w:tcW w:w="759" w:type="dxa"/>
            <w:tcBorders>
              <w:top w:val="single" w:sz="4" w:space="0" w:color="auto"/>
              <w:bottom w:val="single" w:sz="4" w:space="0" w:color="auto"/>
              <w:right w:val="nil"/>
            </w:tcBorders>
            <w:shd w:val="clear" w:color="auto" w:fill="E4C776"/>
            <w:vAlign w:val="center"/>
          </w:tcPr>
          <w:p w14:paraId="3B5819A4" w14:textId="15F520DD" w:rsidR="00DC4844" w:rsidRPr="00DC4844" w:rsidRDefault="00DC4844" w:rsidP="007245B8">
            <w:pPr>
              <w:jc w:val="center"/>
              <w:rPr>
                <w:b/>
                <w:bCs/>
                <w:color w:val="740000"/>
                <w:sz w:val="12"/>
                <w:szCs w:val="12"/>
              </w:rPr>
            </w:pPr>
            <w:r w:rsidRPr="00DC4844">
              <w:rPr>
                <w:b/>
                <w:bCs/>
                <w:color w:val="740000"/>
                <w:sz w:val="12"/>
                <w:szCs w:val="12"/>
              </w:rPr>
              <w:t>2026</w:t>
            </w:r>
          </w:p>
        </w:tc>
        <w:tc>
          <w:tcPr>
            <w:tcW w:w="851" w:type="dxa"/>
            <w:tcBorders>
              <w:top w:val="single" w:sz="4" w:space="0" w:color="auto"/>
              <w:bottom w:val="single" w:sz="4" w:space="0" w:color="auto"/>
              <w:right w:val="nil"/>
            </w:tcBorders>
            <w:shd w:val="clear" w:color="auto" w:fill="E4C776"/>
            <w:vAlign w:val="center"/>
          </w:tcPr>
          <w:p w14:paraId="7ABACF12" w14:textId="5635E057" w:rsidR="00DC4844" w:rsidRPr="00DC4844" w:rsidRDefault="00DC4844" w:rsidP="007245B8">
            <w:pPr>
              <w:jc w:val="center"/>
              <w:rPr>
                <w:b/>
                <w:bCs/>
                <w:color w:val="740000"/>
                <w:sz w:val="12"/>
                <w:szCs w:val="12"/>
              </w:rPr>
            </w:pPr>
            <w:r w:rsidRPr="00DC4844">
              <w:rPr>
                <w:b/>
                <w:bCs/>
                <w:color w:val="740000"/>
                <w:sz w:val="12"/>
                <w:szCs w:val="12"/>
              </w:rPr>
              <w:t>2027</w:t>
            </w:r>
          </w:p>
        </w:tc>
        <w:tc>
          <w:tcPr>
            <w:tcW w:w="752" w:type="dxa"/>
            <w:tcBorders>
              <w:top w:val="single" w:sz="4" w:space="0" w:color="auto"/>
              <w:bottom w:val="single" w:sz="4" w:space="0" w:color="auto"/>
              <w:right w:val="nil"/>
            </w:tcBorders>
            <w:shd w:val="clear" w:color="auto" w:fill="E4C776"/>
            <w:vAlign w:val="center"/>
          </w:tcPr>
          <w:p w14:paraId="19382302" w14:textId="07AA5CA5" w:rsidR="00DC4844" w:rsidRPr="00DC4844" w:rsidRDefault="00DC4844" w:rsidP="007245B8">
            <w:pPr>
              <w:jc w:val="center"/>
              <w:rPr>
                <w:b/>
                <w:bCs/>
                <w:color w:val="740000"/>
                <w:sz w:val="12"/>
                <w:szCs w:val="12"/>
              </w:rPr>
            </w:pPr>
            <w:r w:rsidRPr="00DC4844">
              <w:rPr>
                <w:b/>
                <w:bCs/>
                <w:color w:val="740000"/>
                <w:sz w:val="12"/>
                <w:szCs w:val="12"/>
              </w:rPr>
              <w:t>2028</w:t>
            </w:r>
          </w:p>
        </w:tc>
        <w:tc>
          <w:tcPr>
            <w:tcW w:w="752" w:type="dxa"/>
            <w:tcBorders>
              <w:top w:val="single" w:sz="4" w:space="0" w:color="auto"/>
              <w:bottom w:val="single" w:sz="4" w:space="0" w:color="auto"/>
              <w:right w:val="nil"/>
            </w:tcBorders>
            <w:shd w:val="clear" w:color="auto" w:fill="E4C776"/>
            <w:vAlign w:val="center"/>
          </w:tcPr>
          <w:p w14:paraId="0F752B7E" w14:textId="04D8601F" w:rsidR="00DC4844" w:rsidRPr="00DC4844" w:rsidRDefault="00DC4844" w:rsidP="007245B8">
            <w:pPr>
              <w:jc w:val="center"/>
              <w:rPr>
                <w:b/>
                <w:bCs/>
                <w:color w:val="740000"/>
                <w:sz w:val="12"/>
                <w:szCs w:val="12"/>
              </w:rPr>
            </w:pPr>
            <w:r>
              <w:rPr>
                <w:b/>
                <w:bCs/>
                <w:color w:val="740000"/>
                <w:sz w:val="12"/>
                <w:szCs w:val="12"/>
              </w:rPr>
              <w:t>2029</w:t>
            </w:r>
          </w:p>
        </w:tc>
        <w:tc>
          <w:tcPr>
            <w:tcW w:w="752" w:type="dxa"/>
            <w:tcBorders>
              <w:top w:val="single" w:sz="4" w:space="0" w:color="auto"/>
              <w:bottom w:val="single" w:sz="4" w:space="0" w:color="auto"/>
              <w:right w:val="nil"/>
            </w:tcBorders>
            <w:shd w:val="clear" w:color="auto" w:fill="E4C776"/>
            <w:vAlign w:val="center"/>
          </w:tcPr>
          <w:p w14:paraId="4D115BE8" w14:textId="248D8A22" w:rsidR="00DC4844" w:rsidRPr="00DC4844" w:rsidRDefault="00DC4844" w:rsidP="007245B8">
            <w:pPr>
              <w:jc w:val="center"/>
              <w:rPr>
                <w:b/>
                <w:bCs/>
                <w:color w:val="740000"/>
                <w:sz w:val="12"/>
                <w:szCs w:val="12"/>
              </w:rPr>
            </w:pPr>
            <w:r>
              <w:rPr>
                <w:b/>
                <w:bCs/>
                <w:color w:val="740000"/>
                <w:sz w:val="12"/>
                <w:szCs w:val="12"/>
              </w:rPr>
              <w:t>2030</w:t>
            </w:r>
          </w:p>
        </w:tc>
        <w:tc>
          <w:tcPr>
            <w:tcW w:w="752" w:type="dxa"/>
            <w:gridSpan w:val="2"/>
            <w:tcBorders>
              <w:top w:val="single" w:sz="4" w:space="0" w:color="auto"/>
              <w:left w:val="nil"/>
              <w:bottom w:val="single" w:sz="4" w:space="0" w:color="auto"/>
              <w:right w:val="nil"/>
            </w:tcBorders>
            <w:shd w:val="clear" w:color="auto" w:fill="E4C776"/>
            <w:noWrap/>
            <w:vAlign w:val="center"/>
            <w:hideMark/>
          </w:tcPr>
          <w:p w14:paraId="175DCE48" w14:textId="51AB896A" w:rsidR="00DC4844" w:rsidRPr="00DC4844" w:rsidRDefault="00DC4844" w:rsidP="007245B8">
            <w:pPr>
              <w:jc w:val="center"/>
              <w:rPr>
                <w:b/>
                <w:bCs/>
                <w:color w:val="740000"/>
                <w:sz w:val="12"/>
                <w:szCs w:val="12"/>
              </w:rPr>
            </w:pPr>
            <w:r>
              <w:rPr>
                <w:b/>
                <w:bCs/>
                <w:color w:val="740000"/>
                <w:sz w:val="12"/>
                <w:szCs w:val="12"/>
              </w:rPr>
              <w:t>2031</w:t>
            </w:r>
          </w:p>
        </w:tc>
      </w:tr>
      <w:tr w:rsidR="0020337D" w:rsidRPr="00DC4844" w14:paraId="1CB210AE" w14:textId="77777777" w:rsidTr="0020337D">
        <w:trPr>
          <w:trHeight w:val="300"/>
          <w:jc w:val="center"/>
        </w:trPr>
        <w:tc>
          <w:tcPr>
            <w:tcW w:w="2268" w:type="dxa"/>
            <w:tcBorders>
              <w:top w:val="nil"/>
              <w:left w:val="nil"/>
              <w:bottom w:val="nil"/>
              <w:right w:val="nil"/>
            </w:tcBorders>
            <w:noWrap/>
            <w:vAlign w:val="bottom"/>
            <w:hideMark/>
          </w:tcPr>
          <w:p w14:paraId="3D680376" w14:textId="77777777" w:rsidR="0020337D" w:rsidRPr="00DC4844" w:rsidRDefault="0020337D" w:rsidP="0020337D">
            <w:pPr>
              <w:rPr>
                <w:b/>
                <w:bCs/>
                <w:color w:val="000000"/>
                <w:sz w:val="12"/>
                <w:szCs w:val="12"/>
              </w:rPr>
            </w:pPr>
            <w:r w:rsidRPr="00DC4844">
              <w:rPr>
                <w:b/>
                <w:bCs/>
                <w:color w:val="000000"/>
                <w:sz w:val="12"/>
                <w:szCs w:val="12"/>
              </w:rPr>
              <w:t xml:space="preserve">Producto Interno Bruto </w:t>
            </w:r>
          </w:p>
        </w:tc>
        <w:tc>
          <w:tcPr>
            <w:tcW w:w="748" w:type="dxa"/>
            <w:tcBorders>
              <w:top w:val="nil"/>
              <w:left w:val="nil"/>
              <w:bottom w:val="nil"/>
              <w:right w:val="nil"/>
            </w:tcBorders>
            <w:noWrap/>
            <w:vAlign w:val="bottom"/>
            <w:hideMark/>
          </w:tcPr>
          <w:p w14:paraId="5A599357" w14:textId="77777777" w:rsidR="0020337D" w:rsidRPr="00DC4844" w:rsidRDefault="0020337D" w:rsidP="0020337D">
            <w:pPr>
              <w:rPr>
                <w:b/>
                <w:bCs/>
                <w:color w:val="000000"/>
                <w:sz w:val="12"/>
                <w:szCs w:val="12"/>
              </w:rPr>
            </w:pPr>
          </w:p>
        </w:tc>
        <w:tc>
          <w:tcPr>
            <w:tcW w:w="903" w:type="dxa"/>
            <w:tcBorders>
              <w:top w:val="nil"/>
              <w:left w:val="nil"/>
              <w:bottom w:val="nil"/>
              <w:right w:val="nil"/>
            </w:tcBorders>
          </w:tcPr>
          <w:p w14:paraId="397669C4" w14:textId="77777777" w:rsidR="0020337D" w:rsidRPr="00DC4844" w:rsidRDefault="0020337D" w:rsidP="0020337D">
            <w:pPr>
              <w:rPr>
                <w:b/>
                <w:bCs/>
                <w:sz w:val="12"/>
                <w:szCs w:val="12"/>
              </w:rPr>
            </w:pPr>
          </w:p>
        </w:tc>
        <w:tc>
          <w:tcPr>
            <w:tcW w:w="759" w:type="dxa"/>
            <w:tcBorders>
              <w:top w:val="nil"/>
              <w:left w:val="nil"/>
              <w:bottom w:val="nil"/>
              <w:right w:val="nil"/>
            </w:tcBorders>
          </w:tcPr>
          <w:p w14:paraId="50BD6672" w14:textId="77777777" w:rsidR="0020337D" w:rsidRPr="00DC4844" w:rsidRDefault="0020337D" w:rsidP="0020337D">
            <w:pPr>
              <w:rPr>
                <w:b/>
                <w:bCs/>
                <w:sz w:val="12"/>
                <w:szCs w:val="12"/>
              </w:rPr>
            </w:pPr>
          </w:p>
        </w:tc>
        <w:tc>
          <w:tcPr>
            <w:tcW w:w="851" w:type="dxa"/>
            <w:tcBorders>
              <w:top w:val="nil"/>
              <w:left w:val="nil"/>
              <w:bottom w:val="nil"/>
              <w:right w:val="nil"/>
            </w:tcBorders>
          </w:tcPr>
          <w:p w14:paraId="7AAEF3E0" w14:textId="77777777" w:rsidR="0020337D" w:rsidRPr="00DC4844" w:rsidRDefault="0020337D" w:rsidP="0020337D">
            <w:pPr>
              <w:rPr>
                <w:b/>
                <w:bCs/>
                <w:sz w:val="12"/>
                <w:szCs w:val="12"/>
              </w:rPr>
            </w:pPr>
          </w:p>
        </w:tc>
        <w:tc>
          <w:tcPr>
            <w:tcW w:w="752" w:type="dxa"/>
            <w:tcBorders>
              <w:top w:val="nil"/>
              <w:left w:val="nil"/>
              <w:bottom w:val="nil"/>
              <w:right w:val="nil"/>
            </w:tcBorders>
          </w:tcPr>
          <w:p w14:paraId="37F1C07D" w14:textId="77777777" w:rsidR="0020337D" w:rsidRPr="00DC4844" w:rsidRDefault="0020337D" w:rsidP="0020337D">
            <w:pPr>
              <w:rPr>
                <w:b/>
                <w:bCs/>
                <w:sz w:val="12"/>
                <w:szCs w:val="12"/>
              </w:rPr>
            </w:pPr>
          </w:p>
        </w:tc>
        <w:tc>
          <w:tcPr>
            <w:tcW w:w="752" w:type="dxa"/>
            <w:tcBorders>
              <w:top w:val="nil"/>
              <w:left w:val="nil"/>
              <w:bottom w:val="nil"/>
              <w:right w:val="nil"/>
            </w:tcBorders>
          </w:tcPr>
          <w:p w14:paraId="60933417" w14:textId="77777777" w:rsidR="0020337D" w:rsidRPr="00DC4844" w:rsidRDefault="0020337D" w:rsidP="0020337D">
            <w:pPr>
              <w:rPr>
                <w:b/>
                <w:bCs/>
                <w:sz w:val="12"/>
                <w:szCs w:val="12"/>
              </w:rPr>
            </w:pPr>
          </w:p>
        </w:tc>
        <w:tc>
          <w:tcPr>
            <w:tcW w:w="752" w:type="dxa"/>
            <w:tcBorders>
              <w:top w:val="nil"/>
              <w:left w:val="nil"/>
              <w:bottom w:val="nil"/>
              <w:right w:val="nil"/>
            </w:tcBorders>
          </w:tcPr>
          <w:p w14:paraId="45144AC3" w14:textId="77777777" w:rsidR="0020337D" w:rsidRPr="00DC4844" w:rsidRDefault="0020337D" w:rsidP="0020337D">
            <w:pPr>
              <w:rPr>
                <w:b/>
                <w:bCs/>
                <w:sz w:val="12"/>
                <w:szCs w:val="12"/>
              </w:rPr>
            </w:pPr>
          </w:p>
        </w:tc>
        <w:tc>
          <w:tcPr>
            <w:tcW w:w="752" w:type="dxa"/>
            <w:gridSpan w:val="2"/>
            <w:tcBorders>
              <w:top w:val="nil"/>
              <w:left w:val="nil"/>
              <w:bottom w:val="nil"/>
              <w:right w:val="nil"/>
            </w:tcBorders>
            <w:noWrap/>
            <w:vAlign w:val="bottom"/>
            <w:hideMark/>
          </w:tcPr>
          <w:p w14:paraId="0EC45308" w14:textId="2DFFB01E" w:rsidR="0020337D" w:rsidRPr="00DC4844" w:rsidRDefault="0020337D" w:rsidP="0020337D">
            <w:pPr>
              <w:rPr>
                <w:b/>
                <w:bCs/>
                <w:sz w:val="12"/>
                <w:szCs w:val="12"/>
              </w:rPr>
            </w:pPr>
          </w:p>
        </w:tc>
      </w:tr>
      <w:tr w:rsidR="0020337D" w:rsidRPr="00DC4844" w14:paraId="0A7C3A82" w14:textId="77777777" w:rsidTr="0098555B">
        <w:trPr>
          <w:trHeight w:val="300"/>
          <w:jc w:val="center"/>
        </w:trPr>
        <w:tc>
          <w:tcPr>
            <w:tcW w:w="2268" w:type="dxa"/>
            <w:tcBorders>
              <w:top w:val="nil"/>
              <w:left w:val="nil"/>
              <w:bottom w:val="nil"/>
              <w:right w:val="nil"/>
            </w:tcBorders>
            <w:shd w:val="clear" w:color="000000" w:fill="F2F2F2"/>
            <w:noWrap/>
            <w:vAlign w:val="bottom"/>
            <w:hideMark/>
          </w:tcPr>
          <w:p w14:paraId="7636B495" w14:textId="77777777" w:rsidR="0020337D" w:rsidRPr="00DC4844" w:rsidRDefault="0020337D" w:rsidP="0020337D">
            <w:pPr>
              <w:rPr>
                <w:color w:val="000000"/>
                <w:sz w:val="12"/>
                <w:szCs w:val="12"/>
              </w:rPr>
            </w:pPr>
            <w:r w:rsidRPr="00DC4844">
              <w:rPr>
                <w:color w:val="000000"/>
                <w:sz w:val="12"/>
                <w:szCs w:val="12"/>
              </w:rPr>
              <w:t xml:space="preserve">     Crecimiento % real (rango) </w:t>
            </w:r>
          </w:p>
        </w:tc>
        <w:tc>
          <w:tcPr>
            <w:tcW w:w="748" w:type="dxa"/>
            <w:tcBorders>
              <w:top w:val="nil"/>
              <w:left w:val="nil"/>
              <w:bottom w:val="nil"/>
              <w:right w:val="nil"/>
            </w:tcBorders>
            <w:shd w:val="clear" w:color="000000" w:fill="F2F2F2"/>
            <w:noWrap/>
            <w:vAlign w:val="bottom"/>
            <w:hideMark/>
          </w:tcPr>
          <w:p w14:paraId="2BBA9C03" w14:textId="76EE923A" w:rsidR="0020337D" w:rsidRPr="00DC4844" w:rsidRDefault="0020337D" w:rsidP="0020337D">
            <w:pPr>
              <w:jc w:val="right"/>
              <w:rPr>
                <w:color w:val="000000"/>
                <w:sz w:val="12"/>
                <w:szCs w:val="12"/>
              </w:rPr>
            </w:pPr>
            <w:r>
              <w:rPr>
                <w:color w:val="000000"/>
                <w:sz w:val="12"/>
                <w:szCs w:val="12"/>
              </w:rPr>
              <w:t>1.4</w:t>
            </w:r>
            <w:r w:rsidRPr="00DC4844">
              <w:rPr>
                <w:color w:val="000000"/>
                <w:sz w:val="12"/>
                <w:szCs w:val="12"/>
              </w:rPr>
              <w:t xml:space="preserve"> </w:t>
            </w:r>
          </w:p>
        </w:tc>
        <w:tc>
          <w:tcPr>
            <w:tcW w:w="903" w:type="dxa"/>
            <w:tcBorders>
              <w:top w:val="nil"/>
              <w:left w:val="nil"/>
              <w:bottom w:val="nil"/>
              <w:right w:val="nil"/>
            </w:tcBorders>
            <w:shd w:val="clear" w:color="000000" w:fill="F2F2F2"/>
            <w:vAlign w:val="bottom"/>
          </w:tcPr>
          <w:p w14:paraId="30FFD783" w14:textId="77777777" w:rsidR="0020337D" w:rsidRPr="00DC4844" w:rsidRDefault="0020337D" w:rsidP="0020337D">
            <w:pPr>
              <w:jc w:val="right"/>
              <w:rPr>
                <w:color w:val="000000"/>
                <w:sz w:val="12"/>
                <w:szCs w:val="12"/>
              </w:rPr>
            </w:pPr>
            <w:r w:rsidRPr="00DC4844">
              <w:rPr>
                <w:color w:val="000000"/>
                <w:sz w:val="12"/>
                <w:szCs w:val="12"/>
              </w:rPr>
              <w:t xml:space="preserve">     [0.5, 1.5] </w:t>
            </w:r>
          </w:p>
        </w:tc>
        <w:tc>
          <w:tcPr>
            <w:tcW w:w="759" w:type="dxa"/>
            <w:tcBorders>
              <w:top w:val="nil"/>
              <w:left w:val="nil"/>
              <w:bottom w:val="nil"/>
              <w:right w:val="nil"/>
            </w:tcBorders>
            <w:shd w:val="clear" w:color="000000" w:fill="F2F2F2"/>
            <w:vAlign w:val="bottom"/>
          </w:tcPr>
          <w:p w14:paraId="3B0E85CB" w14:textId="265844EB"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w:t>
            </w:r>
            <w:r w:rsidR="00FC06C0">
              <w:rPr>
                <w:color w:val="000000"/>
                <w:sz w:val="12"/>
                <w:szCs w:val="12"/>
              </w:rPr>
              <w:t>8</w:t>
            </w:r>
            <w:r w:rsidRPr="00DC4844">
              <w:rPr>
                <w:color w:val="000000"/>
                <w:sz w:val="12"/>
                <w:szCs w:val="12"/>
              </w:rPr>
              <w:t xml:space="preserve">, </w:t>
            </w:r>
            <w:r w:rsidR="00FC06C0">
              <w:rPr>
                <w:color w:val="000000"/>
                <w:sz w:val="12"/>
                <w:szCs w:val="12"/>
              </w:rPr>
              <w:t>2</w:t>
            </w:r>
            <w:r w:rsidRPr="00DC4844">
              <w:rPr>
                <w:color w:val="000000"/>
                <w:sz w:val="12"/>
                <w:szCs w:val="12"/>
              </w:rPr>
              <w:t>.</w:t>
            </w:r>
            <w:r w:rsidR="00FC06C0">
              <w:rPr>
                <w:color w:val="000000"/>
                <w:sz w:val="12"/>
                <w:szCs w:val="12"/>
              </w:rPr>
              <w:t>8</w:t>
            </w:r>
            <w:r w:rsidRPr="00DC4844">
              <w:rPr>
                <w:color w:val="000000"/>
                <w:sz w:val="12"/>
                <w:szCs w:val="12"/>
              </w:rPr>
              <w:t xml:space="preserve">] </w:t>
            </w:r>
          </w:p>
        </w:tc>
        <w:tc>
          <w:tcPr>
            <w:tcW w:w="851" w:type="dxa"/>
            <w:tcBorders>
              <w:top w:val="nil"/>
              <w:left w:val="nil"/>
              <w:bottom w:val="nil"/>
              <w:right w:val="nil"/>
            </w:tcBorders>
            <w:shd w:val="clear" w:color="000000" w:fill="F2F2F2"/>
            <w:vAlign w:val="bottom"/>
          </w:tcPr>
          <w:p w14:paraId="2ECA7257" w14:textId="771B9F31"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 xml:space="preserve">.5, </w:t>
            </w:r>
            <w:r w:rsidR="00FC06C0">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49CAD1A0" w14:textId="55E13264"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 xml:space="preserve">.5, </w:t>
            </w:r>
            <w:r w:rsidR="00FC06C0">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2A5667C8" w14:textId="089D12D7"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 xml:space="preserve">.5, </w:t>
            </w:r>
            <w:r w:rsidR="00FC06C0">
              <w:rPr>
                <w:color w:val="000000"/>
                <w:sz w:val="12"/>
                <w:szCs w:val="12"/>
              </w:rPr>
              <w:t>2</w:t>
            </w:r>
            <w:r w:rsidRPr="00DC4844">
              <w:rPr>
                <w:color w:val="000000"/>
                <w:sz w:val="12"/>
                <w:szCs w:val="12"/>
              </w:rPr>
              <w:t xml:space="preserve">.5] </w:t>
            </w:r>
          </w:p>
        </w:tc>
        <w:tc>
          <w:tcPr>
            <w:tcW w:w="752" w:type="dxa"/>
            <w:tcBorders>
              <w:top w:val="nil"/>
              <w:left w:val="nil"/>
              <w:bottom w:val="nil"/>
              <w:right w:val="nil"/>
            </w:tcBorders>
            <w:shd w:val="clear" w:color="000000" w:fill="F2F2F2"/>
            <w:vAlign w:val="bottom"/>
          </w:tcPr>
          <w:p w14:paraId="23E55D51" w14:textId="5AF96B79"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 xml:space="preserve">.5, </w:t>
            </w:r>
            <w:r w:rsidR="00FC06C0">
              <w:rPr>
                <w:color w:val="000000"/>
                <w:sz w:val="12"/>
                <w:szCs w:val="12"/>
              </w:rPr>
              <w:t>2</w:t>
            </w:r>
            <w:r w:rsidRPr="00DC4844">
              <w:rPr>
                <w:color w:val="000000"/>
                <w:sz w:val="12"/>
                <w:szCs w:val="12"/>
              </w:rPr>
              <w:t xml:space="preserve">.5] </w:t>
            </w:r>
          </w:p>
        </w:tc>
        <w:tc>
          <w:tcPr>
            <w:tcW w:w="752" w:type="dxa"/>
            <w:gridSpan w:val="2"/>
            <w:tcBorders>
              <w:top w:val="nil"/>
              <w:left w:val="nil"/>
              <w:bottom w:val="nil"/>
              <w:right w:val="nil"/>
            </w:tcBorders>
            <w:shd w:val="clear" w:color="000000" w:fill="F2F2F2"/>
            <w:noWrap/>
            <w:vAlign w:val="bottom"/>
            <w:hideMark/>
          </w:tcPr>
          <w:p w14:paraId="61FB8DCF" w14:textId="2F42365A" w:rsidR="0020337D" w:rsidRPr="00DC4844" w:rsidRDefault="0020337D" w:rsidP="0020337D">
            <w:pPr>
              <w:jc w:val="right"/>
              <w:rPr>
                <w:color w:val="000000"/>
                <w:sz w:val="12"/>
                <w:szCs w:val="12"/>
              </w:rPr>
            </w:pPr>
            <w:r w:rsidRPr="00DC4844">
              <w:rPr>
                <w:color w:val="000000"/>
                <w:sz w:val="12"/>
                <w:szCs w:val="12"/>
              </w:rPr>
              <w:t xml:space="preserve">     [</w:t>
            </w:r>
            <w:r w:rsidR="00FC06C0">
              <w:rPr>
                <w:color w:val="000000"/>
                <w:sz w:val="12"/>
                <w:szCs w:val="12"/>
              </w:rPr>
              <w:t>1</w:t>
            </w:r>
            <w:r w:rsidRPr="00DC4844">
              <w:rPr>
                <w:color w:val="000000"/>
                <w:sz w:val="12"/>
                <w:szCs w:val="12"/>
              </w:rPr>
              <w:t>.</w:t>
            </w:r>
            <w:r w:rsidR="00FC06C0">
              <w:rPr>
                <w:color w:val="000000"/>
                <w:sz w:val="12"/>
                <w:szCs w:val="12"/>
              </w:rPr>
              <w:t>5</w:t>
            </w:r>
            <w:r w:rsidRPr="00DC4844">
              <w:rPr>
                <w:color w:val="000000"/>
                <w:sz w:val="12"/>
                <w:szCs w:val="12"/>
              </w:rPr>
              <w:t>, 2.</w:t>
            </w:r>
            <w:r w:rsidR="00FC06C0">
              <w:rPr>
                <w:color w:val="000000"/>
                <w:sz w:val="12"/>
                <w:szCs w:val="12"/>
              </w:rPr>
              <w:t>5</w:t>
            </w:r>
            <w:r w:rsidRPr="00DC4844">
              <w:rPr>
                <w:color w:val="000000"/>
                <w:sz w:val="12"/>
                <w:szCs w:val="12"/>
              </w:rPr>
              <w:t xml:space="preserve">] </w:t>
            </w:r>
          </w:p>
        </w:tc>
      </w:tr>
      <w:tr w:rsidR="0020337D" w:rsidRPr="00DC4844" w14:paraId="2C71C73A" w14:textId="77777777" w:rsidTr="0098555B">
        <w:trPr>
          <w:trHeight w:val="300"/>
          <w:jc w:val="center"/>
        </w:trPr>
        <w:tc>
          <w:tcPr>
            <w:tcW w:w="2268" w:type="dxa"/>
            <w:tcBorders>
              <w:top w:val="nil"/>
              <w:left w:val="nil"/>
              <w:bottom w:val="nil"/>
              <w:right w:val="nil"/>
            </w:tcBorders>
            <w:noWrap/>
            <w:vAlign w:val="bottom"/>
            <w:hideMark/>
          </w:tcPr>
          <w:p w14:paraId="5ADD4DD0" w14:textId="77777777" w:rsidR="0020337D" w:rsidRPr="00DC4844" w:rsidRDefault="0020337D" w:rsidP="0020337D">
            <w:pPr>
              <w:rPr>
                <w:color w:val="000000"/>
                <w:sz w:val="12"/>
                <w:szCs w:val="12"/>
              </w:rPr>
            </w:pPr>
            <w:r w:rsidRPr="00DC4844">
              <w:rPr>
                <w:color w:val="000000"/>
                <w:sz w:val="12"/>
                <w:szCs w:val="12"/>
              </w:rPr>
              <w:t xml:space="preserve">     Nominal (miles de millones de pesos) </w:t>
            </w:r>
          </w:p>
        </w:tc>
        <w:tc>
          <w:tcPr>
            <w:tcW w:w="748" w:type="dxa"/>
            <w:tcBorders>
              <w:top w:val="nil"/>
              <w:left w:val="nil"/>
              <w:bottom w:val="nil"/>
              <w:right w:val="nil"/>
            </w:tcBorders>
            <w:noWrap/>
            <w:vAlign w:val="bottom"/>
            <w:hideMark/>
          </w:tcPr>
          <w:p w14:paraId="76FF146D" w14:textId="3F5FF1A9" w:rsidR="0020337D" w:rsidRPr="00DC4844" w:rsidRDefault="0020337D" w:rsidP="0020337D">
            <w:pPr>
              <w:jc w:val="right"/>
              <w:rPr>
                <w:color w:val="000000"/>
                <w:sz w:val="12"/>
                <w:szCs w:val="12"/>
              </w:rPr>
            </w:pPr>
            <w:r w:rsidRPr="00DC4844">
              <w:rPr>
                <w:color w:val="000000"/>
                <w:sz w:val="12"/>
                <w:szCs w:val="12"/>
              </w:rPr>
              <w:t>3</w:t>
            </w:r>
            <w:r>
              <w:rPr>
                <w:color w:val="000000"/>
                <w:sz w:val="12"/>
                <w:szCs w:val="12"/>
              </w:rPr>
              <w:t>3</w:t>
            </w:r>
            <w:r w:rsidRPr="00DC4844">
              <w:rPr>
                <w:color w:val="000000"/>
                <w:sz w:val="12"/>
                <w:szCs w:val="12"/>
              </w:rPr>
              <w:t>,</w:t>
            </w:r>
            <w:r>
              <w:rPr>
                <w:color w:val="000000"/>
                <w:sz w:val="12"/>
                <w:szCs w:val="12"/>
              </w:rPr>
              <w:t>980</w:t>
            </w:r>
            <w:r w:rsidRPr="00DC4844">
              <w:rPr>
                <w:color w:val="000000"/>
                <w:sz w:val="12"/>
                <w:szCs w:val="12"/>
              </w:rPr>
              <w:t>.</w:t>
            </w:r>
            <w:r>
              <w:rPr>
                <w:color w:val="000000"/>
                <w:sz w:val="12"/>
                <w:szCs w:val="12"/>
              </w:rPr>
              <w:t>5</w:t>
            </w:r>
          </w:p>
        </w:tc>
        <w:tc>
          <w:tcPr>
            <w:tcW w:w="903" w:type="dxa"/>
            <w:tcBorders>
              <w:top w:val="nil"/>
              <w:left w:val="nil"/>
              <w:bottom w:val="nil"/>
              <w:right w:val="nil"/>
            </w:tcBorders>
            <w:vAlign w:val="bottom"/>
          </w:tcPr>
          <w:p w14:paraId="32BFA112" w14:textId="77777777" w:rsidR="0020337D" w:rsidRPr="00DC4844" w:rsidRDefault="0020337D" w:rsidP="0020337D">
            <w:pPr>
              <w:jc w:val="right"/>
              <w:rPr>
                <w:color w:val="000000"/>
                <w:sz w:val="12"/>
                <w:szCs w:val="12"/>
              </w:rPr>
            </w:pPr>
            <w:r w:rsidRPr="00DC4844">
              <w:rPr>
                <w:color w:val="000000"/>
                <w:sz w:val="12"/>
                <w:szCs w:val="12"/>
              </w:rPr>
              <w:t>36,125.5</w:t>
            </w:r>
          </w:p>
        </w:tc>
        <w:tc>
          <w:tcPr>
            <w:tcW w:w="759" w:type="dxa"/>
            <w:tcBorders>
              <w:top w:val="nil"/>
              <w:left w:val="nil"/>
              <w:bottom w:val="nil"/>
              <w:right w:val="nil"/>
            </w:tcBorders>
            <w:vAlign w:val="bottom"/>
          </w:tcPr>
          <w:p w14:paraId="358BC2DE" w14:textId="54E500EA"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8</w:t>
            </w:r>
            <w:r w:rsidRPr="00DC4844">
              <w:rPr>
                <w:color w:val="000000"/>
                <w:sz w:val="12"/>
                <w:szCs w:val="12"/>
              </w:rPr>
              <w:t>,</w:t>
            </w:r>
            <w:r w:rsidR="00FC06C0">
              <w:rPr>
                <w:color w:val="000000"/>
                <w:sz w:val="12"/>
                <w:szCs w:val="12"/>
              </w:rPr>
              <w:t>715</w:t>
            </w:r>
            <w:r w:rsidRPr="00DC4844">
              <w:rPr>
                <w:color w:val="000000"/>
                <w:sz w:val="12"/>
                <w:szCs w:val="12"/>
              </w:rPr>
              <w:t>.</w:t>
            </w:r>
            <w:r w:rsidR="00FC06C0">
              <w:rPr>
                <w:color w:val="000000"/>
                <w:sz w:val="12"/>
                <w:szCs w:val="12"/>
              </w:rPr>
              <w:t>9</w:t>
            </w:r>
          </w:p>
        </w:tc>
        <w:tc>
          <w:tcPr>
            <w:tcW w:w="851" w:type="dxa"/>
            <w:tcBorders>
              <w:top w:val="nil"/>
              <w:left w:val="nil"/>
              <w:bottom w:val="nil"/>
              <w:right w:val="nil"/>
            </w:tcBorders>
            <w:vAlign w:val="bottom"/>
          </w:tcPr>
          <w:p w14:paraId="0B9A087F" w14:textId="4B995A54" w:rsidR="0020337D" w:rsidRPr="00DC4844" w:rsidRDefault="00FC06C0" w:rsidP="0020337D">
            <w:pPr>
              <w:jc w:val="right"/>
              <w:rPr>
                <w:color w:val="000000"/>
                <w:sz w:val="12"/>
                <w:szCs w:val="12"/>
              </w:rPr>
            </w:pPr>
            <w:r>
              <w:rPr>
                <w:color w:val="000000"/>
                <w:sz w:val="12"/>
                <w:szCs w:val="12"/>
              </w:rPr>
              <w:t>41</w:t>
            </w:r>
            <w:r w:rsidR="0020337D" w:rsidRPr="00DC4844">
              <w:rPr>
                <w:color w:val="000000"/>
                <w:sz w:val="12"/>
                <w:szCs w:val="12"/>
              </w:rPr>
              <w:t>,1</w:t>
            </w:r>
            <w:r>
              <w:rPr>
                <w:color w:val="000000"/>
                <w:sz w:val="12"/>
                <w:szCs w:val="12"/>
              </w:rPr>
              <w:t>8</w:t>
            </w:r>
            <w:r w:rsidR="0020337D" w:rsidRPr="00DC4844">
              <w:rPr>
                <w:color w:val="000000"/>
                <w:sz w:val="12"/>
                <w:szCs w:val="12"/>
              </w:rPr>
              <w:t>5.</w:t>
            </w:r>
            <w:r>
              <w:rPr>
                <w:color w:val="000000"/>
                <w:sz w:val="12"/>
                <w:szCs w:val="12"/>
              </w:rPr>
              <w:t>1</w:t>
            </w:r>
          </w:p>
        </w:tc>
        <w:tc>
          <w:tcPr>
            <w:tcW w:w="752" w:type="dxa"/>
            <w:tcBorders>
              <w:top w:val="nil"/>
              <w:left w:val="nil"/>
              <w:bottom w:val="nil"/>
              <w:right w:val="nil"/>
            </w:tcBorders>
            <w:vAlign w:val="bottom"/>
          </w:tcPr>
          <w:p w14:paraId="0A3EB79B" w14:textId="03D5BB44" w:rsidR="0020337D" w:rsidRPr="00DC4844" w:rsidRDefault="00FC06C0" w:rsidP="0020337D">
            <w:pPr>
              <w:jc w:val="right"/>
              <w:rPr>
                <w:color w:val="000000"/>
                <w:sz w:val="12"/>
                <w:szCs w:val="12"/>
              </w:rPr>
            </w:pPr>
            <w:r>
              <w:rPr>
                <w:color w:val="000000"/>
                <w:sz w:val="12"/>
                <w:szCs w:val="12"/>
              </w:rPr>
              <w:t>43</w:t>
            </w:r>
            <w:r w:rsidR="0020337D" w:rsidRPr="00DC4844">
              <w:rPr>
                <w:color w:val="000000"/>
                <w:sz w:val="12"/>
                <w:szCs w:val="12"/>
              </w:rPr>
              <w:t>,</w:t>
            </w:r>
            <w:r>
              <w:rPr>
                <w:color w:val="000000"/>
                <w:sz w:val="12"/>
                <w:szCs w:val="12"/>
              </w:rPr>
              <w:t>712</w:t>
            </w:r>
            <w:r w:rsidR="0020337D" w:rsidRPr="00DC4844">
              <w:rPr>
                <w:color w:val="000000"/>
                <w:sz w:val="12"/>
                <w:szCs w:val="12"/>
              </w:rPr>
              <w:t>.</w:t>
            </w:r>
            <w:r>
              <w:rPr>
                <w:color w:val="000000"/>
                <w:sz w:val="12"/>
                <w:szCs w:val="12"/>
              </w:rPr>
              <w:t>6</w:t>
            </w:r>
          </w:p>
        </w:tc>
        <w:tc>
          <w:tcPr>
            <w:tcW w:w="752" w:type="dxa"/>
            <w:tcBorders>
              <w:top w:val="nil"/>
              <w:left w:val="nil"/>
              <w:bottom w:val="nil"/>
              <w:right w:val="nil"/>
            </w:tcBorders>
            <w:vAlign w:val="bottom"/>
          </w:tcPr>
          <w:p w14:paraId="35C7824B" w14:textId="797FBEB3"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6,</w:t>
            </w:r>
            <w:r>
              <w:rPr>
                <w:color w:val="000000"/>
                <w:sz w:val="12"/>
                <w:szCs w:val="12"/>
              </w:rPr>
              <w:t>377</w:t>
            </w:r>
            <w:r w:rsidR="0020337D" w:rsidRPr="00DC4844">
              <w:rPr>
                <w:color w:val="000000"/>
                <w:sz w:val="12"/>
                <w:szCs w:val="12"/>
              </w:rPr>
              <w:t>.</w:t>
            </w:r>
            <w:r>
              <w:rPr>
                <w:color w:val="000000"/>
                <w:sz w:val="12"/>
                <w:szCs w:val="12"/>
              </w:rPr>
              <w:t>1</w:t>
            </w:r>
          </w:p>
        </w:tc>
        <w:tc>
          <w:tcPr>
            <w:tcW w:w="752" w:type="dxa"/>
            <w:tcBorders>
              <w:top w:val="nil"/>
              <w:left w:val="nil"/>
              <w:bottom w:val="nil"/>
              <w:right w:val="nil"/>
            </w:tcBorders>
            <w:vAlign w:val="bottom"/>
          </w:tcPr>
          <w:p w14:paraId="103E72F7" w14:textId="208DD1B9" w:rsidR="0020337D" w:rsidRPr="00DC4844" w:rsidRDefault="00FC06C0" w:rsidP="0020337D">
            <w:pPr>
              <w:jc w:val="right"/>
              <w:rPr>
                <w:color w:val="000000"/>
                <w:sz w:val="12"/>
                <w:szCs w:val="12"/>
              </w:rPr>
            </w:pPr>
            <w:r>
              <w:rPr>
                <w:color w:val="000000"/>
                <w:sz w:val="12"/>
                <w:szCs w:val="12"/>
              </w:rPr>
              <w:t>49</w:t>
            </w:r>
            <w:r w:rsidR="0020337D" w:rsidRPr="00DC4844">
              <w:rPr>
                <w:color w:val="000000"/>
                <w:sz w:val="12"/>
                <w:szCs w:val="12"/>
              </w:rPr>
              <w:t>,</w:t>
            </w:r>
            <w:r>
              <w:rPr>
                <w:color w:val="000000"/>
                <w:sz w:val="12"/>
                <w:szCs w:val="12"/>
              </w:rPr>
              <w:t>203</w:t>
            </w:r>
            <w:r w:rsidR="0020337D" w:rsidRPr="00DC4844">
              <w:rPr>
                <w:color w:val="000000"/>
                <w:sz w:val="12"/>
                <w:szCs w:val="12"/>
              </w:rPr>
              <w:t>.5</w:t>
            </w:r>
          </w:p>
        </w:tc>
        <w:tc>
          <w:tcPr>
            <w:tcW w:w="752" w:type="dxa"/>
            <w:gridSpan w:val="2"/>
            <w:tcBorders>
              <w:top w:val="nil"/>
              <w:left w:val="nil"/>
              <w:bottom w:val="nil"/>
              <w:right w:val="nil"/>
            </w:tcBorders>
            <w:noWrap/>
            <w:vAlign w:val="bottom"/>
            <w:hideMark/>
          </w:tcPr>
          <w:p w14:paraId="7C92F299" w14:textId="3EE44F6D" w:rsidR="0020337D" w:rsidRPr="00DC4844" w:rsidRDefault="00FC06C0" w:rsidP="0020337D">
            <w:pPr>
              <w:jc w:val="right"/>
              <w:rPr>
                <w:color w:val="000000"/>
                <w:sz w:val="12"/>
                <w:szCs w:val="12"/>
              </w:rPr>
            </w:pPr>
            <w:r>
              <w:rPr>
                <w:color w:val="000000"/>
                <w:sz w:val="12"/>
                <w:szCs w:val="12"/>
              </w:rPr>
              <w:t>52</w:t>
            </w:r>
            <w:r w:rsidR="0020337D" w:rsidRPr="00DC4844">
              <w:rPr>
                <w:color w:val="000000"/>
                <w:sz w:val="12"/>
                <w:szCs w:val="12"/>
              </w:rPr>
              <w:t>,</w:t>
            </w:r>
            <w:r>
              <w:rPr>
                <w:color w:val="000000"/>
                <w:sz w:val="12"/>
                <w:szCs w:val="12"/>
              </w:rPr>
              <w:t>213</w:t>
            </w:r>
            <w:r w:rsidR="0020337D" w:rsidRPr="00DC4844">
              <w:rPr>
                <w:color w:val="000000"/>
                <w:sz w:val="12"/>
                <w:szCs w:val="12"/>
              </w:rPr>
              <w:t>.</w:t>
            </w:r>
            <w:r>
              <w:rPr>
                <w:color w:val="000000"/>
                <w:sz w:val="12"/>
                <w:szCs w:val="12"/>
              </w:rPr>
              <w:t>8</w:t>
            </w:r>
          </w:p>
        </w:tc>
      </w:tr>
      <w:tr w:rsidR="0020337D" w:rsidRPr="00DC4844" w14:paraId="5DD04E0A" w14:textId="77777777" w:rsidTr="0098555B">
        <w:trPr>
          <w:trHeight w:val="300"/>
          <w:jc w:val="center"/>
        </w:trPr>
        <w:tc>
          <w:tcPr>
            <w:tcW w:w="2268" w:type="dxa"/>
            <w:tcBorders>
              <w:top w:val="nil"/>
              <w:left w:val="nil"/>
              <w:bottom w:val="nil"/>
              <w:right w:val="nil"/>
            </w:tcBorders>
            <w:shd w:val="clear" w:color="000000" w:fill="F2F2F2"/>
            <w:noWrap/>
            <w:vAlign w:val="bottom"/>
            <w:hideMark/>
          </w:tcPr>
          <w:p w14:paraId="23F4C86D" w14:textId="77777777" w:rsidR="0020337D" w:rsidRPr="00DC4844" w:rsidRDefault="0020337D" w:rsidP="0020337D">
            <w:pPr>
              <w:rPr>
                <w:color w:val="000000"/>
                <w:sz w:val="12"/>
                <w:szCs w:val="12"/>
              </w:rPr>
            </w:pPr>
            <w:r w:rsidRPr="00DC4844">
              <w:rPr>
                <w:color w:val="000000"/>
                <w:sz w:val="12"/>
                <w:szCs w:val="12"/>
              </w:rPr>
              <w:t xml:space="preserve">     Deflactor del PIB  </w:t>
            </w:r>
          </w:p>
        </w:tc>
        <w:tc>
          <w:tcPr>
            <w:tcW w:w="748" w:type="dxa"/>
            <w:tcBorders>
              <w:top w:val="nil"/>
              <w:left w:val="nil"/>
              <w:bottom w:val="nil"/>
              <w:right w:val="nil"/>
            </w:tcBorders>
            <w:shd w:val="clear" w:color="000000" w:fill="F2F2F2"/>
            <w:noWrap/>
            <w:vAlign w:val="bottom"/>
            <w:hideMark/>
          </w:tcPr>
          <w:p w14:paraId="00B9B499" w14:textId="093C7D77" w:rsidR="0020337D" w:rsidRPr="00DC4844" w:rsidRDefault="0020337D" w:rsidP="0020337D">
            <w:pPr>
              <w:jc w:val="right"/>
              <w:rPr>
                <w:color w:val="000000"/>
                <w:sz w:val="12"/>
                <w:szCs w:val="12"/>
              </w:rPr>
            </w:pPr>
            <w:r w:rsidRPr="00DC4844">
              <w:rPr>
                <w:color w:val="000000"/>
                <w:sz w:val="12"/>
                <w:szCs w:val="12"/>
              </w:rPr>
              <w:t>4.</w:t>
            </w:r>
            <w:r>
              <w:rPr>
                <w:color w:val="000000"/>
                <w:sz w:val="12"/>
                <w:szCs w:val="12"/>
              </w:rPr>
              <w:t>9</w:t>
            </w:r>
          </w:p>
        </w:tc>
        <w:tc>
          <w:tcPr>
            <w:tcW w:w="903" w:type="dxa"/>
            <w:tcBorders>
              <w:top w:val="nil"/>
              <w:left w:val="nil"/>
              <w:bottom w:val="nil"/>
              <w:right w:val="nil"/>
            </w:tcBorders>
            <w:shd w:val="clear" w:color="000000" w:fill="F2F2F2"/>
            <w:vAlign w:val="bottom"/>
          </w:tcPr>
          <w:p w14:paraId="6F52117E" w14:textId="77777777" w:rsidR="0020337D" w:rsidRPr="00DC4844" w:rsidRDefault="0020337D" w:rsidP="0020337D">
            <w:pPr>
              <w:jc w:val="right"/>
              <w:rPr>
                <w:color w:val="000000"/>
                <w:sz w:val="12"/>
                <w:szCs w:val="12"/>
              </w:rPr>
            </w:pPr>
            <w:r w:rsidRPr="00DC4844">
              <w:rPr>
                <w:color w:val="000000"/>
                <w:sz w:val="12"/>
                <w:szCs w:val="12"/>
              </w:rPr>
              <w:t>5.2</w:t>
            </w:r>
          </w:p>
        </w:tc>
        <w:tc>
          <w:tcPr>
            <w:tcW w:w="759" w:type="dxa"/>
            <w:tcBorders>
              <w:top w:val="nil"/>
              <w:left w:val="nil"/>
              <w:bottom w:val="nil"/>
              <w:right w:val="nil"/>
            </w:tcBorders>
            <w:shd w:val="clear" w:color="000000" w:fill="F2F2F2"/>
            <w:vAlign w:val="bottom"/>
          </w:tcPr>
          <w:p w14:paraId="477285CD" w14:textId="2EED59F7"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w:t>
            </w:r>
            <w:r>
              <w:rPr>
                <w:color w:val="000000"/>
                <w:sz w:val="12"/>
                <w:szCs w:val="12"/>
              </w:rPr>
              <w:t>8</w:t>
            </w:r>
          </w:p>
        </w:tc>
        <w:tc>
          <w:tcPr>
            <w:tcW w:w="851" w:type="dxa"/>
            <w:tcBorders>
              <w:top w:val="nil"/>
              <w:left w:val="nil"/>
              <w:bottom w:val="nil"/>
              <w:right w:val="nil"/>
            </w:tcBorders>
            <w:shd w:val="clear" w:color="000000" w:fill="F2F2F2"/>
            <w:vAlign w:val="bottom"/>
          </w:tcPr>
          <w:p w14:paraId="771A71A5" w14:textId="598BC5D6"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.2</w:t>
            </w:r>
          </w:p>
        </w:tc>
        <w:tc>
          <w:tcPr>
            <w:tcW w:w="752" w:type="dxa"/>
            <w:tcBorders>
              <w:top w:val="nil"/>
              <w:left w:val="nil"/>
              <w:bottom w:val="nil"/>
              <w:right w:val="nil"/>
            </w:tcBorders>
            <w:shd w:val="clear" w:color="000000" w:fill="F2F2F2"/>
            <w:vAlign w:val="bottom"/>
          </w:tcPr>
          <w:p w14:paraId="2CADA4FB" w14:textId="0FEFE1EC"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w:t>
            </w:r>
            <w:r>
              <w:rPr>
                <w:color w:val="000000"/>
                <w:sz w:val="12"/>
                <w:szCs w:val="12"/>
              </w:rPr>
              <w:t>0</w:t>
            </w:r>
          </w:p>
        </w:tc>
        <w:tc>
          <w:tcPr>
            <w:tcW w:w="752" w:type="dxa"/>
            <w:tcBorders>
              <w:top w:val="nil"/>
              <w:left w:val="nil"/>
              <w:bottom w:val="nil"/>
              <w:right w:val="nil"/>
            </w:tcBorders>
            <w:shd w:val="clear" w:color="000000" w:fill="F2F2F2"/>
            <w:vAlign w:val="bottom"/>
          </w:tcPr>
          <w:p w14:paraId="064FE7E5" w14:textId="1D98C24A"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w:t>
            </w:r>
            <w:r>
              <w:rPr>
                <w:color w:val="000000"/>
                <w:sz w:val="12"/>
                <w:szCs w:val="12"/>
              </w:rPr>
              <w:t>0</w:t>
            </w:r>
          </w:p>
        </w:tc>
        <w:tc>
          <w:tcPr>
            <w:tcW w:w="752" w:type="dxa"/>
            <w:tcBorders>
              <w:top w:val="nil"/>
              <w:left w:val="nil"/>
              <w:bottom w:val="nil"/>
              <w:right w:val="nil"/>
            </w:tcBorders>
            <w:shd w:val="clear" w:color="000000" w:fill="F2F2F2"/>
            <w:vAlign w:val="bottom"/>
          </w:tcPr>
          <w:p w14:paraId="4748F6DF" w14:textId="0F90033E" w:rsidR="0020337D" w:rsidRPr="00DC4844" w:rsidRDefault="00FC06C0" w:rsidP="0020337D">
            <w:pPr>
              <w:jc w:val="right"/>
              <w:rPr>
                <w:color w:val="000000"/>
                <w:sz w:val="12"/>
                <w:szCs w:val="12"/>
              </w:rPr>
            </w:pPr>
            <w:r>
              <w:rPr>
                <w:color w:val="000000"/>
                <w:sz w:val="12"/>
                <w:szCs w:val="12"/>
              </w:rPr>
              <w:t>4</w:t>
            </w:r>
            <w:r w:rsidR="0020337D" w:rsidRPr="00DC4844">
              <w:rPr>
                <w:color w:val="000000"/>
                <w:sz w:val="12"/>
                <w:szCs w:val="12"/>
              </w:rPr>
              <w:t>.</w:t>
            </w:r>
            <w:r>
              <w:rPr>
                <w:color w:val="000000"/>
                <w:sz w:val="12"/>
                <w:szCs w:val="12"/>
              </w:rPr>
              <w:t>0</w:t>
            </w:r>
          </w:p>
        </w:tc>
        <w:tc>
          <w:tcPr>
            <w:tcW w:w="752" w:type="dxa"/>
            <w:gridSpan w:val="2"/>
            <w:tcBorders>
              <w:top w:val="nil"/>
              <w:left w:val="nil"/>
              <w:bottom w:val="nil"/>
              <w:right w:val="nil"/>
            </w:tcBorders>
            <w:shd w:val="clear" w:color="000000" w:fill="F2F2F2"/>
            <w:noWrap/>
            <w:vAlign w:val="bottom"/>
            <w:hideMark/>
          </w:tcPr>
          <w:p w14:paraId="3A760CA8" w14:textId="0037CDF3" w:rsidR="0020337D" w:rsidRPr="00DC4844" w:rsidRDefault="0020337D" w:rsidP="0020337D">
            <w:pPr>
              <w:jc w:val="right"/>
              <w:rPr>
                <w:color w:val="000000"/>
                <w:sz w:val="12"/>
                <w:szCs w:val="12"/>
              </w:rPr>
            </w:pPr>
            <w:r w:rsidRPr="00DC4844">
              <w:rPr>
                <w:color w:val="000000"/>
                <w:sz w:val="12"/>
                <w:szCs w:val="12"/>
              </w:rPr>
              <w:t>4.</w:t>
            </w:r>
            <w:r w:rsidR="00FC06C0">
              <w:rPr>
                <w:color w:val="000000"/>
                <w:sz w:val="12"/>
                <w:szCs w:val="12"/>
              </w:rPr>
              <w:t>0</w:t>
            </w:r>
          </w:p>
        </w:tc>
      </w:tr>
      <w:tr w:rsidR="0020337D" w:rsidRPr="00DC4844" w14:paraId="73689976" w14:textId="77777777" w:rsidTr="0098555B">
        <w:trPr>
          <w:trHeight w:val="300"/>
          <w:jc w:val="center"/>
        </w:trPr>
        <w:tc>
          <w:tcPr>
            <w:tcW w:w="2268" w:type="dxa"/>
            <w:tcBorders>
              <w:top w:val="nil"/>
              <w:left w:val="nil"/>
              <w:bottom w:val="nil"/>
              <w:right w:val="nil"/>
            </w:tcBorders>
            <w:noWrap/>
            <w:vAlign w:val="bottom"/>
            <w:hideMark/>
          </w:tcPr>
          <w:p w14:paraId="1B4EBAA4" w14:textId="77777777" w:rsidR="0020337D" w:rsidRPr="00DC4844" w:rsidRDefault="0020337D" w:rsidP="0020337D">
            <w:pPr>
              <w:rPr>
                <w:b/>
                <w:bCs/>
                <w:color w:val="000000"/>
                <w:sz w:val="12"/>
                <w:szCs w:val="12"/>
              </w:rPr>
            </w:pPr>
            <w:r w:rsidRPr="00DC4844">
              <w:rPr>
                <w:b/>
                <w:bCs/>
                <w:color w:val="000000"/>
                <w:sz w:val="12"/>
                <w:szCs w:val="12"/>
              </w:rPr>
              <w:t xml:space="preserve">Inflación (%) </w:t>
            </w:r>
          </w:p>
        </w:tc>
        <w:tc>
          <w:tcPr>
            <w:tcW w:w="748" w:type="dxa"/>
            <w:tcBorders>
              <w:top w:val="nil"/>
              <w:left w:val="nil"/>
              <w:bottom w:val="nil"/>
              <w:right w:val="nil"/>
            </w:tcBorders>
            <w:noWrap/>
            <w:vAlign w:val="bottom"/>
            <w:hideMark/>
          </w:tcPr>
          <w:p w14:paraId="365AD35C" w14:textId="77777777" w:rsidR="0020337D" w:rsidRPr="00DC4844" w:rsidRDefault="0020337D" w:rsidP="0020337D">
            <w:pPr>
              <w:rPr>
                <w:b/>
                <w:bCs/>
                <w:color w:val="000000"/>
                <w:sz w:val="12"/>
                <w:szCs w:val="12"/>
              </w:rPr>
            </w:pPr>
          </w:p>
        </w:tc>
        <w:tc>
          <w:tcPr>
            <w:tcW w:w="903" w:type="dxa"/>
            <w:tcBorders>
              <w:top w:val="nil"/>
              <w:left w:val="nil"/>
              <w:bottom w:val="nil"/>
              <w:right w:val="nil"/>
            </w:tcBorders>
            <w:vAlign w:val="bottom"/>
          </w:tcPr>
          <w:p w14:paraId="556B4996" w14:textId="77777777" w:rsidR="0020337D" w:rsidRPr="00DC4844" w:rsidRDefault="0020337D" w:rsidP="0020337D">
            <w:pPr>
              <w:rPr>
                <w:b/>
                <w:bCs/>
                <w:sz w:val="12"/>
                <w:szCs w:val="12"/>
              </w:rPr>
            </w:pPr>
          </w:p>
        </w:tc>
        <w:tc>
          <w:tcPr>
            <w:tcW w:w="759" w:type="dxa"/>
            <w:tcBorders>
              <w:top w:val="nil"/>
              <w:left w:val="nil"/>
              <w:bottom w:val="nil"/>
              <w:right w:val="nil"/>
            </w:tcBorders>
            <w:vAlign w:val="bottom"/>
          </w:tcPr>
          <w:p w14:paraId="52A89ABE" w14:textId="77777777" w:rsidR="0020337D" w:rsidRPr="00DC4844" w:rsidRDefault="0020337D" w:rsidP="0020337D">
            <w:pPr>
              <w:rPr>
                <w:b/>
                <w:bCs/>
                <w:sz w:val="12"/>
                <w:szCs w:val="12"/>
              </w:rPr>
            </w:pPr>
          </w:p>
        </w:tc>
        <w:tc>
          <w:tcPr>
            <w:tcW w:w="851" w:type="dxa"/>
            <w:tcBorders>
              <w:top w:val="nil"/>
              <w:left w:val="nil"/>
              <w:bottom w:val="nil"/>
              <w:right w:val="nil"/>
            </w:tcBorders>
            <w:vAlign w:val="bottom"/>
          </w:tcPr>
          <w:p w14:paraId="674562C6" w14:textId="77777777" w:rsidR="0020337D" w:rsidRPr="00DC4844" w:rsidRDefault="0020337D" w:rsidP="0020337D">
            <w:pPr>
              <w:rPr>
                <w:b/>
                <w:bCs/>
                <w:sz w:val="12"/>
                <w:szCs w:val="12"/>
              </w:rPr>
            </w:pPr>
          </w:p>
        </w:tc>
        <w:tc>
          <w:tcPr>
            <w:tcW w:w="752" w:type="dxa"/>
            <w:tcBorders>
              <w:top w:val="nil"/>
              <w:left w:val="nil"/>
              <w:bottom w:val="nil"/>
              <w:right w:val="nil"/>
            </w:tcBorders>
            <w:vAlign w:val="bottom"/>
          </w:tcPr>
          <w:p w14:paraId="17D38C44" w14:textId="77777777" w:rsidR="0020337D" w:rsidRPr="00DC4844" w:rsidRDefault="0020337D" w:rsidP="0020337D">
            <w:pPr>
              <w:rPr>
                <w:b/>
                <w:bCs/>
                <w:sz w:val="12"/>
                <w:szCs w:val="12"/>
              </w:rPr>
            </w:pPr>
          </w:p>
        </w:tc>
        <w:tc>
          <w:tcPr>
            <w:tcW w:w="752" w:type="dxa"/>
            <w:tcBorders>
              <w:top w:val="nil"/>
              <w:left w:val="nil"/>
              <w:bottom w:val="nil"/>
              <w:right w:val="nil"/>
            </w:tcBorders>
            <w:vAlign w:val="bottom"/>
          </w:tcPr>
          <w:p w14:paraId="42A13334" w14:textId="77777777" w:rsidR="0020337D" w:rsidRPr="00DC4844" w:rsidRDefault="0020337D" w:rsidP="0020337D">
            <w:pPr>
              <w:rPr>
                <w:b/>
                <w:bCs/>
                <w:sz w:val="12"/>
                <w:szCs w:val="12"/>
              </w:rPr>
            </w:pPr>
          </w:p>
        </w:tc>
        <w:tc>
          <w:tcPr>
            <w:tcW w:w="752" w:type="dxa"/>
            <w:tcBorders>
              <w:top w:val="nil"/>
              <w:left w:val="nil"/>
              <w:bottom w:val="nil"/>
              <w:right w:val="nil"/>
            </w:tcBorders>
            <w:vAlign w:val="bottom"/>
          </w:tcPr>
          <w:p w14:paraId="3BAD37D4" w14:textId="77777777" w:rsidR="0020337D" w:rsidRPr="00DC4844" w:rsidRDefault="0020337D" w:rsidP="0020337D">
            <w:pPr>
              <w:rPr>
                <w:b/>
                <w:bCs/>
                <w:sz w:val="12"/>
                <w:szCs w:val="12"/>
              </w:rPr>
            </w:pPr>
          </w:p>
        </w:tc>
        <w:tc>
          <w:tcPr>
            <w:tcW w:w="752" w:type="dxa"/>
            <w:gridSpan w:val="2"/>
            <w:tcBorders>
              <w:top w:val="nil"/>
              <w:left w:val="nil"/>
              <w:bottom w:val="nil"/>
              <w:right w:val="nil"/>
            </w:tcBorders>
            <w:noWrap/>
            <w:vAlign w:val="bottom"/>
            <w:hideMark/>
          </w:tcPr>
          <w:p w14:paraId="0FF2DF2E" w14:textId="5533B4D5" w:rsidR="0020337D" w:rsidRPr="00DC4844" w:rsidRDefault="0020337D" w:rsidP="0020337D">
            <w:pPr>
              <w:rPr>
                <w:b/>
                <w:bCs/>
                <w:sz w:val="12"/>
                <w:szCs w:val="12"/>
              </w:rPr>
            </w:pPr>
          </w:p>
        </w:tc>
      </w:tr>
      <w:tr w:rsidR="0020337D" w:rsidRPr="00DC4844" w14:paraId="33ECED8A" w14:textId="77777777" w:rsidTr="0098555B">
        <w:trPr>
          <w:trHeight w:val="300"/>
          <w:jc w:val="center"/>
        </w:trPr>
        <w:tc>
          <w:tcPr>
            <w:tcW w:w="2268" w:type="dxa"/>
            <w:tcBorders>
              <w:top w:val="nil"/>
              <w:left w:val="nil"/>
              <w:bottom w:val="nil"/>
              <w:right w:val="nil"/>
            </w:tcBorders>
            <w:shd w:val="clear" w:color="000000" w:fill="F2F2F2"/>
            <w:noWrap/>
            <w:vAlign w:val="bottom"/>
            <w:hideMark/>
          </w:tcPr>
          <w:p w14:paraId="0ED43516" w14:textId="77777777" w:rsidR="0020337D" w:rsidRPr="00DC4844" w:rsidRDefault="0020337D" w:rsidP="0020337D">
            <w:pPr>
              <w:rPr>
                <w:color w:val="000000"/>
                <w:sz w:val="12"/>
                <w:szCs w:val="12"/>
              </w:rPr>
            </w:pPr>
            <w:r w:rsidRPr="00DC4844">
              <w:rPr>
                <w:color w:val="000000"/>
                <w:sz w:val="12"/>
                <w:szCs w:val="12"/>
              </w:rPr>
              <w:t xml:space="preserve">     Diciembre / diciembre  </w:t>
            </w:r>
          </w:p>
        </w:tc>
        <w:tc>
          <w:tcPr>
            <w:tcW w:w="748" w:type="dxa"/>
            <w:tcBorders>
              <w:top w:val="nil"/>
              <w:left w:val="nil"/>
              <w:bottom w:val="nil"/>
              <w:right w:val="nil"/>
            </w:tcBorders>
            <w:shd w:val="clear" w:color="000000" w:fill="F2F2F2"/>
            <w:noWrap/>
            <w:vAlign w:val="bottom"/>
            <w:hideMark/>
          </w:tcPr>
          <w:p w14:paraId="7E055226" w14:textId="21476886" w:rsidR="0020337D" w:rsidRPr="00DC4844" w:rsidRDefault="0020337D" w:rsidP="0020337D">
            <w:pPr>
              <w:jc w:val="right"/>
              <w:rPr>
                <w:color w:val="000000"/>
                <w:sz w:val="12"/>
                <w:szCs w:val="12"/>
              </w:rPr>
            </w:pPr>
            <w:r>
              <w:rPr>
                <w:color w:val="000000"/>
                <w:sz w:val="12"/>
                <w:szCs w:val="12"/>
              </w:rPr>
              <w:t>4</w:t>
            </w:r>
            <w:r w:rsidRPr="00DC4844">
              <w:rPr>
                <w:color w:val="000000"/>
                <w:sz w:val="12"/>
                <w:szCs w:val="12"/>
              </w:rPr>
              <w:t>.</w:t>
            </w:r>
            <w:r>
              <w:rPr>
                <w:color w:val="000000"/>
                <w:sz w:val="12"/>
                <w:szCs w:val="12"/>
              </w:rPr>
              <w:t>2</w:t>
            </w:r>
          </w:p>
        </w:tc>
        <w:tc>
          <w:tcPr>
            <w:tcW w:w="903" w:type="dxa"/>
            <w:tcBorders>
              <w:top w:val="nil"/>
              <w:left w:val="nil"/>
              <w:bottom w:val="nil"/>
              <w:right w:val="nil"/>
            </w:tcBorders>
            <w:shd w:val="clear" w:color="000000" w:fill="F2F2F2"/>
            <w:vAlign w:val="bottom"/>
          </w:tcPr>
          <w:p w14:paraId="2D2D6EBF" w14:textId="77777777" w:rsidR="0020337D" w:rsidRPr="00DC4844" w:rsidRDefault="0020337D" w:rsidP="0020337D">
            <w:pPr>
              <w:jc w:val="right"/>
              <w:rPr>
                <w:color w:val="000000"/>
                <w:sz w:val="12"/>
                <w:szCs w:val="12"/>
              </w:rPr>
            </w:pPr>
            <w:r w:rsidRPr="00DC4844">
              <w:rPr>
                <w:color w:val="000000"/>
                <w:sz w:val="12"/>
                <w:szCs w:val="12"/>
              </w:rPr>
              <w:t>3.8</w:t>
            </w:r>
          </w:p>
        </w:tc>
        <w:tc>
          <w:tcPr>
            <w:tcW w:w="759" w:type="dxa"/>
            <w:tcBorders>
              <w:top w:val="nil"/>
              <w:left w:val="nil"/>
              <w:bottom w:val="nil"/>
              <w:right w:val="nil"/>
            </w:tcBorders>
            <w:shd w:val="clear" w:color="000000" w:fill="F2F2F2"/>
            <w:vAlign w:val="bottom"/>
          </w:tcPr>
          <w:p w14:paraId="609DCD65" w14:textId="147B9E31"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c>
          <w:tcPr>
            <w:tcW w:w="851" w:type="dxa"/>
            <w:tcBorders>
              <w:top w:val="nil"/>
              <w:left w:val="nil"/>
              <w:bottom w:val="nil"/>
              <w:right w:val="nil"/>
            </w:tcBorders>
            <w:shd w:val="clear" w:color="000000" w:fill="F2F2F2"/>
            <w:vAlign w:val="bottom"/>
          </w:tcPr>
          <w:p w14:paraId="3853A18A" w14:textId="255A869B"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c>
          <w:tcPr>
            <w:tcW w:w="752" w:type="dxa"/>
            <w:tcBorders>
              <w:top w:val="nil"/>
              <w:left w:val="nil"/>
              <w:bottom w:val="nil"/>
              <w:right w:val="nil"/>
            </w:tcBorders>
            <w:shd w:val="clear" w:color="000000" w:fill="F2F2F2"/>
            <w:vAlign w:val="bottom"/>
          </w:tcPr>
          <w:p w14:paraId="31B9BEFA" w14:textId="71D9E37F"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c>
          <w:tcPr>
            <w:tcW w:w="752" w:type="dxa"/>
            <w:tcBorders>
              <w:top w:val="nil"/>
              <w:left w:val="nil"/>
              <w:bottom w:val="nil"/>
              <w:right w:val="nil"/>
            </w:tcBorders>
            <w:shd w:val="clear" w:color="000000" w:fill="F2F2F2"/>
            <w:vAlign w:val="bottom"/>
          </w:tcPr>
          <w:p w14:paraId="64661D84" w14:textId="521E9ACE"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c>
          <w:tcPr>
            <w:tcW w:w="752" w:type="dxa"/>
            <w:tcBorders>
              <w:top w:val="nil"/>
              <w:left w:val="nil"/>
              <w:bottom w:val="nil"/>
              <w:right w:val="nil"/>
            </w:tcBorders>
            <w:shd w:val="clear" w:color="000000" w:fill="F2F2F2"/>
            <w:vAlign w:val="bottom"/>
          </w:tcPr>
          <w:p w14:paraId="60A2EA85" w14:textId="6DEF2D94"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c>
          <w:tcPr>
            <w:tcW w:w="752" w:type="dxa"/>
            <w:gridSpan w:val="2"/>
            <w:tcBorders>
              <w:top w:val="nil"/>
              <w:left w:val="nil"/>
              <w:bottom w:val="nil"/>
              <w:right w:val="nil"/>
            </w:tcBorders>
            <w:shd w:val="clear" w:color="000000" w:fill="F2F2F2"/>
            <w:noWrap/>
            <w:vAlign w:val="bottom"/>
            <w:hideMark/>
          </w:tcPr>
          <w:p w14:paraId="42FE6170" w14:textId="7F43A1CB" w:rsidR="0020337D" w:rsidRPr="00DC4844" w:rsidRDefault="0020337D" w:rsidP="0020337D">
            <w:pPr>
              <w:jc w:val="right"/>
              <w:rPr>
                <w:color w:val="000000"/>
                <w:sz w:val="12"/>
                <w:szCs w:val="12"/>
              </w:rPr>
            </w:pPr>
            <w:r w:rsidRPr="00DC4844">
              <w:rPr>
                <w:color w:val="000000"/>
                <w:sz w:val="12"/>
                <w:szCs w:val="12"/>
              </w:rPr>
              <w:t>3.0</w:t>
            </w:r>
          </w:p>
        </w:tc>
      </w:tr>
      <w:tr w:rsidR="0020337D" w:rsidRPr="00DC4844" w14:paraId="7B45C85B" w14:textId="77777777" w:rsidTr="0098555B">
        <w:trPr>
          <w:trHeight w:val="300"/>
          <w:jc w:val="center"/>
        </w:trPr>
        <w:tc>
          <w:tcPr>
            <w:tcW w:w="2268" w:type="dxa"/>
            <w:tcBorders>
              <w:top w:val="nil"/>
              <w:left w:val="nil"/>
              <w:bottom w:val="nil"/>
              <w:right w:val="nil"/>
            </w:tcBorders>
            <w:noWrap/>
            <w:vAlign w:val="bottom"/>
          </w:tcPr>
          <w:p w14:paraId="23619788" w14:textId="77777777" w:rsidR="0020337D" w:rsidRPr="00DC4844" w:rsidRDefault="0020337D" w:rsidP="0020337D">
            <w:pPr>
              <w:rPr>
                <w:color w:val="000000"/>
                <w:sz w:val="12"/>
                <w:szCs w:val="12"/>
              </w:rPr>
            </w:pPr>
            <w:r w:rsidRPr="00DC4844">
              <w:rPr>
                <w:color w:val="000000"/>
                <w:sz w:val="12"/>
                <w:szCs w:val="12"/>
              </w:rPr>
              <w:t xml:space="preserve">     Promedio</w:t>
            </w:r>
          </w:p>
        </w:tc>
        <w:tc>
          <w:tcPr>
            <w:tcW w:w="748" w:type="dxa"/>
            <w:tcBorders>
              <w:top w:val="nil"/>
              <w:left w:val="nil"/>
              <w:bottom w:val="nil"/>
              <w:right w:val="nil"/>
            </w:tcBorders>
            <w:noWrap/>
            <w:vAlign w:val="bottom"/>
          </w:tcPr>
          <w:p w14:paraId="71FF126C" w14:textId="1D52E99F" w:rsidR="0020337D" w:rsidRPr="00DC4844" w:rsidRDefault="0020337D" w:rsidP="0020337D">
            <w:pPr>
              <w:jc w:val="right"/>
              <w:rPr>
                <w:color w:val="000000"/>
                <w:sz w:val="12"/>
                <w:szCs w:val="12"/>
              </w:rPr>
            </w:pPr>
            <w:r>
              <w:rPr>
                <w:color w:val="000000"/>
                <w:sz w:val="12"/>
                <w:szCs w:val="12"/>
              </w:rPr>
              <w:t>4</w:t>
            </w:r>
            <w:r w:rsidRPr="00DC4844">
              <w:rPr>
                <w:color w:val="000000"/>
                <w:sz w:val="12"/>
                <w:szCs w:val="12"/>
              </w:rPr>
              <w:t>.</w:t>
            </w:r>
            <w:r>
              <w:rPr>
                <w:color w:val="000000"/>
                <w:sz w:val="12"/>
                <w:szCs w:val="12"/>
              </w:rPr>
              <w:t>7</w:t>
            </w:r>
          </w:p>
        </w:tc>
        <w:tc>
          <w:tcPr>
            <w:tcW w:w="903" w:type="dxa"/>
            <w:tcBorders>
              <w:top w:val="nil"/>
              <w:left w:val="nil"/>
              <w:bottom w:val="nil"/>
              <w:right w:val="nil"/>
            </w:tcBorders>
            <w:vAlign w:val="bottom"/>
          </w:tcPr>
          <w:p w14:paraId="6172A727" w14:textId="77777777" w:rsidR="0020337D" w:rsidRPr="00DC4844" w:rsidRDefault="0020337D" w:rsidP="0020337D">
            <w:pPr>
              <w:jc w:val="right"/>
              <w:rPr>
                <w:color w:val="000000"/>
                <w:sz w:val="12"/>
                <w:szCs w:val="12"/>
              </w:rPr>
            </w:pPr>
            <w:r w:rsidRPr="00DC4844">
              <w:rPr>
                <w:color w:val="000000"/>
                <w:sz w:val="12"/>
                <w:szCs w:val="12"/>
              </w:rPr>
              <w:t>4.2</w:t>
            </w:r>
          </w:p>
        </w:tc>
        <w:tc>
          <w:tcPr>
            <w:tcW w:w="759" w:type="dxa"/>
            <w:tcBorders>
              <w:top w:val="nil"/>
              <w:left w:val="nil"/>
              <w:bottom w:val="nil"/>
              <w:right w:val="nil"/>
            </w:tcBorders>
            <w:vAlign w:val="bottom"/>
          </w:tcPr>
          <w:p w14:paraId="6FB85D1D" w14:textId="586257B5" w:rsidR="0020337D" w:rsidRPr="00DC4844" w:rsidRDefault="00FC06C0"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5</w:t>
            </w:r>
          </w:p>
        </w:tc>
        <w:tc>
          <w:tcPr>
            <w:tcW w:w="851" w:type="dxa"/>
            <w:tcBorders>
              <w:top w:val="nil"/>
              <w:left w:val="nil"/>
              <w:bottom w:val="nil"/>
              <w:right w:val="nil"/>
            </w:tcBorders>
            <w:vAlign w:val="bottom"/>
          </w:tcPr>
          <w:p w14:paraId="03E8790D" w14:textId="29752436" w:rsidR="0020337D" w:rsidRPr="00DC4844" w:rsidRDefault="00FC06C0"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5FCBA133" w14:textId="5ED20A2F" w:rsidR="0020337D" w:rsidRPr="00DC4844" w:rsidRDefault="00FC06C0"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295BF597" w14:textId="5BA177EC" w:rsidR="0020337D" w:rsidRPr="00DC4844" w:rsidRDefault="00FC06C0"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0</w:t>
            </w:r>
          </w:p>
        </w:tc>
        <w:tc>
          <w:tcPr>
            <w:tcW w:w="752" w:type="dxa"/>
            <w:tcBorders>
              <w:top w:val="nil"/>
              <w:left w:val="nil"/>
              <w:bottom w:val="nil"/>
              <w:right w:val="nil"/>
            </w:tcBorders>
            <w:vAlign w:val="bottom"/>
          </w:tcPr>
          <w:p w14:paraId="13CC8A60" w14:textId="36853DD6" w:rsidR="0020337D" w:rsidRPr="00DC4844" w:rsidRDefault="00FC06C0"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0</w:t>
            </w:r>
          </w:p>
        </w:tc>
        <w:tc>
          <w:tcPr>
            <w:tcW w:w="752" w:type="dxa"/>
            <w:gridSpan w:val="2"/>
            <w:tcBorders>
              <w:top w:val="nil"/>
              <w:left w:val="nil"/>
              <w:bottom w:val="nil"/>
              <w:right w:val="nil"/>
            </w:tcBorders>
            <w:noWrap/>
            <w:vAlign w:val="bottom"/>
          </w:tcPr>
          <w:p w14:paraId="06836EFE" w14:textId="53FC954F" w:rsidR="0020337D" w:rsidRPr="00DC4844" w:rsidRDefault="0020337D" w:rsidP="0020337D">
            <w:pPr>
              <w:jc w:val="right"/>
              <w:rPr>
                <w:color w:val="000000"/>
                <w:sz w:val="12"/>
                <w:szCs w:val="12"/>
              </w:rPr>
            </w:pPr>
            <w:r w:rsidRPr="00DC4844">
              <w:rPr>
                <w:color w:val="000000"/>
                <w:sz w:val="12"/>
                <w:szCs w:val="12"/>
              </w:rPr>
              <w:t>3.</w:t>
            </w:r>
            <w:r w:rsidR="00FC06C0">
              <w:rPr>
                <w:color w:val="000000"/>
                <w:sz w:val="12"/>
                <w:szCs w:val="12"/>
              </w:rPr>
              <w:t>0</w:t>
            </w:r>
          </w:p>
        </w:tc>
      </w:tr>
      <w:tr w:rsidR="0020337D" w:rsidRPr="00DC4844" w14:paraId="5B0332B6"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3F245334" w14:textId="77777777" w:rsidR="0020337D" w:rsidRPr="00DC4844" w:rsidRDefault="0020337D" w:rsidP="0020337D">
            <w:pPr>
              <w:rPr>
                <w:b/>
                <w:bCs/>
                <w:color w:val="000000"/>
                <w:sz w:val="12"/>
                <w:szCs w:val="12"/>
              </w:rPr>
            </w:pPr>
            <w:r w:rsidRPr="00DC4844">
              <w:rPr>
                <w:b/>
                <w:bCs/>
                <w:color w:val="000000"/>
                <w:sz w:val="12"/>
                <w:szCs w:val="12"/>
              </w:rPr>
              <w:t xml:space="preserve">Tipo de cambio nominal (pesos por dólar) </w:t>
            </w:r>
          </w:p>
        </w:tc>
        <w:tc>
          <w:tcPr>
            <w:tcW w:w="748" w:type="dxa"/>
            <w:tcBorders>
              <w:top w:val="nil"/>
              <w:left w:val="nil"/>
              <w:bottom w:val="nil"/>
              <w:right w:val="nil"/>
            </w:tcBorders>
            <w:shd w:val="clear" w:color="auto" w:fill="F2F2F2" w:themeFill="background1" w:themeFillShade="F2"/>
            <w:noWrap/>
            <w:vAlign w:val="bottom"/>
            <w:hideMark/>
          </w:tcPr>
          <w:p w14:paraId="6F98CD60" w14:textId="77777777" w:rsidR="0020337D" w:rsidRPr="00DC4844" w:rsidRDefault="0020337D" w:rsidP="0020337D">
            <w:pPr>
              <w:jc w:val="right"/>
              <w:rPr>
                <w:color w:val="000000"/>
                <w:sz w:val="12"/>
                <w:szCs w:val="12"/>
              </w:rPr>
            </w:pPr>
          </w:p>
        </w:tc>
        <w:tc>
          <w:tcPr>
            <w:tcW w:w="903" w:type="dxa"/>
            <w:tcBorders>
              <w:top w:val="nil"/>
              <w:left w:val="nil"/>
              <w:bottom w:val="nil"/>
              <w:right w:val="nil"/>
            </w:tcBorders>
            <w:shd w:val="clear" w:color="auto" w:fill="F2F2F2" w:themeFill="background1" w:themeFillShade="F2"/>
            <w:vAlign w:val="bottom"/>
          </w:tcPr>
          <w:p w14:paraId="540BD3C2" w14:textId="77777777" w:rsidR="0020337D" w:rsidRPr="00DC4844" w:rsidRDefault="0020337D" w:rsidP="0020337D">
            <w:pPr>
              <w:jc w:val="right"/>
              <w:rPr>
                <w:color w:val="000000"/>
                <w:sz w:val="12"/>
                <w:szCs w:val="12"/>
              </w:rPr>
            </w:pPr>
          </w:p>
        </w:tc>
        <w:tc>
          <w:tcPr>
            <w:tcW w:w="759" w:type="dxa"/>
            <w:tcBorders>
              <w:top w:val="nil"/>
              <w:left w:val="nil"/>
              <w:bottom w:val="nil"/>
              <w:right w:val="nil"/>
            </w:tcBorders>
            <w:shd w:val="clear" w:color="auto" w:fill="F2F2F2" w:themeFill="background1" w:themeFillShade="F2"/>
            <w:vAlign w:val="bottom"/>
          </w:tcPr>
          <w:p w14:paraId="371BED95" w14:textId="77777777" w:rsidR="0020337D" w:rsidRPr="00DC4844" w:rsidRDefault="0020337D" w:rsidP="0020337D">
            <w:pPr>
              <w:jc w:val="right"/>
              <w:rPr>
                <w:color w:val="000000"/>
                <w:sz w:val="12"/>
                <w:szCs w:val="12"/>
              </w:rPr>
            </w:pPr>
          </w:p>
        </w:tc>
        <w:tc>
          <w:tcPr>
            <w:tcW w:w="851" w:type="dxa"/>
            <w:tcBorders>
              <w:top w:val="nil"/>
              <w:left w:val="nil"/>
              <w:bottom w:val="nil"/>
              <w:right w:val="nil"/>
            </w:tcBorders>
            <w:shd w:val="clear" w:color="auto" w:fill="F2F2F2" w:themeFill="background1" w:themeFillShade="F2"/>
            <w:vAlign w:val="bottom"/>
          </w:tcPr>
          <w:p w14:paraId="15DB45B8" w14:textId="77777777" w:rsidR="0020337D" w:rsidRPr="00DC4844" w:rsidRDefault="0020337D" w:rsidP="0020337D">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2818F5A8" w14:textId="77777777" w:rsidR="0020337D" w:rsidRPr="00DC4844" w:rsidRDefault="0020337D" w:rsidP="0020337D">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623878F9" w14:textId="77777777" w:rsidR="0020337D" w:rsidRPr="00DC4844" w:rsidRDefault="0020337D" w:rsidP="0020337D">
            <w:pPr>
              <w:jc w:val="right"/>
              <w:rPr>
                <w:color w:val="000000"/>
                <w:sz w:val="12"/>
                <w:szCs w:val="12"/>
              </w:rPr>
            </w:pPr>
          </w:p>
        </w:tc>
        <w:tc>
          <w:tcPr>
            <w:tcW w:w="752" w:type="dxa"/>
            <w:tcBorders>
              <w:top w:val="nil"/>
              <w:left w:val="nil"/>
              <w:bottom w:val="nil"/>
              <w:right w:val="nil"/>
            </w:tcBorders>
            <w:shd w:val="clear" w:color="auto" w:fill="F2F2F2" w:themeFill="background1" w:themeFillShade="F2"/>
            <w:vAlign w:val="bottom"/>
          </w:tcPr>
          <w:p w14:paraId="7C1FECD5" w14:textId="77777777" w:rsidR="0020337D" w:rsidRPr="00DC4844" w:rsidRDefault="0020337D" w:rsidP="0020337D">
            <w:pPr>
              <w:jc w:val="right"/>
              <w:rPr>
                <w:color w:val="000000"/>
                <w:sz w:val="12"/>
                <w:szCs w:val="12"/>
              </w:rPr>
            </w:pPr>
          </w:p>
        </w:tc>
        <w:tc>
          <w:tcPr>
            <w:tcW w:w="752" w:type="dxa"/>
            <w:gridSpan w:val="2"/>
            <w:tcBorders>
              <w:top w:val="nil"/>
              <w:left w:val="nil"/>
              <w:bottom w:val="nil"/>
              <w:right w:val="nil"/>
            </w:tcBorders>
            <w:shd w:val="clear" w:color="auto" w:fill="F2F2F2" w:themeFill="background1" w:themeFillShade="F2"/>
            <w:noWrap/>
            <w:vAlign w:val="bottom"/>
            <w:hideMark/>
          </w:tcPr>
          <w:p w14:paraId="64C7AB4A" w14:textId="28E5349B" w:rsidR="0020337D" w:rsidRPr="00DC4844" w:rsidRDefault="0020337D" w:rsidP="0020337D">
            <w:pPr>
              <w:jc w:val="right"/>
              <w:rPr>
                <w:color w:val="000000"/>
                <w:sz w:val="12"/>
                <w:szCs w:val="12"/>
              </w:rPr>
            </w:pPr>
          </w:p>
        </w:tc>
      </w:tr>
      <w:tr w:rsidR="0020337D" w:rsidRPr="00DC4844" w14:paraId="1A076C96" w14:textId="77777777" w:rsidTr="0098555B">
        <w:trPr>
          <w:trHeight w:val="300"/>
          <w:jc w:val="center"/>
        </w:trPr>
        <w:tc>
          <w:tcPr>
            <w:tcW w:w="2268" w:type="dxa"/>
            <w:tcBorders>
              <w:top w:val="nil"/>
              <w:left w:val="nil"/>
              <w:bottom w:val="nil"/>
              <w:right w:val="nil"/>
            </w:tcBorders>
            <w:shd w:val="clear" w:color="auto" w:fill="FFFFFF" w:themeFill="background1"/>
            <w:noWrap/>
            <w:vAlign w:val="bottom"/>
            <w:hideMark/>
          </w:tcPr>
          <w:p w14:paraId="24BD617C" w14:textId="77777777" w:rsidR="0020337D" w:rsidRPr="00DC4844" w:rsidRDefault="0020337D" w:rsidP="0020337D">
            <w:pPr>
              <w:rPr>
                <w:color w:val="000000"/>
                <w:sz w:val="12"/>
                <w:szCs w:val="12"/>
              </w:rPr>
            </w:pPr>
            <w:r w:rsidRPr="00DC4844">
              <w:rPr>
                <w:color w:val="000000"/>
                <w:sz w:val="12"/>
                <w:szCs w:val="12"/>
              </w:rPr>
              <w:t xml:space="preserve">     Fin de periodo </w:t>
            </w:r>
          </w:p>
        </w:tc>
        <w:tc>
          <w:tcPr>
            <w:tcW w:w="748" w:type="dxa"/>
            <w:tcBorders>
              <w:top w:val="nil"/>
              <w:left w:val="nil"/>
              <w:bottom w:val="nil"/>
              <w:right w:val="nil"/>
            </w:tcBorders>
            <w:shd w:val="clear" w:color="auto" w:fill="FFFFFF" w:themeFill="background1"/>
            <w:noWrap/>
            <w:vAlign w:val="bottom"/>
            <w:hideMark/>
          </w:tcPr>
          <w:p w14:paraId="1051A512" w14:textId="6D4319AB" w:rsidR="0020337D" w:rsidRPr="00DC4844" w:rsidRDefault="0020337D" w:rsidP="0020337D">
            <w:pPr>
              <w:jc w:val="right"/>
              <w:rPr>
                <w:color w:val="000000"/>
                <w:sz w:val="12"/>
                <w:szCs w:val="12"/>
              </w:rPr>
            </w:pPr>
            <w:r>
              <w:rPr>
                <w:color w:val="000000"/>
                <w:sz w:val="12"/>
                <w:szCs w:val="12"/>
              </w:rPr>
              <w:t>20</w:t>
            </w:r>
            <w:r w:rsidRPr="00DC4844">
              <w:rPr>
                <w:color w:val="000000"/>
                <w:sz w:val="12"/>
                <w:szCs w:val="12"/>
              </w:rPr>
              <w:t>.</w:t>
            </w:r>
            <w:r>
              <w:rPr>
                <w:color w:val="000000"/>
                <w:sz w:val="12"/>
                <w:szCs w:val="12"/>
              </w:rPr>
              <w:t>3</w:t>
            </w:r>
          </w:p>
        </w:tc>
        <w:tc>
          <w:tcPr>
            <w:tcW w:w="903" w:type="dxa"/>
            <w:tcBorders>
              <w:top w:val="nil"/>
              <w:left w:val="nil"/>
              <w:bottom w:val="nil"/>
              <w:right w:val="nil"/>
            </w:tcBorders>
            <w:shd w:val="clear" w:color="auto" w:fill="FFFFFF" w:themeFill="background1"/>
            <w:vAlign w:val="bottom"/>
          </w:tcPr>
          <w:p w14:paraId="273660E8" w14:textId="77777777" w:rsidR="0020337D" w:rsidRPr="00DC4844" w:rsidRDefault="0020337D" w:rsidP="0020337D">
            <w:pPr>
              <w:jc w:val="right"/>
              <w:rPr>
                <w:color w:val="000000"/>
                <w:sz w:val="12"/>
                <w:szCs w:val="12"/>
              </w:rPr>
            </w:pPr>
            <w:r w:rsidRPr="00DC4844">
              <w:rPr>
                <w:color w:val="000000"/>
                <w:sz w:val="12"/>
                <w:szCs w:val="12"/>
              </w:rPr>
              <w:t>19.9</w:t>
            </w:r>
          </w:p>
        </w:tc>
        <w:tc>
          <w:tcPr>
            <w:tcW w:w="759" w:type="dxa"/>
            <w:tcBorders>
              <w:top w:val="nil"/>
              <w:left w:val="nil"/>
              <w:bottom w:val="nil"/>
              <w:right w:val="nil"/>
            </w:tcBorders>
            <w:shd w:val="clear" w:color="auto" w:fill="FFFFFF" w:themeFill="background1"/>
            <w:vAlign w:val="bottom"/>
          </w:tcPr>
          <w:p w14:paraId="65738AED" w14:textId="36B32877"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.9</w:t>
            </w:r>
          </w:p>
        </w:tc>
        <w:tc>
          <w:tcPr>
            <w:tcW w:w="851" w:type="dxa"/>
            <w:tcBorders>
              <w:top w:val="nil"/>
              <w:left w:val="nil"/>
              <w:bottom w:val="nil"/>
              <w:right w:val="nil"/>
            </w:tcBorders>
            <w:shd w:val="clear" w:color="auto" w:fill="FFFFFF" w:themeFill="background1"/>
            <w:vAlign w:val="bottom"/>
          </w:tcPr>
          <w:p w14:paraId="7B9FDAC8" w14:textId="6AA2BA78"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2</w:t>
            </w:r>
          </w:p>
        </w:tc>
        <w:tc>
          <w:tcPr>
            <w:tcW w:w="752" w:type="dxa"/>
            <w:tcBorders>
              <w:top w:val="nil"/>
              <w:left w:val="nil"/>
              <w:bottom w:val="nil"/>
              <w:right w:val="nil"/>
            </w:tcBorders>
            <w:shd w:val="clear" w:color="auto" w:fill="FFFFFF" w:themeFill="background1"/>
            <w:vAlign w:val="bottom"/>
          </w:tcPr>
          <w:p w14:paraId="507B6643" w14:textId="51BAE685"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2</w:t>
            </w:r>
          </w:p>
        </w:tc>
        <w:tc>
          <w:tcPr>
            <w:tcW w:w="752" w:type="dxa"/>
            <w:tcBorders>
              <w:top w:val="nil"/>
              <w:left w:val="nil"/>
              <w:bottom w:val="nil"/>
              <w:right w:val="nil"/>
            </w:tcBorders>
            <w:shd w:val="clear" w:color="auto" w:fill="FFFFFF" w:themeFill="background1"/>
            <w:vAlign w:val="bottom"/>
          </w:tcPr>
          <w:p w14:paraId="494183D4" w14:textId="26DBECD1"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2</w:t>
            </w:r>
          </w:p>
        </w:tc>
        <w:tc>
          <w:tcPr>
            <w:tcW w:w="752" w:type="dxa"/>
            <w:tcBorders>
              <w:top w:val="nil"/>
              <w:left w:val="nil"/>
              <w:bottom w:val="nil"/>
              <w:right w:val="nil"/>
            </w:tcBorders>
            <w:shd w:val="clear" w:color="auto" w:fill="FFFFFF" w:themeFill="background1"/>
            <w:vAlign w:val="bottom"/>
          </w:tcPr>
          <w:p w14:paraId="3BF3FB4C" w14:textId="40BBB1D7"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3</w:t>
            </w:r>
          </w:p>
        </w:tc>
        <w:tc>
          <w:tcPr>
            <w:tcW w:w="752" w:type="dxa"/>
            <w:gridSpan w:val="2"/>
            <w:tcBorders>
              <w:top w:val="nil"/>
              <w:left w:val="nil"/>
              <w:bottom w:val="nil"/>
              <w:right w:val="nil"/>
            </w:tcBorders>
            <w:shd w:val="clear" w:color="auto" w:fill="FFFFFF" w:themeFill="background1"/>
            <w:noWrap/>
            <w:vAlign w:val="bottom"/>
            <w:hideMark/>
          </w:tcPr>
          <w:p w14:paraId="6C30750D" w14:textId="1E4105AD" w:rsidR="0020337D" w:rsidRPr="00DC4844" w:rsidRDefault="0020337D" w:rsidP="0020337D">
            <w:pPr>
              <w:jc w:val="right"/>
              <w:rPr>
                <w:color w:val="000000"/>
                <w:sz w:val="12"/>
                <w:szCs w:val="12"/>
              </w:rPr>
            </w:pPr>
            <w:r w:rsidRPr="00DC4844">
              <w:rPr>
                <w:color w:val="000000"/>
                <w:sz w:val="12"/>
                <w:szCs w:val="12"/>
              </w:rPr>
              <w:t>18.</w:t>
            </w:r>
            <w:r w:rsidR="00FC06C0">
              <w:rPr>
                <w:color w:val="000000"/>
                <w:sz w:val="12"/>
                <w:szCs w:val="12"/>
              </w:rPr>
              <w:t>3</w:t>
            </w:r>
          </w:p>
        </w:tc>
      </w:tr>
      <w:tr w:rsidR="0020337D" w:rsidRPr="00DC4844" w14:paraId="36F58E1A"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29DD6985" w14:textId="77777777" w:rsidR="0020337D" w:rsidRPr="00DC4844" w:rsidRDefault="0020337D" w:rsidP="0020337D">
            <w:pPr>
              <w:rPr>
                <w:color w:val="000000"/>
                <w:sz w:val="12"/>
                <w:szCs w:val="12"/>
              </w:rPr>
            </w:pPr>
            <w:r w:rsidRPr="00DC4844">
              <w:rPr>
                <w:color w:val="000000"/>
                <w:sz w:val="12"/>
                <w:szCs w:val="12"/>
              </w:rPr>
              <w:t xml:space="preserve">     Promedio  </w:t>
            </w:r>
          </w:p>
        </w:tc>
        <w:tc>
          <w:tcPr>
            <w:tcW w:w="748" w:type="dxa"/>
            <w:tcBorders>
              <w:top w:val="nil"/>
              <w:left w:val="nil"/>
              <w:bottom w:val="nil"/>
              <w:right w:val="nil"/>
            </w:tcBorders>
            <w:shd w:val="clear" w:color="auto" w:fill="F2F2F2" w:themeFill="background1" w:themeFillShade="F2"/>
            <w:noWrap/>
            <w:vAlign w:val="bottom"/>
            <w:hideMark/>
          </w:tcPr>
          <w:p w14:paraId="2E25E18B" w14:textId="2DBA4643" w:rsidR="0020337D" w:rsidRPr="00DC4844" w:rsidRDefault="0020337D" w:rsidP="0020337D">
            <w:pPr>
              <w:jc w:val="right"/>
              <w:rPr>
                <w:color w:val="000000"/>
                <w:sz w:val="12"/>
                <w:szCs w:val="12"/>
              </w:rPr>
            </w:pPr>
            <w:r w:rsidRPr="00DC4844">
              <w:rPr>
                <w:color w:val="000000"/>
                <w:sz w:val="12"/>
                <w:szCs w:val="12"/>
              </w:rPr>
              <w:t>18.</w:t>
            </w:r>
            <w:r>
              <w:rPr>
                <w:color w:val="000000"/>
                <w:sz w:val="12"/>
                <w:szCs w:val="12"/>
              </w:rPr>
              <w:t>3</w:t>
            </w:r>
          </w:p>
        </w:tc>
        <w:tc>
          <w:tcPr>
            <w:tcW w:w="903" w:type="dxa"/>
            <w:tcBorders>
              <w:top w:val="nil"/>
              <w:left w:val="nil"/>
              <w:bottom w:val="nil"/>
              <w:right w:val="nil"/>
            </w:tcBorders>
            <w:shd w:val="clear" w:color="auto" w:fill="F2F2F2" w:themeFill="background1" w:themeFillShade="F2"/>
            <w:vAlign w:val="bottom"/>
          </w:tcPr>
          <w:p w14:paraId="7E4A5D3F" w14:textId="77777777" w:rsidR="0020337D" w:rsidRPr="00DC4844" w:rsidRDefault="0020337D" w:rsidP="0020337D">
            <w:pPr>
              <w:jc w:val="right"/>
              <w:rPr>
                <w:color w:val="000000"/>
                <w:sz w:val="12"/>
                <w:szCs w:val="12"/>
              </w:rPr>
            </w:pPr>
            <w:r w:rsidRPr="00DC4844">
              <w:rPr>
                <w:color w:val="000000"/>
                <w:sz w:val="12"/>
                <w:szCs w:val="12"/>
              </w:rPr>
              <w:t>19.6</w:t>
            </w:r>
          </w:p>
        </w:tc>
        <w:tc>
          <w:tcPr>
            <w:tcW w:w="759" w:type="dxa"/>
            <w:tcBorders>
              <w:top w:val="nil"/>
              <w:left w:val="nil"/>
              <w:bottom w:val="nil"/>
              <w:right w:val="nil"/>
            </w:tcBorders>
            <w:shd w:val="clear" w:color="auto" w:fill="F2F2F2" w:themeFill="background1" w:themeFillShade="F2"/>
            <w:vAlign w:val="bottom"/>
          </w:tcPr>
          <w:p w14:paraId="19A78C9F" w14:textId="32BBB683" w:rsidR="0020337D" w:rsidRPr="00DC4844" w:rsidRDefault="0020337D" w:rsidP="0020337D">
            <w:pPr>
              <w:jc w:val="right"/>
              <w:rPr>
                <w:color w:val="000000"/>
                <w:sz w:val="12"/>
                <w:szCs w:val="12"/>
              </w:rPr>
            </w:pPr>
            <w:r w:rsidRPr="00DC4844">
              <w:rPr>
                <w:color w:val="000000"/>
                <w:sz w:val="12"/>
                <w:szCs w:val="12"/>
              </w:rPr>
              <w:t>19.</w:t>
            </w:r>
            <w:r w:rsidR="00FC06C0">
              <w:rPr>
                <w:color w:val="000000"/>
                <w:sz w:val="12"/>
                <w:szCs w:val="12"/>
              </w:rPr>
              <w:t>3</w:t>
            </w:r>
          </w:p>
        </w:tc>
        <w:tc>
          <w:tcPr>
            <w:tcW w:w="851" w:type="dxa"/>
            <w:tcBorders>
              <w:top w:val="nil"/>
              <w:left w:val="nil"/>
              <w:bottom w:val="nil"/>
              <w:right w:val="nil"/>
            </w:tcBorders>
            <w:shd w:val="clear" w:color="auto" w:fill="F2F2F2" w:themeFill="background1" w:themeFillShade="F2"/>
            <w:vAlign w:val="bottom"/>
          </w:tcPr>
          <w:p w14:paraId="150E0BAC" w14:textId="75C7F554"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5</w:t>
            </w:r>
          </w:p>
        </w:tc>
        <w:tc>
          <w:tcPr>
            <w:tcW w:w="752" w:type="dxa"/>
            <w:tcBorders>
              <w:top w:val="nil"/>
              <w:left w:val="nil"/>
              <w:bottom w:val="nil"/>
              <w:right w:val="nil"/>
            </w:tcBorders>
            <w:shd w:val="clear" w:color="auto" w:fill="F2F2F2" w:themeFill="background1" w:themeFillShade="F2"/>
            <w:vAlign w:val="bottom"/>
          </w:tcPr>
          <w:p w14:paraId="3C510D30" w14:textId="4CFEC6BB"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2</w:t>
            </w:r>
          </w:p>
        </w:tc>
        <w:tc>
          <w:tcPr>
            <w:tcW w:w="752" w:type="dxa"/>
            <w:tcBorders>
              <w:top w:val="nil"/>
              <w:left w:val="nil"/>
              <w:bottom w:val="nil"/>
              <w:right w:val="nil"/>
            </w:tcBorders>
            <w:shd w:val="clear" w:color="auto" w:fill="F2F2F2" w:themeFill="background1" w:themeFillShade="F2"/>
            <w:vAlign w:val="bottom"/>
          </w:tcPr>
          <w:p w14:paraId="3862AB37" w14:textId="67EA84B9"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2</w:t>
            </w:r>
          </w:p>
        </w:tc>
        <w:tc>
          <w:tcPr>
            <w:tcW w:w="752" w:type="dxa"/>
            <w:tcBorders>
              <w:top w:val="nil"/>
              <w:left w:val="nil"/>
              <w:bottom w:val="nil"/>
              <w:right w:val="nil"/>
            </w:tcBorders>
            <w:shd w:val="clear" w:color="auto" w:fill="F2F2F2" w:themeFill="background1" w:themeFillShade="F2"/>
            <w:vAlign w:val="bottom"/>
          </w:tcPr>
          <w:p w14:paraId="006F70C5" w14:textId="2F38A83D"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w:t>
            </w:r>
            <w:r w:rsidR="00FC06C0">
              <w:rPr>
                <w:color w:val="000000"/>
                <w:sz w:val="12"/>
                <w:szCs w:val="12"/>
              </w:rPr>
              <w:t>3</w:t>
            </w:r>
          </w:p>
        </w:tc>
        <w:tc>
          <w:tcPr>
            <w:tcW w:w="752" w:type="dxa"/>
            <w:gridSpan w:val="2"/>
            <w:tcBorders>
              <w:top w:val="nil"/>
              <w:left w:val="nil"/>
              <w:bottom w:val="nil"/>
              <w:right w:val="nil"/>
            </w:tcBorders>
            <w:shd w:val="clear" w:color="auto" w:fill="F2F2F2" w:themeFill="background1" w:themeFillShade="F2"/>
            <w:noWrap/>
            <w:vAlign w:val="bottom"/>
            <w:hideMark/>
          </w:tcPr>
          <w:p w14:paraId="05E82C3B" w14:textId="71D2673E"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8</w:t>
            </w:r>
            <w:r w:rsidRPr="00DC4844">
              <w:rPr>
                <w:color w:val="000000"/>
                <w:sz w:val="12"/>
                <w:szCs w:val="12"/>
              </w:rPr>
              <w:t>.3</w:t>
            </w:r>
          </w:p>
        </w:tc>
      </w:tr>
      <w:tr w:rsidR="0020337D" w:rsidRPr="00DC4844" w14:paraId="0F740DBC" w14:textId="77777777" w:rsidTr="0098555B">
        <w:trPr>
          <w:trHeight w:val="300"/>
          <w:jc w:val="center"/>
        </w:trPr>
        <w:tc>
          <w:tcPr>
            <w:tcW w:w="2268" w:type="dxa"/>
            <w:tcBorders>
              <w:top w:val="nil"/>
              <w:left w:val="nil"/>
              <w:bottom w:val="nil"/>
              <w:right w:val="nil"/>
            </w:tcBorders>
            <w:shd w:val="clear" w:color="auto" w:fill="FFFFFF" w:themeFill="background1"/>
            <w:noWrap/>
            <w:vAlign w:val="bottom"/>
            <w:hideMark/>
          </w:tcPr>
          <w:p w14:paraId="05595DE8" w14:textId="77777777" w:rsidR="0020337D" w:rsidRPr="00DC4844" w:rsidRDefault="0020337D" w:rsidP="0020337D">
            <w:pPr>
              <w:rPr>
                <w:b/>
                <w:bCs/>
                <w:color w:val="000000"/>
                <w:sz w:val="12"/>
                <w:szCs w:val="12"/>
              </w:rPr>
            </w:pPr>
            <w:r w:rsidRPr="00DC4844">
              <w:rPr>
                <w:b/>
                <w:bCs/>
                <w:color w:val="000000"/>
                <w:sz w:val="12"/>
                <w:szCs w:val="12"/>
              </w:rPr>
              <w:t xml:space="preserve">Tasa de interés (Cetes 28 días, %) </w:t>
            </w:r>
          </w:p>
        </w:tc>
        <w:tc>
          <w:tcPr>
            <w:tcW w:w="748" w:type="dxa"/>
            <w:tcBorders>
              <w:top w:val="nil"/>
              <w:left w:val="nil"/>
              <w:bottom w:val="nil"/>
              <w:right w:val="nil"/>
            </w:tcBorders>
            <w:shd w:val="clear" w:color="auto" w:fill="FFFFFF" w:themeFill="background1"/>
            <w:noWrap/>
            <w:vAlign w:val="bottom"/>
            <w:hideMark/>
          </w:tcPr>
          <w:p w14:paraId="50743451" w14:textId="77777777" w:rsidR="0020337D" w:rsidRPr="00DC4844" w:rsidRDefault="0020337D" w:rsidP="0020337D">
            <w:pPr>
              <w:rPr>
                <w:b/>
                <w:bCs/>
                <w:color w:val="000000"/>
                <w:sz w:val="12"/>
                <w:szCs w:val="12"/>
              </w:rPr>
            </w:pPr>
            <w:r w:rsidRPr="00DC4844">
              <w:rPr>
                <w:b/>
                <w:bCs/>
                <w:color w:val="000000"/>
                <w:sz w:val="12"/>
                <w:szCs w:val="12"/>
              </w:rPr>
              <w:t> </w:t>
            </w:r>
          </w:p>
        </w:tc>
        <w:tc>
          <w:tcPr>
            <w:tcW w:w="903" w:type="dxa"/>
            <w:tcBorders>
              <w:top w:val="nil"/>
              <w:left w:val="nil"/>
              <w:bottom w:val="nil"/>
              <w:right w:val="nil"/>
            </w:tcBorders>
            <w:shd w:val="clear" w:color="auto" w:fill="FFFFFF" w:themeFill="background1"/>
            <w:vAlign w:val="bottom"/>
          </w:tcPr>
          <w:p w14:paraId="1507F99F" w14:textId="77777777" w:rsidR="0020337D" w:rsidRPr="00DC4844" w:rsidRDefault="0020337D" w:rsidP="0020337D">
            <w:pPr>
              <w:rPr>
                <w:b/>
                <w:bCs/>
                <w:color w:val="000000"/>
                <w:sz w:val="12"/>
                <w:szCs w:val="12"/>
              </w:rPr>
            </w:pPr>
            <w:r w:rsidRPr="00DC4844">
              <w:rPr>
                <w:b/>
                <w:bCs/>
                <w:color w:val="000000"/>
                <w:sz w:val="12"/>
                <w:szCs w:val="12"/>
              </w:rPr>
              <w:t> </w:t>
            </w:r>
          </w:p>
        </w:tc>
        <w:tc>
          <w:tcPr>
            <w:tcW w:w="759" w:type="dxa"/>
            <w:tcBorders>
              <w:top w:val="nil"/>
              <w:left w:val="nil"/>
              <w:bottom w:val="nil"/>
              <w:right w:val="nil"/>
            </w:tcBorders>
            <w:shd w:val="clear" w:color="auto" w:fill="FFFFFF" w:themeFill="background1"/>
            <w:vAlign w:val="bottom"/>
          </w:tcPr>
          <w:p w14:paraId="30F16E71" w14:textId="2130DFD0" w:rsidR="0020337D" w:rsidRPr="00DC4844" w:rsidRDefault="0020337D" w:rsidP="0020337D">
            <w:pPr>
              <w:rPr>
                <w:b/>
                <w:bCs/>
                <w:color w:val="000000"/>
                <w:sz w:val="12"/>
                <w:szCs w:val="12"/>
              </w:rPr>
            </w:pPr>
            <w:r w:rsidRPr="00DC4844">
              <w:rPr>
                <w:b/>
                <w:bCs/>
                <w:color w:val="000000"/>
                <w:sz w:val="12"/>
                <w:szCs w:val="12"/>
              </w:rPr>
              <w:t> </w:t>
            </w:r>
          </w:p>
        </w:tc>
        <w:tc>
          <w:tcPr>
            <w:tcW w:w="851" w:type="dxa"/>
            <w:tcBorders>
              <w:top w:val="nil"/>
              <w:left w:val="nil"/>
              <w:bottom w:val="nil"/>
              <w:right w:val="nil"/>
            </w:tcBorders>
            <w:shd w:val="clear" w:color="auto" w:fill="FFFFFF" w:themeFill="background1"/>
            <w:vAlign w:val="bottom"/>
          </w:tcPr>
          <w:p w14:paraId="4A415BCA" w14:textId="028257EA" w:rsidR="0020337D" w:rsidRPr="00DC4844" w:rsidRDefault="0020337D" w:rsidP="0020337D">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4E12E26D" w14:textId="144BC976" w:rsidR="0020337D" w:rsidRPr="00DC4844" w:rsidRDefault="0020337D" w:rsidP="0020337D">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44C075EE" w14:textId="100C732D" w:rsidR="0020337D" w:rsidRPr="00DC4844" w:rsidRDefault="0020337D" w:rsidP="0020337D">
            <w:pPr>
              <w:rPr>
                <w:b/>
                <w:bCs/>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68FEF434" w14:textId="729E8796" w:rsidR="0020337D" w:rsidRPr="00DC4844" w:rsidRDefault="0020337D" w:rsidP="0020337D">
            <w:pPr>
              <w:rPr>
                <w:b/>
                <w:bCs/>
                <w:color w:val="000000"/>
                <w:sz w:val="12"/>
                <w:szCs w:val="12"/>
              </w:rPr>
            </w:pPr>
            <w:r w:rsidRPr="00DC4844">
              <w:rPr>
                <w:b/>
                <w:bCs/>
                <w:color w:val="000000"/>
                <w:sz w:val="12"/>
                <w:szCs w:val="12"/>
              </w:rPr>
              <w:t> </w:t>
            </w:r>
          </w:p>
        </w:tc>
        <w:tc>
          <w:tcPr>
            <w:tcW w:w="752" w:type="dxa"/>
            <w:gridSpan w:val="2"/>
            <w:tcBorders>
              <w:top w:val="nil"/>
              <w:left w:val="nil"/>
              <w:bottom w:val="nil"/>
              <w:right w:val="nil"/>
            </w:tcBorders>
            <w:shd w:val="clear" w:color="auto" w:fill="FFFFFF" w:themeFill="background1"/>
            <w:noWrap/>
            <w:vAlign w:val="bottom"/>
            <w:hideMark/>
          </w:tcPr>
          <w:p w14:paraId="6DFFF557" w14:textId="4E45DB68" w:rsidR="0020337D" w:rsidRPr="00DC4844" w:rsidRDefault="0020337D" w:rsidP="0020337D">
            <w:pPr>
              <w:rPr>
                <w:b/>
                <w:bCs/>
                <w:color w:val="000000"/>
                <w:sz w:val="12"/>
                <w:szCs w:val="12"/>
              </w:rPr>
            </w:pPr>
            <w:r w:rsidRPr="00DC4844">
              <w:rPr>
                <w:b/>
                <w:bCs/>
                <w:color w:val="000000"/>
                <w:sz w:val="12"/>
                <w:szCs w:val="12"/>
              </w:rPr>
              <w:t> </w:t>
            </w:r>
          </w:p>
        </w:tc>
      </w:tr>
      <w:tr w:rsidR="0020337D" w:rsidRPr="00DC4844" w14:paraId="3CCEAE83"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723F93F9" w14:textId="77777777" w:rsidR="0020337D" w:rsidRPr="00DC4844" w:rsidRDefault="0020337D" w:rsidP="0020337D">
            <w:pPr>
              <w:rPr>
                <w:color w:val="000000"/>
                <w:sz w:val="12"/>
                <w:szCs w:val="12"/>
              </w:rPr>
            </w:pPr>
            <w:r w:rsidRPr="00DC4844">
              <w:rPr>
                <w:color w:val="000000"/>
                <w:sz w:val="12"/>
                <w:szCs w:val="12"/>
              </w:rPr>
              <w:t xml:space="preserve">     Nominal fin de periodo  </w:t>
            </w:r>
          </w:p>
        </w:tc>
        <w:tc>
          <w:tcPr>
            <w:tcW w:w="748" w:type="dxa"/>
            <w:tcBorders>
              <w:top w:val="nil"/>
              <w:left w:val="nil"/>
              <w:bottom w:val="nil"/>
              <w:right w:val="nil"/>
            </w:tcBorders>
            <w:shd w:val="clear" w:color="auto" w:fill="F2F2F2" w:themeFill="background1" w:themeFillShade="F2"/>
            <w:noWrap/>
            <w:vAlign w:val="bottom"/>
            <w:hideMark/>
          </w:tcPr>
          <w:p w14:paraId="0C1CBDE2" w14:textId="4260D2CC" w:rsidR="0020337D" w:rsidRPr="00DC4844" w:rsidRDefault="0020337D" w:rsidP="0020337D">
            <w:pPr>
              <w:jc w:val="right"/>
              <w:rPr>
                <w:color w:val="000000"/>
                <w:sz w:val="12"/>
                <w:szCs w:val="12"/>
              </w:rPr>
            </w:pPr>
            <w:r>
              <w:rPr>
                <w:color w:val="000000"/>
                <w:sz w:val="12"/>
                <w:szCs w:val="12"/>
              </w:rPr>
              <w:t>9</w:t>
            </w:r>
            <w:r w:rsidRPr="00DC4844">
              <w:rPr>
                <w:color w:val="000000"/>
                <w:sz w:val="12"/>
                <w:szCs w:val="12"/>
              </w:rPr>
              <w:t>.</w:t>
            </w:r>
            <w:r>
              <w:rPr>
                <w:color w:val="000000"/>
                <w:sz w:val="12"/>
                <w:szCs w:val="12"/>
              </w:rPr>
              <w:t>7</w:t>
            </w:r>
          </w:p>
        </w:tc>
        <w:tc>
          <w:tcPr>
            <w:tcW w:w="903" w:type="dxa"/>
            <w:tcBorders>
              <w:top w:val="nil"/>
              <w:left w:val="nil"/>
              <w:bottom w:val="nil"/>
              <w:right w:val="nil"/>
            </w:tcBorders>
            <w:shd w:val="clear" w:color="auto" w:fill="F2F2F2" w:themeFill="background1" w:themeFillShade="F2"/>
            <w:vAlign w:val="bottom"/>
          </w:tcPr>
          <w:p w14:paraId="45AD357B" w14:textId="77777777" w:rsidR="0020337D" w:rsidRPr="00DC4844" w:rsidRDefault="0020337D" w:rsidP="0020337D">
            <w:pPr>
              <w:jc w:val="right"/>
              <w:rPr>
                <w:color w:val="000000"/>
                <w:sz w:val="12"/>
                <w:szCs w:val="12"/>
              </w:rPr>
            </w:pPr>
            <w:r w:rsidRPr="00DC4844">
              <w:rPr>
                <w:color w:val="000000"/>
                <w:sz w:val="12"/>
                <w:szCs w:val="12"/>
              </w:rPr>
              <w:t>7.3</w:t>
            </w:r>
          </w:p>
        </w:tc>
        <w:tc>
          <w:tcPr>
            <w:tcW w:w="759" w:type="dxa"/>
            <w:tcBorders>
              <w:top w:val="nil"/>
              <w:left w:val="nil"/>
              <w:bottom w:val="nil"/>
              <w:right w:val="nil"/>
            </w:tcBorders>
            <w:shd w:val="clear" w:color="auto" w:fill="F2F2F2" w:themeFill="background1" w:themeFillShade="F2"/>
            <w:vAlign w:val="bottom"/>
          </w:tcPr>
          <w:p w14:paraId="1CFD7372" w14:textId="0C52F387" w:rsidR="0020337D" w:rsidRPr="00DC4844" w:rsidRDefault="00FC06C0" w:rsidP="0020337D">
            <w:pPr>
              <w:jc w:val="right"/>
              <w:rPr>
                <w:color w:val="000000"/>
                <w:sz w:val="12"/>
                <w:szCs w:val="12"/>
              </w:rPr>
            </w:pPr>
            <w:r>
              <w:rPr>
                <w:color w:val="000000"/>
                <w:sz w:val="12"/>
                <w:szCs w:val="12"/>
              </w:rPr>
              <w:t>6</w:t>
            </w:r>
            <w:r w:rsidR="0020337D" w:rsidRPr="00DC4844">
              <w:rPr>
                <w:color w:val="000000"/>
                <w:sz w:val="12"/>
                <w:szCs w:val="12"/>
              </w:rPr>
              <w:t>.</w:t>
            </w:r>
            <w:r>
              <w:rPr>
                <w:color w:val="000000"/>
                <w:sz w:val="12"/>
                <w:szCs w:val="12"/>
              </w:rPr>
              <w:t>0</w:t>
            </w:r>
          </w:p>
        </w:tc>
        <w:tc>
          <w:tcPr>
            <w:tcW w:w="851" w:type="dxa"/>
            <w:tcBorders>
              <w:top w:val="nil"/>
              <w:left w:val="nil"/>
              <w:bottom w:val="nil"/>
              <w:right w:val="nil"/>
            </w:tcBorders>
            <w:shd w:val="clear" w:color="auto" w:fill="F2F2F2" w:themeFill="background1" w:themeFillShade="F2"/>
            <w:vAlign w:val="bottom"/>
          </w:tcPr>
          <w:p w14:paraId="50CB0A0B" w14:textId="29E026F9" w:rsidR="0020337D" w:rsidRPr="00DC4844" w:rsidRDefault="00FC06C0" w:rsidP="0020337D">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23C411DB" w14:textId="0169E9D3" w:rsidR="0020337D" w:rsidRPr="00DC4844" w:rsidRDefault="00FC06C0" w:rsidP="0020337D">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097187CE" w14:textId="7DF24D36" w:rsidR="0020337D" w:rsidRPr="00DC4844" w:rsidRDefault="00FC06C0" w:rsidP="0020337D">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2F2F2" w:themeFill="background1" w:themeFillShade="F2"/>
            <w:vAlign w:val="bottom"/>
          </w:tcPr>
          <w:p w14:paraId="3D232820" w14:textId="533499ED" w:rsidR="0020337D" w:rsidRPr="00DC4844" w:rsidRDefault="00FC06C0" w:rsidP="0020337D">
            <w:pPr>
              <w:jc w:val="right"/>
              <w:rPr>
                <w:color w:val="000000"/>
                <w:sz w:val="12"/>
                <w:szCs w:val="12"/>
              </w:rPr>
            </w:pPr>
            <w:r>
              <w:rPr>
                <w:color w:val="000000"/>
                <w:sz w:val="12"/>
                <w:szCs w:val="12"/>
              </w:rPr>
              <w:t>5.5</w:t>
            </w:r>
          </w:p>
        </w:tc>
        <w:tc>
          <w:tcPr>
            <w:tcW w:w="752" w:type="dxa"/>
            <w:gridSpan w:val="2"/>
            <w:tcBorders>
              <w:top w:val="nil"/>
              <w:left w:val="nil"/>
              <w:bottom w:val="nil"/>
              <w:right w:val="nil"/>
            </w:tcBorders>
            <w:shd w:val="clear" w:color="auto" w:fill="F2F2F2" w:themeFill="background1" w:themeFillShade="F2"/>
            <w:noWrap/>
            <w:vAlign w:val="bottom"/>
            <w:hideMark/>
          </w:tcPr>
          <w:p w14:paraId="20E99A3C" w14:textId="23B8927A" w:rsidR="0020337D" w:rsidRPr="00DC4844" w:rsidRDefault="00FC06C0" w:rsidP="0020337D">
            <w:pPr>
              <w:jc w:val="right"/>
              <w:rPr>
                <w:color w:val="000000"/>
                <w:sz w:val="12"/>
                <w:szCs w:val="12"/>
              </w:rPr>
            </w:pPr>
            <w:r>
              <w:rPr>
                <w:color w:val="000000"/>
                <w:sz w:val="12"/>
                <w:szCs w:val="12"/>
              </w:rPr>
              <w:t>5.5</w:t>
            </w:r>
          </w:p>
        </w:tc>
      </w:tr>
      <w:tr w:rsidR="0020337D" w:rsidRPr="00DC4844" w14:paraId="14157885" w14:textId="77777777" w:rsidTr="0098555B">
        <w:trPr>
          <w:trHeight w:val="300"/>
          <w:jc w:val="center"/>
        </w:trPr>
        <w:tc>
          <w:tcPr>
            <w:tcW w:w="2268" w:type="dxa"/>
            <w:tcBorders>
              <w:top w:val="nil"/>
              <w:left w:val="nil"/>
              <w:bottom w:val="nil"/>
              <w:right w:val="nil"/>
            </w:tcBorders>
            <w:shd w:val="clear" w:color="auto" w:fill="FFFFFF" w:themeFill="background1"/>
            <w:noWrap/>
            <w:vAlign w:val="bottom"/>
            <w:hideMark/>
          </w:tcPr>
          <w:p w14:paraId="6009B2B3" w14:textId="77777777" w:rsidR="0020337D" w:rsidRPr="00DC4844" w:rsidRDefault="0020337D" w:rsidP="0020337D">
            <w:pPr>
              <w:rPr>
                <w:color w:val="000000"/>
                <w:sz w:val="12"/>
                <w:szCs w:val="12"/>
              </w:rPr>
            </w:pPr>
            <w:r w:rsidRPr="00DC4844">
              <w:rPr>
                <w:color w:val="000000"/>
                <w:sz w:val="12"/>
                <w:szCs w:val="12"/>
              </w:rPr>
              <w:t xml:space="preserve">     Nominal promedio  </w:t>
            </w:r>
          </w:p>
        </w:tc>
        <w:tc>
          <w:tcPr>
            <w:tcW w:w="748" w:type="dxa"/>
            <w:tcBorders>
              <w:top w:val="nil"/>
              <w:left w:val="nil"/>
              <w:bottom w:val="nil"/>
              <w:right w:val="nil"/>
            </w:tcBorders>
            <w:shd w:val="clear" w:color="auto" w:fill="FFFFFF" w:themeFill="background1"/>
            <w:noWrap/>
            <w:vAlign w:val="bottom"/>
            <w:hideMark/>
          </w:tcPr>
          <w:p w14:paraId="6F19786F" w14:textId="5F60BB02" w:rsidR="0020337D" w:rsidRPr="00DC4844" w:rsidRDefault="0020337D" w:rsidP="0020337D">
            <w:pPr>
              <w:jc w:val="right"/>
              <w:rPr>
                <w:color w:val="000000"/>
                <w:sz w:val="12"/>
                <w:szCs w:val="12"/>
              </w:rPr>
            </w:pPr>
            <w:r>
              <w:rPr>
                <w:color w:val="000000"/>
                <w:sz w:val="12"/>
                <w:szCs w:val="12"/>
              </w:rPr>
              <w:t>10</w:t>
            </w:r>
            <w:r w:rsidRPr="00DC4844">
              <w:rPr>
                <w:color w:val="000000"/>
                <w:sz w:val="12"/>
                <w:szCs w:val="12"/>
              </w:rPr>
              <w:t>.</w:t>
            </w:r>
            <w:r>
              <w:rPr>
                <w:color w:val="000000"/>
                <w:sz w:val="12"/>
                <w:szCs w:val="12"/>
              </w:rPr>
              <w:t>7</w:t>
            </w:r>
          </w:p>
        </w:tc>
        <w:tc>
          <w:tcPr>
            <w:tcW w:w="903" w:type="dxa"/>
            <w:tcBorders>
              <w:top w:val="nil"/>
              <w:left w:val="nil"/>
              <w:bottom w:val="nil"/>
              <w:right w:val="nil"/>
            </w:tcBorders>
            <w:shd w:val="clear" w:color="auto" w:fill="FFFFFF" w:themeFill="background1"/>
            <w:vAlign w:val="bottom"/>
          </w:tcPr>
          <w:p w14:paraId="3F2E1A62" w14:textId="77777777" w:rsidR="0020337D" w:rsidRPr="00DC4844" w:rsidRDefault="0020337D" w:rsidP="0020337D">
            <w:pPr>
              <w:jc w:val="right"/>
              <w:rPr>
                <w:color w:val="000000"/>
                <w:sz w:val="12"/>
                <w:szCs w:val="12"/>
              </w:rPr>
            </w:pPr>
            <w:r w:rsidRPr="00DC4844">
              <w:rPr>
                <w:color w:val="000000"/>
                <w:sz w:val="12"/>
                <w:szCs w:val="12"/>
              </w:rPr>
              <w:t>8.4</w:t>
            </w:r>
          </w:p>
        </w:tc>
        <w:tc>
          <w:tcPr>
            <w:tcW w:w="759" w:type="dxa"/>
            <w:tcBorders>
              <w:top w:val="nil"/>
              <w:left w:val="nil"/>
              <w:bottom w:val="nil"/>
              <w:right w:val="nil"/>
            </w:tcBorders>
            <w:shd w:val="clear" w:color="auto" w:fill="FFFFFF" w:themeFill="background1"/>
            <w:vAlign w:val="bottom"/>
          </w:tcPr>
          <w:p w14:paraId="0EF00B7F" w14:textId="3FC52F3A" w:rsidR="0020337D" w:rsidRPr="00DC4844" w:rsidRDefault="00FC06C0" w:rsidP="0020337D">
            <w:pPr>
              <w:jc w:val="right"/>
              <w:rPr>
                <w:color w:val="000000"/>
                <w:sz w:val="12"/>
                <w:szCs w:val="12"/>
              </w:rPr>
            </w:pPr>
            <w:r>
              <w:rPr>
                <w:color w:val="000000"/>
                <w:sz w:val="12"/>
                <w:szCs w:val="12"/>
              </w:rPr>
              <w:t>6.6</w:t>
            </w:r>
          </w:p>
        </w:tc>
        <w:tc>
          <w:tcPr>
            <w:tcW w:w="851" w:type="dxa"/>
            <w:tcBorders>
              <w:top w:val="nil"/>
              <w:left w:val="nil"/>
              <w:bottom w:val="nil"/>
              <w:right w:val="nil"/>
            </w:tcBorders>
            <w:shd w:val="clear" w:color="auto" w:fill="FFFFFF" w:themeFill="background1"/>
            <w:vAlign w:val="bottom"/>
          </w:tcPr>
          <w:p w14:paraId="65CF559B" w14:textId="104318AD" w:rsidR="0020337D" w:rsidRPr="00DC4844" w:rsidRDefault="00FC06C0" w:rsidP="0020337D">
            <w:pPr>
              <w:jc w:val="right"/>
              <w:rPr>
                <w:color w:val="000000"/>
                <w:sz w:val="12"/>
                <w:szCs w:val="12"/>
              </w:rPr>
            </w:pPr>
            <w:r>
              <w:rPr>
                <w:color w:val="000000"/>
                <w:sz w:val="12"/>
                <w:szCs w:val="12"/>
              </w:rPr>
              <w:t>5.7</w:t>
            </w:r>
          </w:p>
        </w:tc>
        <w:tc>
          <w:tcPr>
            <w:tcW w:w="752" w:type="dxa"/>
            <w:tcBorders>
              <w:top w:val="nil"/>
              <w:left w:val="nil"/>
              <w:bottom w:val="nil"/>
              <w:right w:val="nil"/>
            </w:tcBorders>
            <w:shd w:val="clear" w:color="auto" w:fill="FFFFFF" w:themeFill="background1"/>
            <w:vAlign w:val="bottom"/>
          </w:tcPr>
          <w:p w14:paraId="42D65DCB" w14:textId="16BBFCF3" w:rsidR="0020337D" w:rsidRPr="00DC4844" w:rsidRDefault="00FC06C0" w:rsidP="0020337D">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FFFFF" w:themeFill="background1"/>
            <w:vAlign w:val="bottom"/>
          </w:tcPr>
          <w:p w14:paraId="688BB385" w14:textId="3591E3D1" w:rsidR="0020337D" w:rsidRPr="00DC4844" w:rsidRDefault="00FC06C0" w:rsidP="0020337D">
            <w:pPr>
              <w:jc w:val="right"/>
              <w:rPr>
                <w:color w:val="000000"/>
                <w:sz w:val="12"/>
                <w:szCs w:val="12"/>
              </w:rPr>
            </w:pPr>
            <w:r>
              <w:rPr>
                <w:color w:val="000000"/>
                <w:sz w:val="12"/>
                <w:szCs w:val="12"/>
              </w:rPr>
              <w:t>5.5</w:t>
            </w:r>
          </w:p>
        </w:tc>
        <w:tc>
          <w:tcPr>
            <w:tcW w:w="752" w:type="dxa"/>
            <w:tcBorders>
              <w:top w:val="nil"/>
              <w:left w:val="nil"/>
              <w:bottom w:val="nil"/>
              <w:right w:val="nil"/>
            </w:tcBorders>
            <w:shd w:val="clear" w:color="auto" w:fill="FFFFFF" w:themeFill="background1"/>
            <w:vAlign w:val="bottom"/>
          </w:tcPr>
          <w:p w14:paraId="5B9B263D" w14:textId="57795555" w:rsidR="0020337D" w:rsidRPr="00DC4844" w:rsidRDefault="00FC06C0" w:rsidP="0020337D">
            <w:pPr>
              <w:jc w:val="right"/>
              <w:rPr>
                <w:color w:val="000000"/>
                <w:sz w:val="12"/>
                <w:szCs w:val="12"/>
              </w:rPr>
            </w:pPr>
            <w:r>
              <w:rPr>
                <w:color w:val="000000"/>
                <w:sz w:val="12"/>
                <w:szCs w:val="12"/>
              </w:rPr>
              <w:t>5.5</w:t>
            </w:r>
          </w:p>
        </w:tc>
        <w:tc>
          <w:tcPr>
            <w:tcW w:w="752" w:type="dxa"/>
            <w:gridSpan w:val="2"/>
            <w:tcBorders>
              <w:top w:val="nil"/>
              <w:left w:val="nil"/>
              <w:bottom w:val="nil"/>
              <w:right w:val="nil"/>
            </w:tcBorders>
            <w:shd w:val="clear" w:color="auto" w:fill="FFFFFF" w:themeFill="background1"/>
            <w:noWrap/>
            <w:vAlign w:val="bottom"/>
            <w:hideMark/>
          </w:tcPr>
          <w:p w14:paraId="66B6F658" w14:textId="4D5CBCDF" w:rsidR="0020337D" w:rsidRPr="00DC4844" w:rsidRDefault="00FC06C0" w:rsidP="0020337D">
            <w:pPr>
              <w:jc w:val="right"/>
              <w:rPr>
                <w:color w:val="000000"/>
                <w:sz w:val="12"/>
                <w:szCs w:val="12"/>
              </w:rPr>
            </w:pPr>
            <w:r>
              <w:rPr>
                <w:color w:val="000000"/>
                <w:sz w:val="12"/>
                <w:szCs w:val="12"/>
              </w:rPr>
              <w:t>5.5</w:t>
            </w:r>
          </w:p>
        </w:tc>
      </w:tr>
      <w:tr w:rsidR="0020337D" w:rsidRPr="00DC4844" w14:paraId="5C323BA6"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16BD4509" w14:textId="77777777" w:rsidR="0020337D" w:rsidRPr="00DC4844" w:rsidRDefault="0020337D" w:rsidP="0020337D">
            <w:pPr>
              <w:rPr>
                <w:color w:val="000000"/>
                <w:sz w:val="12"/>
                <w:szCs w:val="12"/>
              </w:rPr>
            </w:pPr>
            <w:r w:rsidRPr="00DC4844">
              <w:rPr>
                <w:color w:val="000000"/>
                <w:sz w:val="12"/>
                <w:szCs w:val="12"/>
              </w:rPr>
              <w:t xml:space="preserve">     Real acumulada </w:t>
            </w:r>
          </w:p>
        </w:tc>
        <w:tc>
          <w:tcPr>
            <w:tcW w:w="748" w:type="dxa"/>
            <w:tcBorders>
              <w:top w:val="nil"/>
              <w:left w:val="nil"/>
              <w:bottom w:val="nil"/>
              <w:right w:val="nil"/>
            </w:tcBorders>
            <w:shd w:val="clear" w:color="auto" w:fill="F2F2F2" w:themeFill="background1" w:themeFillShade="F2"/>
            <w:noWrap/>
            <w:vAlign w:val="bottom"/>
            <w:hideMark/>
          </w:tcPr>
          <w:p w14:paraId="760E1F04" w14:textId="5F9CD723" w:rsidR="0020337D" w:rsidRPr="00DC4844" w:rsidRDefault="0020337D" w:rsidP="0020337D">
            <w:pPr>
              <w:jc w:val="right"/>
              <w:rPr>
                <w:color w:val="000000"/>
                <w:sz w:val="12"/>
                <w:szCs w:val="12"/>
              </w:rPr>
            </w:pPr>
            <w:r w:rsidRPr="00DC4844">
              <w:rPr>
                <w:color w:val="000000"/>
                <w:sz w:val="12"/>
                <w:szCs w:val="12"/>
              </w:rPr>
              <w:t>6</w:t>
            </w:r>
            <w:r>
              <w:rPr>
                <w:color w:val="000000"/>
                <w:sz w:val="12"/>
                <w:szCs w:val="12"/>
              </w:rPr>
              <w:t>.8</w:t>
            </w:r>
          </w:p>
        </w:tc>
        <w:tc>
          <w:tcPr>
            <w:tcW w:w="903" w:type="dxa"/>
            <w:tcBorders>
              <w:top w:val="nil"/>
              <w:left w:val="nil"/>
              <w:bottom w:val="nil"/>
              <w:right w:val="nil"/>
            </w:tcBorders>
            <w:shd w:val="clear" w:color="auto" w:fill="F2F2F2" w:themeFill="background1" w:themeFillShade="F2"/>
            <w:vAlign w:val="bottom"/>
          </w:tcPr>
          <w:p w14:paraId="16C8D7DD" w14:textId="77777777" w:rsidR="0020337D" w:rsidRPr="00DC4844" w:rsidRDefault="0020337D" w:rsidP="0020337D">
            <w:pPr>
              <w:jc w:val="right"/>
              <w:rPr>
                <w:color w:val="000000"/>
                <w:sz w:val="12"/>
                <w:szCs w:val="12"/>
              </w:rPr>
            </w:pPr>
            <w:r w:rsidRPr="00DC4844">
              <w:rPr>
                <w:color w:val="000000"/>
                <w:sz w:val="12"/>
                <w:szCs w:val="12"/>
              </w:rPr>
              <w:t>4.8</w:t>
            </w:r>
          </w:p>
        </w:tc>
        <w:tc>
          <w:tcPr>
            <w:tcW w:w="759" w:type="dxa"/>
            <w:tcBorders>
              <w:top w:val="nil"/>
              <w:left w:val="nil"/>
              <w:bottom w:val="nil"/>
              <w:right w:val="nil"/>
            </w:tcBorders>
            <w:shd w:val="clear" w:color="auto" w:fill="F2F2F2" w:themeFill="background1" w:themeFillShade="F2"/>
            <w:vAlign w:val="bottom"/>
          </w:tcPr>
          <w:p w14:paraId="510DE157" w14:textId="2C0BEE5E" w:rsidR="0020337D" w:rsidRPr="00DC4844" w:rsidRDefault="00FC06C0" w:rsidP="0020337D">
            <w:pPr>
              <w:jc w:val="right"/>
              <w:rPr>
                <w:color w:val="000000"/>
                <w:sz w:val="12"/>
                <w:szCs w:val="12"/>
              </w:rPr>
            </w:pPr>
            <w:r>
              <w:rPr>
                <w:color w:val="000000"/>
                <w:sz w:val="12"/>
                <w:szCs w:val="12"/>
              </w:rPr>
              <w:t>3.6</w:t>
            </w:r>
          </w:p>
        </w:tc>
        <w:tc>
          <w:tcPr>
            <w:tcW w:w="851" w:type="dxa"/>
            <w:tcBorders>
              <w:top w:val="nil"/>
              <w:left w:val="nil"/>
              <w:bottom w:val="nil"/>
              <w:right w:val="nil"/>
            </w:tcBorders>
            <w:shd w:val="clear" w:color="auto" w:fill="F2F2F2" w:themeFill="background1" w:themeFillShade="F2"/>
            <w:vAlign w:val="bottom"/>
          </w:tcPr>
          <w:p w14:paraId="412BC7E5" w14:textId="68CBB51E" w:rsidR="0020337D" w:rsidRPr="00DC4844" w:rsidRDefault="00FC06C0" w:rsidP="0020337D">
            <w:pPr>
              <w:jc w:val="right"/>
              <w:rPr>
                <w:color w:val="000000"/>
                <w:sz w:val="12"/>
                <w:szCs w:val="12"/>
              </w:rPr>
            </w:pPr>
            <w:r>
              <w:rPr>
                <w:color w:val="000000"/>
                <w:sz w:val="12"/>
                <w:szCs w:val="12"/>
              </w:rPr>
              <w:t>2</w:t>
            </w:r>
            <w:r w:rsidR="0020337D" w:rsidRPr="00DC4844">
              <w:rPr>
                <w:color w:val="000000"/>
                <w:sz w:val="12"/>
                <w:szCs w:val="12"/>
              </w:rPr>
              <w:t>.8</w:t>
            </w:r>
          </w:p>
        </w:tc>
        <w:tc>
          <w:tcPr>
            <w:tcW w:w="752" w:type="dxa"/>
            <w:tcBorders>
              <w:top w:val="nil"/>
              <w:left w:val="nil"/>
              <w:bottom w:val="nil"/>
              <w:right w:val="nil"/>
            </w:tcBorders>
            <w:shd w:val="clear" w:color="auto" w:fill="F2F2F2" w:themeFill="background1" w:themeFillShade="F2"/>
            <w:vAlign w:val="bottom"/>
          </w:tcPr>
          <w:p w14:paraId="04AFD213" w14:textId="0EFB093D" w:rsidR="0020337D" w:rsidRPr="00DC4844" w:rsidRDefault="00FC06C0" w:rsidP="0020337D">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1EBD86F1" w14:textId="573C4392" w:rsidR="0020337D" w:rsidRPr="00DC4844" w:rsidRDefault="00FC06C0" w:rsidP="0020337D">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090FBCFE" w14:textId="77F4F55A" w:rsidR="0020337D" w:rsidRPr="00DC4844" w:rsidRDefault="00FC06C0" w:rsidP="0020337D">
            <w:pPr>
              <w:jc w:val="right"/>
              <w:rPr>
                <w:color w:val="000000"/>
                <w:sz w:val="12"/>
                <w:szCs w:val="12"/>
              </w:rPr>
            </w:pPr>
            <w:r>
              <w:rPr>
                <w:color w:val="000000"/>
                <w:sz w:val="12"/>
                <w:szCs w:val="12"/>
              </w:rPr>
              <w:t>2.6</w:t>
            </w:r>
          </w:p>
        </w:tc>
        <w:tc>
          <w:tcPr>
            <w:tcW w:w="752" w:type="dxa"/>
            <w:gridSpan w:val="2"/>
            <w:tcBorders>
              <w:top w:val="nil"/>
              <w:left w:val="nil"/>
              <w:bottom w:val="nil"/>
              <w:right w:val="nil"/>
            </w:tcBorders>
            <w:shd w:val="clear" w:color="auto" w:fill="F2F2F2" w:themeFill="background1" w:themeFillShade="F2"/>
            <w:noWrap/>
            <w:vAlign w:val="bottom"/>
            <w:hideMark/>
          </w:tcPr>
          <w:p w14:paraId="320DF30E" w14:textId="3509F6B3" w:rsidR="0020337D" w:rsidRPr="00DC4844" w:rsidRDefault="00FC06C0" w:rsidP="0020337D">
            <w:pPr>
              <w:jc w:val="right"/>
              <w:rPr>
                <w:color w:val="000000"/>
                <w:sz w:val="12"/>
                <w:szCs w:val="12"/>
              </w:rPr>
            </w:pPr>
            <w:r>
              <w:rPr>
                <w:color w:val="000000"/>
                <w:sz w:val="12"/>
                <w:szCs w:val="12"/>
              </w:rPr>
              <w:t>2</w:t>
            </w:r>
            <w:r w:rsidR="0020337D" w:rsidRPr="00DC4844">
              <w:rPr>
                <w:color w:val="000000"/>
                <w:sz w:val="12"/>
                <w:szCs w:val="12"/>
              </w:rPr>
              <w:t>.6</w:t>
            </w:r>
          </w:p>
        </w:tc>
      </w:tr>
      <w:tr w:rsidR="0020337D" w:rsidRPr="00DC4844" w14:paraId="4DEB01BF" w14:textId="77777777" w:rsidTr="0020337D">
        <w:trPr>
          <w:trHeight w:val="300"/>
          <w:jc w:val="center"/>
        </w:trPr>
        <w:tc>
          <w:tcPr>
            <w:tcW w:w="2268" w:type="dxa"/>
            <w:tcBorders>
              <w:top w:val="nil"/>
              <w:left w:val="nil"/>
              <w:bottom w:val="nil"/>
              <w:right w:val="nil"/>
            </w:tcBorders>
            <w:shd w:val="clear" w:color="auto" w:fill="FFFFFF" w:themeFill="background1"/>
            <w:noWrap/>
            <w:vAlign w:val="bottom"/>
          </w:tcPr>
          <w:p w14:paraId="5814EC31" w14:textId="19806D62" w:rsidR="0020337D" w:rsidRPr="00DC4844" w:rsidRDefault="0020337D" w:rsidP="0020337D">
            <w:pPr>
              <w:rPr>
                <w:color w:val="000000"/>
                <w:sz w:val="12"/>
                <w:szCs w:val="12"/>
              </w:rPr>
            </w:pPr>
            <w:r>
              <w:rPr>
                <w:color w:val="000000"/>
                <w:sz w:val="12"/>
                <w:szCs w:val="12"/>
              </w:rPr>
              <w:t>Real fin del periodo, %</w:t>
            </w:r>
          </w:p>
        </w:tc>
        <w:tc>
          <w:tcPr>
            <w:tcW w:w="748" w:type="dxa"/>
            <w:tcBorders>
              <w:top w:val="nil"/>
              <w:left w:val="nil"/>
              <w:bottom w:val="nil"/>
              <w:right w:val="nil"/>
            </w:tcBorders>
            <w:shd w:val="clear" w:color="auto" w:fill="FFFFFF" w:themeFill="background1"/>
            <w:noWrap/>
            <w:vAlign w:val="bottom"/>
          </w:tcPr>
          <w:p w14:paraId="35B5F489" w14:textId="5EE3A85A" w:rsidR="0020337D" w:rsidRPr="00DC4844" w:rsidRDefault="0020337D" w:rsidP="0020337D">
            <w:pPr>
              <w:jc w:val="right"/>
              <w:rPr>
                <w:color w:val="000000"/>
                <w:sz w:val="12"/>
                <w:szCs w:val="12"/>
              </w:rPr>
            </w:pPr>
            <w:r>
              <w:rPr>
                <w:color w:val="000000"/>
                <w:sz w:val="12"/>
                <w:szCs w:val="12"/>
              </w:rPr>
              <w:t>5.4</w:t>
            </w:r>
          </w:p>
        </w:tc>
        <w:tc>
          <w:tcPr>
            <w:tcW w:w="903" w:type="dxa"/>
            <w:tcBorders>
              <w:top w:val="nil"/>
              <w:left w:val="nil"/>
              <w:bottom w:val="nil"/>
              <w:right w:val="nil"/>
            </w:tcBorders>
            <w:shd w:val="clear" w:color="auto" w:fill="FFFFFF" w:themeFill="background1"/>
            <w:vAlign w:val="bottom"/>
          </w:tcPr>
          <w:p w14:paraId="2072F25B" w14:textId="6A404FC0" w:rsidR="0020337D" w:rsidRPr="00DC4844" w:rsidRDefault="00FC06C0" w:rsidP="0020337D">
            <w:pPr>
              <w:jc w:val="right"/>
              <w:rPr>
                <w:color w:val="000000"/>
                <w:sz w:val="12"/>
                <w:szCs w:val="12"/>
              </w:rPr>
            </w:pPr>
            <w:r>
              <w:rPr>
                <w:color w:val="000000"/>
                <w:sz w:val="12"/>
                <w:szCs w:val="12"/>
              </w:rPr>
              <w:t>3.3</w:t>
            </w:r>
          </w:p>
        </w:tc>
        <w:tc>
          <w:tcPr>
            <w:tcW w:w="759" w:type="dxa"/>
            <w:tcBorders>
              <w:top w:val="nil"/>
              <w:left w:val="nil"/>
              <w:bottom w:val="nil"/>
              <w:right w:val="nil"/>
            </w:tcBorders>
            <w:shd w:val="clear" w:color="auto" w:fill="FFFFFF" w:themeFill="background1"/>
            <w:vAlign w:val="bottom"/>
          </w:tcPr>
          <w:p w14:paraId="74C84494" w14:textId="22975721" w:rsidR="0020337D" w:rsidRPr="00DC4844" w:rsidRDefault="00FC06C0" w:rsidP="0020337D">
            <w:pPr>
              <w:jc w:val="right"/>
              <w:rPr>
                <w:color w:val="000000"/>
                <w:sz w:val="12"/>
                <w:szCs w:val="12"/>
              </w:rPr>
            </w:pPr>
            <w:r>
              <w:rPr>
                <w:color w:val="000000"/>
                <w:sz w:val="12"/>
                <w:szCs w:val="12"/>
              </w:rPr>
              <w:t>2.9</w:t>
            </w:r>
          </w:p>
        </w:tc>
        <w:tc>
          <w:tcPr>
            <w:tcW w:w="851" w:type="dxa"/>
            <w:tcBorders>
              <w:top w:val="nil"/>
              <w:left w:val="nil"/>
              <w:bottom w:val="nil"/>
              <w:right w:val="nil"/>
            </w:tcBorders>
            <w:shd w:val="clear" w:color="auto" w:fill="FFFFFF" w:themeFill="background1"/>
            <w:vAlign w:val="bottom"/>
          </w:tcPr>
          <w:p w14:paraId="41FBD275" w14:textId="586D440A" w:rsidR="0020337D" w:rsidRPr="00DC4844" w:rsidRDefault="00FC06C0" w:rsidP="0020337D">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74C5B388" w14:textId="2FEF3A84" w:rsidR="0020337D" w:rsidRPr="00DC4844" w:rsidRDefault="00FC06C0" w:rsidP="0020337D">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5F857139" w14:textId="6D34A7C4" w:rsidR="0020337D" w:rsidRPr="00DC4844" w:rsidRDefault="00FC06C0" w:rsidP="0020337D">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FFFFF" w:themeFill="background1"/>
            <w:vAlign w:val="bottom"/>
          </w:tcPr>
          <w:p w14:paraId="1D558BA0" w14:textId="55FA2AEC" w:rsidR="0020337D" w:rsidRPr="00DC4844" w:rsidRDefault="00FC06C0" w:rsidP="0020337D">
            <w:pPr>
              <w:jc w:val="right"/>
              <w:rPr>
                <w:color w:val="000000"/>
                <w:sz w:val="12"/>
                <w:szCs w:val="12"/>
              </w:rPr>
            </w:pPr>
            <w:r>
              <w:rPr>
                <w:color w:val="000000"/>
                <w:sz w:val="12"/>
                <w:szCs w:val="12"/>
              </w:rPr>
              <w:t>2.4</w:t>
            </w:r>
          </w:p>
        </w:tc>
        <w:tc>
          <w:tcPr>
            <w:tcW w:w="752" w:type="dxa"/>
            <w:gridSpan w:val="2"/>
            <w:tcBorders>
              <w:top w:val="nil"/>
              <w:left w:val="nil"/>
              <w:bottom w:val="nil"/>
              <w:right w:val="nil"/>
            </w:tcBorders>
            <w:shd w:val="clear" w:color="auto" w:fill="FFFFFF" w:themeFill="background1"/>
            <w:noWrap/>
            <w:vAlign w:val="bottom"/>
          </w:tcPr>
          <w:p w14:paraId="75DA2C86" w14:textId="5B81F814" w:rsidR="0020337D" w:rsidRPr="00DC4844" w:rsidRDefault="00FC06C0" w:rsidP="0020337D">
            <w:pPr>
              <w:jc w:val="right"/>
              <w:rPr>
                <w:color w:val="000000"/>
                <w:sz w:val="12"/>
                <w:szCs w:val="12"/>
              </w:rPr>
            </w:pPr>
            <w:r>
              <w:rPr>
                <w:color w:val="000000"/>
                <w:sz w:val="12"/>
                <w:szCs w:val="12"/>
              </w:rPr>
              <w:t>2.4</w:t>
            </w:r>
          </w:p>
        </w:tc>
      </w:tr>
      <w:tr w:rsidR="0020337D" w:rsidRPr="00DC4844" w14:paraId="05987FA9"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tcPr>
          <w:p w14:paraId="3C9B4EC4" w14:textId="5CF7FB35" w:rsidR="0020337D" w:rsidRPr="00DC4844" w:rsidRDefault="0020337D" w:rsidP="0020337D">
            <w:pPr>
              <w:rPr>
                <w:color w:val="000000"/>
                <w:sz w:val="12"/>
                <w:szCs w:val="12"/>
              </w:rPr>
            </w:pPr>
            <w:r>
              <w:rPr>
                <w:color w:val="000000"/>
                <w:sz w:val="12"/>
                <w:szCs w:val="12"/>
              </w:rPr>
              <w:lastRenderedPageBreak/>
              <w:t>Real promedio, %</w:t>
            </w:r>
          </w:p>
        </w:tc>
        <w:tc>
          <w:tcPr>
            <w:tcW w:w="748" w:type="dxa"/>
            <w:tcBorders>
              <w:top w:val="nil"/>
              <w:left w:val="nil"/>
              <w:bottom w:val="nil"/>
              <w:right w:val="nil"/>
            </w:tcBorders>
            <w:shd w:val="clear" w:color="auto" w:fill="F2F2F2" w:themeFill="background1" w:themeFillShade="F2"/>
            <w:noWrap/>
            <w:vAlign w:val="bottom"/>
          </w:tcPr>
          <w:p w14:paraId="2D2998EF" w14:textId="6BE6A907" w:rsidR="0020337D" w:rsidRPr="00DC4844" w:rsidRDefault="0020337D" w:rsidP="0020337D">
            <w:pPr>
              <w:jc w:val="right"/>
              <w:rPr>
                <w:color w:val="000000"/>
                <w:sz w:val="12"/>
                <w:szCs w:val="12"/>
              </w:rPr>
            </w:pPr>
            <w:r>
              <w:rPr>
                <w:color w:val="000000"/>
                <w:sz w:val="12"/>
                <w:szCs w:val="12"/>
              </w:rPr>
              <w:t>5.7</w:t>
            </w:r>
          </w:p>
        </w:tc>
        <w:tc>
          <w:tcPr>
            <w:tcW w:w="903" w:type="dxa"/>
            <w:tcBorders>
              <w:top w:val="nil"/>
              <w:left w:val="nil"/>
              <w:bottom w:val="nil"/>
              <w:right w:val="nil"/>
            </w:tcBorders>
            <w:shd w:val="clear" w:color="auto" w:fill="F2F2F2" w:themeFill="background1" w:themeFillShade="F2"/>
            <w:vAlign w:val="bottom"/>
          </w:tcPr>
          <w:p w14:paraId="2FDCD999" w14:textId="7FE17EA0" w:rsidR="0020337D" w:rsidRPr="00DC4844" w:rsidRDefault="00FC06C0" w:rsidP="0020337D">
            <w:pPr>
              <w:jc w:val="right"/>
              <w:rPr>
                <w:color w:val="000000"/>
                <w:sz w:val="12"/>
                <w:szCs w:val="12"/>
              </w:rPr>
            </w:pPr>
            <w:r>
              <w:rPr>
                <w:color w:val="000000"/>
                <w:sz w:val="12"/>
                <w:szCs w:val="12"/>
              </w:rPr>
              <w:t>4.1</w:t>
            </w:r>
          </w:p>
        </w:tc>
        <w:tc>
          <w:tcPr>
            <w:tcW w:w="759" w:type="dxa"/>
            <w:tcBorders>
              <w:top w:val="nil"/>
              <w:left w:val="nil"/>
              <w:bottom w:val="nil"/>
              <w:right w:val="nil"/>
            </w:tcBorders>
            <w:shd w:val="clear" w:color="auto" w:fill="F2F2F2" w:themeFill="background1" w:themeFillShade="F2"/>
            <w:vAlign w:val="bottom"/>
          </w:tcPr>
          <w:p w14:paraId="46949514" w14:textId="411D72CF" w:rsidR="0020337D" w:rsidRPr="00DC4844" w:rsidRDefault="00FC06C0" w:rsidP="0020337D">
            <w:pPr>
              <w:jc w:val="right"/>
              <w:rPr>
                <w:color w:val="000000"/>
                <w:sz w:val="12"/>
                <w:szCs w:val="12"/>
              </w:rPr>
            </w:pPr>
            <w:r>
              <w:rPr>
                <w:color w:val="000000"/>
                <w:sz w:val="12"/>
                <w:szCs w:val="12"/>
              </w:rPr>
              <w:t>3.0</w:t>
            </w:r>
          </w:p>
        </w:tc>
        <w:tc>
          <w:tcPr>
            <w:tcW w:w="851" w:type="dxa"/>
            <w:tcBorders>
              <w:top w:val="nil"/>
              <w:left w:val="nil"/>
              <w:bottom w:val="nil"/>
              <w:right w:val="nil"/>
            </w:tcBorders>
            <w:shd w:val="clear" w:color="auto" w:fill="F2F2F2" w:themeFill="background1" w:themeFillShade="F2"/>
            <w:vAlign w:val="bottom"/>
          </w:tcPr>
          <w:p w14:paraId="4D27F994" w14:textId="49067657" w:rsidR="0020337D" w:rsidRPr="00DC4844" w:rsidRDefault="00FC06C0" w:rsidP="0020337D">
            <w:pPr>
              <w:jc w:val="right"/>
              <w:rPr>
                <w:color w:val="000000"/>
                <w:sz w:val="12"/>
                <w:szCs w:val="12"/>
              </w:rPr>
            </w:pPr>
            <w:r>
              <w:rPr>
                <w:color w:val="000000"/>
                <w:sz w:val="12"/>
                <w:szCs w:val="12"/>
              </w:rPr>
              <w:t>2.6</w:t>
            </w:r>
          </w:p>
        </w:tc>
        <w:tc>
          <w:tcPr>
            <w:tcW w:w="752" w:type="dxa"/>
            <w:tcBorders>
              <w:top w:val="nil"/>
              <w:left w:val="nil"/>
              <w:bottom w:val="nil"/>
              <w:right w:val="nil"/>
            </w:tcBorders>
            <w:shd w:val="clear" w:color="auto" w:fill="F2F2F2" w:themeFill="background1" w:themeFillShade="F2"/>
            <w:vAlign w:val="bottom"/>
          </w:tcPr>
          <w:p w14:paraId="119E9064" w14:textId="3237BD76" w:rsidR="0020337D" w:rsidRPr="00DC4844" w:rsidRDefault="00FC06C0" w:rsidP="0020337D">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2F2F2" w:themeFill="background1" w:themeFillShade="F2"/>
            <w:vAlign w:val="bottom"/>
          </w:tcPr>
          <w:p w14:paraId="0B15F5D8" w14:textId="2D4EA01B" w:rsidR="0020337D" w:rsidRPr="00DC4844" w:rsidRDefault="00FC06C0" w:rsidP="0020337D">
            <w:pPr>
              <w:jc w:val="right"/>
              <w:rPr>
                <w:color w:val="000000"/>
                <w:sz w:val="12"/>
                <w:szCs w:val="12"/>
              </w:rPr>
            </w:pPr>
            <w:r>
              <w:rPr>
                <w:color w:val="000000"/>
                <w:sz w:val="12"/>
                <w:szCs w:val="12"/>
              </w:rPr>
              <w:t>2.4</w:t>
            </w:r>
          </w:p>
        </w:tc>
        <w:tc>
          <w:tcPr>
            <w:tcW w:w="752" w:type="dxa"/>
            <w:tcBorders>
              <w:top w:val="nil"/>
              <w:left w:val="nil"/>
              <w:bottom w:val="nil"/>
              <w:right w:val="nil"/>
            </w:tcBorders>
            <w:shd w:val="clear" w:color="auto" w:fill="F2F2F2" w:themeFill="background1" w:themeFillShade="F2"/>
            <w:vAlign w:val="bottom"/>
          </w:tcPr>
          <w:p w14:paraId="648504B5" w14:textId="03FC14C7" w:rsidR="0020337D" w:rsidRPr="00DC4844" w:rsidRDefault="00FC06C0" w:rsidP="0020337D">
            <w:pPr>
              <w:jc w:val="right"/>
              <w:rPr>
                <w:color w:val="000000"/>
                <w:sz w:val="12"/>
                <w:szCs w:val="12"/>
              </w:rPr>
            </w:pPr>
            <w:r>
              <w:rPr>
                <w:color w:val="000000"/>
                <w:sz w:val="12"/>
                <w:szCs w:val="12"/>
              </w:rPr>
              <w:t>2.4</w:t>
            </w:r>
          </w:p>
        </w:tc>
        <w:tc>
          <w:tcPr>
            <w:tcW w:w="752" w:type="dxa"/>
            <w:gridSpan w:val="2"/>
            <w:tcBorders>
              <w:top w:val="nil"/>
              <w:left w:val="nil"/>
              <w:bottom w:val="nil"/>
              <w:right w:val="nil"/>
            </w:tcBorders>
            <w:shd w:val="clear" w:color="auto" w:fill="F2F2F2" w:themeFill="background1" w:themeFillShade="F2"/>
            <w:noWrap/>
            <w:vAlign w:val="bottom"/>
          </w:tcPr>
          <w:p w14:paraId="5E127828" w14:textId="7081F553" w:rsidR="0020337D" w:rsidRPr="00DC4844" w:rsidRDefault="00FC06C0" w:rsidP="0020337D">
            <w:pPr>
              <w:jc w:val="right"/>
              <w:rPr>
                <w:color w:val="000000"/>
                <w:sz w:val="12"/>
                <w:szCs w:val="12"/>
              </w:rPr>
            </w:pPr>
            <w:r>
              <w:rPr>
                <w:color w:val="000000"/>
                <w:sz w:val="12"/>
                <w:szCs w:val="12"/>
              </w:rPr>
              <w:t>2.4</w:t>
            </w:r>
          </w:p>
        </w:tc>
      </w:tr>
      <w:tr w:rsidR="0020337D" w:rsidRPr="00DC4844" w14:paraId="27ABA444" w14:textId="77777777" w:rsidTr="0098555B">
        <w:trPr>
          <w:trHeight w:val="300"/>
          <w:jc w:val="center"/>
        </w:trPr>
        <w:tc>
          <w:tcPr>
            <w:tcW w:w="2268" w:type="dxa"/>
            <w:tcBorders>
              <w:top w:val="nil"/>
              <w:left w:val="nil"/>
              <w:bottom w:val="nil"/>
              <w:right w:val="nil"/>
            </w:tcBorders>
            <w:shd w:val="clear" w:color="auto" w:fill="FFFFFF" w:themeFill="background1"/>
            <w:noWrap/>
            <w:vAlign w:val="bottom"/>
            <w:hideMark/>
          </w:tcPr>
          <w:p w14:paraId="0E2727CC" w14:textId="77777777" w:rsidR="0020337D" w:rsidRPr="00DC4844" w:rsidRDefault="0020337D" w:rsidP="0020337D">
            <w:pPr>
              <w:rPr>
                <w:b/>
                <w:bCs/>
                <w:color w:val="000000"/>
                <w:sz w:val="12"/>
                <w:szCs w:val="12"/>
              </w:rPr>
            </w:pPr>
            <w:r w:rsidRPr="00DC4844">
              <w:rPr>
                <w:b/>
                <w:bCs/>
                <w:color w:val="000000"/>
                <w:sz w:val="12"/>
                <w:szCs w:val="12"/>
              </w:rPr>
              <w:t xml:space="preserve">Cuenta Corriente </w:t>
            </w:r>
          </w:p>
        </w:tc>
        <w:tc>
          <w:tcPr>
            <w:tcW w:w="748" w:type="dxa"/>
            <w:tcBorders>
              <w:top w:val="nil"/>
              <w:left w:val="nil"/>
              <w:bottom w:val="nil"/>
              <w:right w:val="nil"/>
            </w:tcBorders>
            <w:shd w:val="clear" w:color="auto" w:fill="FFFFFF" w:themeFill="background1"/>
            <w:noWrap/>
            <w:vAlign w:val="bottom"/>
            <w:hideMark/>
          </w:tcPr>
          <w:p w14:paraId="0F2E8472" w14:textId="77777777" w:rsidR="0020337D" w:rsidRPr="00DC4844" w:rsidRDefault="0020337D" w:rsidP="0020337D">
            <w:pPr>
              <w:rPr>
                <w:b/>
                <w:bCs/>
                <w:color w:val="000000"/>
                <w:sz w:val="12"/>
                <w:szCs w:val="12"/>
              </w:rPr>
            </w:pPr>
            <w:r w:rsidRPr="00DC4844">
              <w:rPr>
                <w:b/>
                <w:bCs/>
                <w:color w:val="000000"/>
                <w:sz w:val="12"/>
                <w:szCs w:val="12"/>
              </w:rPr>
              <w:t> </w:t>
            </w:r>
          </w:p>
        </w:tc>
        <w:tc>
          <w:tcPr>
            <w:tcW w:w="903" w:type="dxa"/>
            <w:tcBorders>
              <w:top w:val="nil"/>
              <w:left w:val="nil"/>
              <w:bottom w:val="nil"/>
              <w:right w:val="nil"/>
            </w:tcBorders>
            <w:shd w:val="clear" w:color="auto" w:fill="FFFFFF" w:themeFill="background1"/>
            <w:vAlign w:val="bottom"/>
          </w:tcPr>
          <w:p w14:paraId="069BB9E6" w14:textId="77777777" w:rsidR="0020337D" w:rsidRPr="00DC4844" w:rsidRDefault="0020337D" w:rsidP="0020337D">
            <w:pPr>
              <w:rPr>
                <w:b/>
                <w:bCs/>
                <w:color w:val="000000"/>
                <w:sz w:val="12"/>
                <w:szCs w:val="12"/>
              </w:rPr>
            </w:pPr>
            <w:r w:rsidRPr="00DC4844">
              <w:rPr>
                <w:b/>
                <w:bCs/>
                <w:color w:val="000000"/>
                <w:sz w:val="12"/>
                <w:szCs w:val="12"/>
              </w:rPr>
              <w:t> </w:t>
            </w:r>
          </w:p>
        </w:tc>
        <w:tc>
          <w:tcPr>
            <w:tcW w:w="759" w:type="dxa"/>
            <w:tcBorders>
              <w:top w:val="nil"/>
              <w:left w:val="nil"/>
              <w:bottom w:val="nil"/>
              <w:right w:val="nil"/>
            </w:tcBorders>
            <w:shd w:val="clear" w:color="auto" w:fill="FFFFFF" w:themeFill="background1"/>
            <w:vAlign w:val="bottom"/>
          </w:tcPr>
          <w:p w14:paraId="0C00B530" w14:textId="3A225716" w:rsidR="0020337D" w:rsidRPr="00DC4844" w:rsidRDefault="0020337D" w:rsidP="0020337D">
            <w:pPr>
              <w:jc w:val="right"/>
              <w:rPr>
                <w:color w:val="000000"/>
                <w:sz w:val="12"/>
                <w:szCs w:val="12"/>
              </w:rPr>
            </w:pPr>
            <w:r w:rsidRPr="00DC4844">
              <w:rPr>
                <w:b/>
                <w:bCs/>
                <w:color w:val="000000"/>
                <w:sz w:val="12"/>
                <w:szCs w:val="12"/>
              </w:rPr>
              <w:t> </w:t>
            </w:r>
          </w:p>
        </w:tc>
        <w:tc>
          <w:tcPr>
            <w:tcW w:w="851" w:type="dxa"/>
            <w:tcBorders>
              <w:top w:val="nil"/>
              <w:left w:val="nil"/>
              <w:bottom w:val="nil"/>
              <w:right w:val="nil"/>
            </w:tcBorders>
            <w:shd w:val="clear" w:color="auto" w:fill="FFFFFF" w:themeFill="background1"/>
            <w:vAlign w:val="bottom"/>
          </w:tcPr>
          <w:p w14:paraId="7349F227" w14:textId="359ED767" w:rsidR="0020337D" w:rsidRPr="00DC4844" w:rsidRDefault="0020337D" w:rsidP="0020337D">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69C72B96" w14:textId="07F1E8DB" w:rsidR="0020337D" w:rsidRPr="00DC4844" w:rsidRDefault="0020337D" w:rsidP="0020337D">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432485DF" w14:textId="57B4D1B6" w:rsidR="0020337D" w:rsidRPr="00DC4844" w:rsidRDefault="0020337D" w:rsidP="0020337D">
            <w:pPr>
              <w:jc w:val="right"/>
              <w:rPr>
                <w:color w:val="000000"/>
                <w:sz w:val="12"/>
                <w:szCs w:val="12"/>
              </w:rPr>
            </w:pPr>
            <w:r w:rsidRPr="00DC4844">
              <w:rPr>
                <w:b/>
                <w:bCs/>
                <w:color w:val="000000"/>
                <w:sz w:val="12"/>
                <w:szCs w:val="12"/>
              </w:rPr>
              <w:t> </w:t>
            </w:r>
          </w:p>
        </w:tc>
        <w:tc>
          <w:tcPr>
            <w:tcW w:w="752" w:type="dxa"/>
            <w:tcBorders>
              <w:top w:val="nil"/>
              <w:left w:val="nil"/>
              <w:bottom w:val="nil"/>
              <w:right w:val="nil"/>
            </w:tcBorders>
            <w:shd w:val="clear" w:color="auto" w:fill="FFFFFF" w:themeFill="background1"/>
            <w:vAlign w:val="bottom"/>
          </w:tcPr>
          <w:p w14:paraId="0573A1C3" w14:textId="66C682E6" w:rsidR="0020337D" w:rsidRPr="00DC4844" w:rsidRDefault="0020337D" w:rsidP="0020337D">
            <w:pPr>
              <w:jc w:val="right"/>
              <w:rPr>
                <w:color w:val="000000"/>
                <w:sz w:val="12"/>
                <w:szCs w:val="12"/>
              </w:rPr>
            </w:pPr>
            <w:r w:rsidRPr="00DC4844">
              <w:rPr>
                <w:b/>
                <w:bCs/>
                <w:color w:val="000000"/>
                <w:sz w:val="12"/>
                <w:szCs w:val="12"/>
              </w:rPr>
              <w:t> </w:t>
            </w:r>
          </w:p>
        </w:tc>
        <w:tc>
          <w:tcPr>
            <w:tcW w:w="752" w:type="dxa"/>
            <w:gridSpan w:val="2"/>
            <w:tcBorders>
              <w:top w:val="nil"/>
              <w:left w:val="nil"/>
              <w:bottom w:val="nil"/>
              <w:right w:val="nil"/>
            </w:tcBorders>
            <w:shd w:val="clear" w:color="auto" w:fill="FFFFFF" w:themeFill="background1"/>
            <w:noWrap/>
            <w:vAlign w:val="bottom"/>
            <w:hideMark/>
          </w:tcPr>
          <w:p w14:paraId="1F374DAD" w14:textId="3BD214C5" w:rsidR="0020337D" w:rsidRPr="00DC4844" w:rsidRDefault="0020337D" w:rsidP="0020337D">
            <w:pPr>
              <w:rPr>
                <w:b/>
                <w:bCs/>
                <w:color w:val="000000"/>
                <w:sz w:val="12"/>
                <w:szCs w:val="12"/>
              </w:rPr>
            </w:pPr>
            <w:r w:rsidRPr="00DC4844">
              <w:rPr>
                <w:b/>
                <w:bCs/>
                <w:color w:val="000000"/>
                <w:sz w:val="12"/>
                <w:szCs w:val="12"/>
              </w:rPr>
              <w:t> </w:t>
            </w:r>
          </w:p>
        </w:tc>
      </w:tr>
      <w:tr w:rsidR="0020337D" w:rsidRPr="00DC4844" w14:paraId="1DD46D14" w14:textId="77777777" w:rsidTr="0098555B">
        <w:trPr>
          <w:trHeight w:val="300"/>
          <w:jc w:val="center"/>
        </w:trPr>
        <w:tc>
          <w:tcPr>
            <w:tcW w:w="2268" w:type="dxa"/>
            <w:tcBorders>
              <w:top w:val="nil"/>
              <w:left w:val="nil"/>
              <w:right w:val="nil"/>
            </w:tcBorders>
            <w:shd w:val="clear" w:color="auto" w:fill="F2F2F2" w:themeFill="background1" w:themeFillShade="F2"/>
            <w:noWrap/>
            <w:vAlign w:val="bottom"/>
            <w:hideMark/>
          </w:tcPr>
          <w:p w14:paraId="7EC983F0" w14:textId="77777777" w:rsidR="0020337D" w:rsidRPr="00DC4844" w:rsidRDefault="0020337D" w:rsidP="0020337D">
            <w:pPr>
              <w:rPr>
                <w:color w:val="000000"/>
                <w:sz w:val="12"/>
                <w:szCs w:val="12"/>
              </w:rPr>
            </w:pPr>
            <w:r w:rsidRPr="00DC4844">
              <w:rPr>
                <w:color w:val="000000"/>
                <w:sz w:val="12"/>
                <w:szCs w:val="12"/>
              </w:rPr>
              <w:t xml:space="preserve">     Millones de dólares </w:t>
            </w:r>
          </w:p>
        </w:tc>
        <w:tc>
          <w:tcPr>
            <w:tcW w:w="748" w:type="dxa"/>
            <w:tcBorders>
              <w:top w:val="nil"/>
              <w:left w:val="nil"/>
              <w:right w:val="nil"/>
            </w:tcBorders>
            <w:shd w:val="clear" w:color="auto" w:fill="F2F2F2" w:themeFill="background1" w:themeFillShade="F2"/>
            <w:noWrap/>
            <w:vAlign w:val="bottom"/>
            <w:hideMark/>
          </w:tcPr>
          <w:p w14:paraId="13D79A15" w14:textId="26AB3349" w:rsidR="0020337D" w:rsidRPr="00DC4844" w:rsidRDefault="0020337D" w:rsidP="0020337D">
            <w:pPr>
              <w:jc w:val="right"/>
              <w:rPr>
                <w:color w:val="000000"/>
                <w:sz w:val="12"/>
                <w:szCs w:val="12"/>
              </w:rPr>
            </w:pPr>
            <w:r w:rsidRPr="00DC4844">
              <w:rPr>
                <w:color w:val="000000"/>
                <w:sz w:val="12"/>
                <w:szCs w:val="12"/>
              </w:rPr>
              <w:t>-</w:t>
            </w:r>
            <w:r>
              <w:rPr>
                <w:color w:val="000000"/>
                <w:sz w:val="12"/>
                <w:szCs w:val="12"/>
              </w:rPr>
              <w:t>16</w:t>
            </w:r>
            <w:r w:rsidRPr="00DC4844">
              <w:rPr>
                <w:color w:val="000000"/>
                <w:sz w:val="12"/>
                <w:szCs w:val="12"/>
              </w:rPr>
              <w:t>,</w:t>
            </w:r>
            <w:r>
              <w:rPr>
                <w:color w:val="000000"/>
                <w:sz w:val="12"/>
                <w:szCs w:val="12"/>
              </w:rPr>
              <w:t>740</w:t>
            </w:r>
          </w:p>
        </w:tc>
        <w:tc>
          <w:tcPr>
            <w:tcW w:w="903" w:type="dxa"/>
            <w:tcBorders>
              <w:top w:val="nil"/>
              <w:left w:val="nil"/>
              <w:right w:val="nil"/>
            </w:tcBorders>
            <w:shd w:val="clear" w:color="auto" w:fill="F2F2F2" w:themeFill="background1" w:themeFillShade="F2"/>
            <w:vAlign w:val="bottom"/>
          </w:tcPr>
          <w:p w14:paraId="513ECFE6" w14:textId="3F25A09B" w:rsidR="0020337D" w:rsidRPr="00DC4844" w:rsidRDefault="0020337D" w:rsidP="0020337D">
            <w:pPr>
              <w:jc w:val="right"/>
              <w:rPr>
                <w:color w:val="000000"/>
                <w:sz w:val="12"/>
                <w:szCs w:val="12"/>
              </w:rPr>
            </w:pPr>
            <w:r w:rsidRPr="00DC4844">
              <w:rPr>
                <w:color w:val="000000"/>
                <w:sz w:val="12"/>
                <w:szCs w:val="12"/>
              </w:rPr>
              <w:t>-5,53</w:t>
            </w:r>
            <w:r w:rsidR="00FC06C0">
              <w:rPr>
                <w:color w:val="000000"/>
                <w:sz w:val="12"/>
                <w:szCs w:val="12"/>
              </w:rPr>
              <w:t>1</w:t>
            </w:r>
          </w:p>
        </w:tc>
        <w:tc>
          <w:tcPr>
            <w:tcW w:w="759" w:type="dxa"/>
            <w:tcBorders>
              <w:top w:val="nil"/>
              <w:left w:val="nil"/>
              <w:right w:val="nil"/>
            </w:tcBorders>
            <w:shd w:val="clear" w:color="auto" w:fill="F2F2F2" w:themeFill="background1" w:themeFillShade="F2"/>
            <w:vAlign w:val="bottom"/>
          </w:tcPr>
          <w:p w14:paraId="60B347B9" w14:textId="491A9CEB" w:rsidR="0020337D" w:rsidRPr="00DC4844" w:rsidRDefault="0020337D" w:rsidP="0020337D">
            <w:pPr>
              <w:jc w:val="right"/>
              <w:rPr>
                <w:color w:val="000000"/>
                <w:sz w:val="12"/>
                <w:szCs w:val="12"/>
              </w:rPr>
            </w:pPr>
            <w:r w:rsidRPr="00DC4844">
              <w:rPr>
                <w:color w:val="000000"/>
                <w:sz w:val="12"/>
                <w:szCs w:val="12"/>
              </w:rPr>
              <w:t>-</w:t>
            </w:r>
            <w:r w:rsidR="00FC06C0">
              <w:rPr>
                <w:color w:val="000000"/>
                <w:sz w:val="12"/>
                <w:szCs w:val="12"/>
              </w:rPr>
              <w:t>12</w:t>
            </w:r>
            <w:r w:rsidRPr="00DC4844">
              <w:rPr>
                <w:color w:val="000000"/>
                <w:sz w:val="12"/>
                <w:szCs w:val="12"/>
              </w:rPr>
              <w:t>,</w:t>
            </w:r>
            <w:r w:rsidR="00FC06C0">
              <w:rPr>
                <w:color w:val="000000"/>
                <w:sz w:val="12"/>
                <w:szCs w:val="12"/>
              </w:rPr>
              <w:t>018</w:t>
            </w:r>
          </w:p>
        </w:tc>
        <w:tc>
          <w:tcPr>
            <w:tcW w:w="851" w:type="dxa"/>
            <w:tcBorders>
              <w:top w:val="nil"/>
              <w:left w:val="nil"/>
              <w:right w:val="nil"/>
            </w:tcBorders>
            <w:shd w:val="clear" w:color="auto" w:fill="F2F2F2" w:themeFill="background1" w:themeFillShade="F2"/>
            <w:vAlign w:val="bottom"/>
          </w:tcPr>
          <w:p w14:paraId="63F99382" w14:textId="7A7298B3" w:rsidR="0020337D" w:rsidRPr="00DC4844" w:rsidRDefault="0020337D" w:rsidP="0020337D">
            <w:pPr>
              <w:jc w:val="right"/>
              <w:rPr>
                <w:color w:val="000000"/>
                <w:sz w:val="12"/>
                <w:szCs w:val="12"/>
              </w:rPr>
            </w:pPr>
            <w:r w:rsidRPr="00DC4844">
              <w:rPr>
                <w:color w:val="000000"/>
                <w:sz w:val="12"/>
                <w:szCs w:val="12"/>
              </w:rPr>
              <w:t>-</w:t>
            </w:r>
            <w:r w:rsidR="00FC06C0">
              <w:rPr>
                <w:color w:val="000000"/>
                <w:sz w:val="12"/>
                <w:szCs w:val="12"/>
              </w:rPr>
              <w:t>11,136</w:t>
            </w:r>
          </w:p>
        </w:tc>
        <w:tc>
          <w:tcPr>
            <w:tcW w:w="752" w:type="dxa"/>
            <w:tcBorders>
              <w:top w:val="nil"/>
              <w:left w:val="nil"/>
              <w:right w:val="nil"/>
            </w:tcBorders>
            <w:shd w:val="clear" w:color="auto" w:fill="F2F2F2" w:themeFill="background1" w:themeFillShade="F2"/>
            <w:vAlign w:val="bottom"/>
          </w:tcPr>
          <w:p w14:paraId="67D67861" w14:textId="4F6B1206" w:rsidR="0020337D" w:rsidRPr="00DC4844" w:rsidRDefault="0020337D" w:rsidP="0020337D">
            <w:pPr>
              <w:jc w:val="right"/>
              <w:rPr>
                <w:color w:val="000000"/>
                <w:sz w:val="12"/>
                <w:szCs w:val="12"/>
              </w:rPr>
            </w:pPr>
            <w:r w:rsidRPr="00DC4844">
              <w:rPr>
                <w:color w:val="000000"/>
                <w:sz w:val="12"/>
                <w:szCs w:val="12"/>
              </w:rPr>
              <w:t>-</w:t>
            </w:r>
            <w:r w:rsidR="00FC06C0">
              <w:rPr>
                <w:color w:val="000000"/>
                <w:sz w:val="12"/>
                <w:szCs w:val="12"/>
              </w:rPr>
              <w:t>9,111</w:t>
            </w:r>
          </w:p>
        </w:tc>
        <w:tc>
          <w:tcPr>
            <w:tcW w:w="752" w:type="dxa"/>
            <w:tcBorders>
              <w:top w:val="nil"/>
              <w:left w:val="nil"/>
              <w:right w:val="nil"/>
            </w:tcBorders>
            <w:shd w:val="clear" w:color="auto" w:fill="F2F2F2" w:themeFill="background1" w:themeFillShade="F2"/>
            <w:vAlign w:val="bottom"/>
          </w:tcPr>
          <w:p w14:paraId="411CE770" w14:textId="5E198FFD" w:rsidR="0020337D" w:rsidRPr="00DC4844" w:rsidRDefault="0020337D" w:rsidP="0020337D">
            <w:pPr>
              <w:jc w:val="right"/>
              <w:rPr>
                <w:color w:val="000000"/>
                <w:sz w:val="12"/>
                <w:szCs w:val="12"/>
              </w:rPr>
            </w:pPr>
            <w:r w:rsidRPr="00DC4844">
              <w:rPr>
                <w:color w:val="000000"/>
                <w:sz w:val="12"/>
                <w:szCs w:val="12"/>
              </w:rPr>
              <w:t>-</w:t>
            </w:r>
            <w:r w:rsidR="00FC06C0">
              <w:rPr>
                <w:color w:val="000000"/>
                <w:sz w:val="12"/>
                <w:szCs w:val="12"/>
              </w:rPr>
              <w:t>10,712</w:t>
            </w:r>
          </w:p>
        </w:tc>
        <w:tc>
          <w:tcPr>
            <w:tcW w:w="752" w:type="dxa"/>
            <w:tcBorders>
              <w:top w:val="nil"/>
              <w:left w:val="nil"/>
              <w:right w:val="nil"/>
            </w:tcBorders>
            <w:shd w:val="clear" w:color="auto" w:fill="F2F2F2" w:themeFill="background1" w:themeFillShade="F2"/>
            <w:vAlign w:val="bottom"/>
          </w:tcPr>
          <w:p w14:paraId="75CE87EF" w14:textId="2657D6FD" w:rsidR="0020337D" w:rsidRPr="00DC4844" w:rsidRDefault="0020337D" w:rsidP="0020337D">
            <w:pPr>
              <w:jc w:val="right"/>
              <w:rPr>
                <w:color w:val="000000"/>
                <w:sz w:val="12"/>
                <w:szCs w:val="12"/>
              </w:rPr>
            </w:pPr>
            <w:r w:rsidRPr="00DC4844">
              <w:rPr>
                <w:color w:val="000000"/>
                <w:sz w:val="12"/>
                <w:szCs w:val="12"/>
              </w:rPr>
              <w:t>-</w:t>
            </w:r>
            <w:r w:rsidR="00FC06C0">
              <w:rPr>
                <w:color w:val="000000"/>
                <w:sz w:val="12"/>
                <w:szCs w:val="12"/>
              </w:rPr>
              <w:t>11,703</w:t>
            </w:r>
          </w:p>
        </w:tc>
        <w:tc>
          <w:tcPr>
            <w:tcW w:w="752" w:type="dxa"/>
            <w:gridSpan w:val="2"/>
            <w:tcBorders>
              <w:top w:val="nil"/>
              <w:left w:val="nil"/>
              <w:right w:val="nil"/>
            </w:tcBorders>
            <w:shd w:val="clear" w:color="auto" w:fill="F2F2F2" w:themeFill="background1" w:themeFillShade="F2"/>
            <w:noWrap/>
            <w:vAlign w:val="bottom"/>
            <w:hideMark/>
          </w:tcPr>
          <w:p w14:paraId="71BA9433" w14:textId="77F19385" w:rsidR="0020337D" w:rsidRPr="00DC4844" w:rsidRDefault="0020337D" w:rsidP="0020337D">
            <w:pPr>
              <w:jc w:val="right"/>
              <w:rPr>
                <w:color w:val="000000"/>
                <w:sz w:val="12"/>
                <w:szCs w:val="12"/>
              </w:rPr>
            </w:pPr>
            <w:r w:rsidRPr="00DC4844">
              <w:rPr>
                <w:color w:val="000000"/>
                <w:sz w:val="12"/>
                <w:szCs w:val="12"/>
              </w:rPr>
              <w:t>-1</w:t>
            </w:r>
            <w:r w:rsidR="00FC06C0">
              <w:rPr>
                <w:color w:val="000000"/>
                <w:sz w:val="12"/>
                <w:szCs w:val="12"/>
              </w:rPr>
              <w:t>1,056</w:t>
            </w:r>
          </w:p>
        </w:tc>
      </w:tr>
      <w:tr w:rsidR="0020337D" w:rsidRPr="00DC4844" w14:paraId="0FD03E12" w14:textId="77777777" w:rsidTr="0098555B">
        <w:trPr>
          <w:trHeight w:val="300"/>
          <w:jc w:val="center"/>
        </w:trPr>
        <w:tc>
          <w:tcPr>
            <w:tcW w:w="2268" w:type="dxa"/>
            <w:tcBorders>
              <w:top w:val="nil"/>
              <w:left w:val="nil"/>
              <w:bottom w:val="single" w:sz="4" w:space="0" w:color="auto"/>
              <w:right w:val="nil"/>
            </w:tcBorders>
            <w:shd w:val="clear" w:color="auto" w:fill="FFFFFF" w:themeFill="background1"/>
            <w:noWrap/>
            <w:vAlign w:val="bottom"/>
            <w:hideMark/>
          </w:tcPr>
          <w:p w14:paraId="7969582D" w14:textId="77777777" w:rsidR="0020337D" w:rsidRPr="00DC4844" w:rsidRDefault="0020337D" w:rsidP="0020337D">
            <w:pPr>
              <w:rPr>
                <w:color w:val="000000"/>
                <w:sz w:val="12"/>
                <w:szCs w:val="12"/>
              </w:rPr>
            </w:pPr>
            <w:r w:rsidRPr="00DC4844">
              <w:rPr>
                <w:color w:val="000000"/>
                <w:sz w:val="12"/>
                <w:szCs w:val="12"/>
              </w:rPr>
              <w:t xml:space="preserve">     % del PIB </w:t>
            </w:r>
          </w:p>
        </w:tc>
        <w:tc>
          <w:tcPr>
            <w:tcW w:w="748" w:type="dxa"/>
            <w:tcBorders>
              <w:top w:val="nil"/>
              <w:left w:val="nil"/>
              <w:bottom w:val="single" w:sz="4" w:space="0" w:color="auto"/>
              <w:right w:val="nil"/>
            </w:tcBorders>
            <w:shd w:val="clear" w:color="auto" w:fill="FFFFFF" w:themeFill="background1"/>
            <w:noWrap/>
            <w:vAlign w:val="bottom"/>
            <w:hideMark/>
          </w:tcPr>
          <w:p w14:paraId="5968B43A" w14:textId="5CE3C13B" w:rsidR="0020337D" w:rsidRPr="00DC4844" w:rsidRDefault="0020337D" w:rsidP="0020337D">
            <w:pPr>
              <w:jc w:val="right"/>
              <w:rPr>
                <w:color w:val="000000"/>
                <w:sz w:val="12"/>
                <w:szCs w:val="12"/>
              </w:rPr>
            </w:pPr>
            <w:r w:rsidRPr="00DC4844">
              <w:rPr>
                <w:color w:val="000000"/>
                <w:sz w:val="12"/>
                <w:szCs w:val="12"/>
              </w:rPr>
              <w:t>-0.</w:t>
            </w:r>
            <w:r>
              <w:rPr>
                <w:color w:val="000000"/>
                <w:sz w:val="12"/>
                <w:szCs w:val="12"/>
              </w:rPr>
              <w:t>9</w:t>
            </w:r>
          </w:p>
        </w:tc>
        <w:tc>
          <w:tcPr>
            <w:tcW w:w="903" w:type="dxa"/>
            <w:tcBorders>
              <w:top w:val="nil"/>
              <w:left w:val="nil"/>
              <w:bottom w:val="single" w:sz="4" w:space="0" w:color="auto"/>
              <w:right w:val="nil"/>
            </w:tcBorders>
            <w:shd w:val="clear" w:color="auto" w:fill="FFFFFF" w:themeFill="background1"/>
            <w:vAlign w:val="bottom"/>
          </w:tcPr>
          <w:p w14:paraId="20D6F4E8" w14:textId="77777777" w:rsidR="0020337D" w:rsidRPr="00DC4844" w:rsidRDefault="0020337D" w:rsidP="0020337D">
            <w:pPr>
              <w:jc w:val="right"/>
              <w:rPr>
                <w:color w:val="000000"/>
                <w:sz w:val="12"/>
                <w:szCs w:val="12"/>
              </w:rPr>
            </w:pPr>
            <w:r w:rsidRPr="00DC4844">
              <w:rPr>
                <w:color w:val="000000"/>
                <w:sz w:val="12"/>
                <w:szCs w:val="12"/>
              </w:rPr>
              <w:t>-0.3</w:t>
            </w:r>
          </w:p>
        </w:tc>
        <w:tc>
          <w:tcPr>
            <w:tcW w:w="759" w:type="dxa"/>
            <w:tcBorders>
              <w:top w:val="nil"/>
              <w:left w:val="nil"/>
              <w:bottom w:val="single" w:sz="4" w:space="0" w:color="auto"/>
              <w:right w:val="nil"/>
            </w:tcBorders>
            <w:shd w:val="clear" w:color="auto" w:fill="FFFFFF" w:themeFill="background1"/>
            <w:vAlign w:val="bottom"/>
          </w:tcPr>
          <w:p w14:paraId="4377B9BE" w14:textId="08ADFE06" w:rsidR="0020337D" w:rsidRPr="00DC4844" w:rsidRDefault="0020337D" w:rsidP="0020337D">
            <w:pPr>
              <w:jc w:val="right"/>
              <w:rPr>
                <w:color w:val="000000"/>
                <w:sz w:val="12"/>
                <w:szCs w:val="12"/>
              </w:rPr>
            </w:pPr>
            <w:r w:rsidRPr="00DC4844">
              <w:rPr>
                <w:color w:val="000000"/>
                <w:sz w:val="12"/>
                <w:szCs w:val="12"/>
              </w:rPr>
              <w:t>-0.</w:t>
            </w:r>
            <w:r w:rsidR="007955E2">
              <w:rPr>
                <w:color w:val="000000"/>
                <w:sz w:val="12"/>
                <w:szCs w:val="12"/>
              </w:rPr>
              <w:t>6</w:t>
            </w:r>
          </w:p>
        </w:tc>
        <w:tc>
          <w:tcPr>
            <w:tcW w:w="851" w:type="dxa"/>
            <w:tcBorders>
              <w:top w:val="nil"/>
              <w:left w:val="nil"/>
              <w:bottom w:val="single" w:sz="4" w:space="0" w:color="auto"/>
              <w:right w:val="nil"/>
            </w:tcBorders>
            <w:shd w:val="clear" w:color="auto" w:fill="FFFFFF" w:themeFill="background1"/>
            <w:vAlign w:val="bottom"/>
          </w:tcPr>
          <w:p w14:paraId="2FC52B67" w14:textId="65557DE9" w:rsidR="0020337D" w:rsidRPr="00DC4844" w:rsidRDefault="0020337D" w:rsidP="0020337D">
            <w:pPr>
              <w:jc w:val="right"/>
              <w:rPr>
                <w:color w:val="000000"/>
                <w:sz w:val="12"/>
                <w:szCs w:val="12"/>
              </w:rPr>
            </w:pPr>
            <w:r w:rsidRPr="00DC4844">
              <w:rPr>
                <w:color w:val="000000"/>
                <w:sz w:val="12"/>
                <w:szCs w:val="12"/>
              </w:rPr>
              <w:t>-0.</w:t>
            </w:r>
            <w:r w:rsidR="007955E2">
              <w:rPr>
                <w:color w:val="000000"/>
                <w:sz w:val="12"/>
                <w:szCs w:val="12"/>
              </w:rPr>
              <w:t>5</w:t>
            </w:r>
          </w:p>
        </w:tc>
        <w:tc>
          <w:tcPr>
            <w:tcW w:w="752" w:type="dxa"/>
            <w:tcBorders>
              <w:top w:val="nil"/>
              <w:left w:val="nil"/>
              <w:bottom w:val="single" w:sz="4" w:space="0" w:color="auto"/>
              <w:right w:val="nil"/>
            </w:tcBorders>
            <w:shd w:val="clear" w:color="auto" w:fill="FFFFFF" w:themeFill="background1"/>
            <w:vAlign w:val="bottom"/>
          </w:tcPr>
          <w:p w14:paraId="6BB6942B" w14:textId="69C8CA01" w:rsidR="0020337D" w:rsidRPr="00DC4844" w:rsidRDefault="0020337D" w:rsidP="0020337D">
            <w:pPr>
              <w:jc w:val="right"/>
              <w:rPr>
                <w:color w:val="000000"/>
                <w:sz w:val="12"/>
                <w:szCs w:val="12"/>
              </w:rPr>
            </w:pPr>
            <w:r w:rsidRPr="00DC4844">
              <w:rPr>
                <w:color w:val="000000"/>
                <w:sz w:val="12"/>
                <w:szCs w:val="12"/>
              </w:rPr>
              <w:t>-0.</w:t>
            </w:r>
            <w:r w:rsidR="00FC06C0">
              <w:rPr>
                <w:color w:val="000000"/>
                <w:sz w:val="12"/>
                <w:szCs w:val="12"/>
              </w:rPr>
              <w:t>4</w:t>
            </w:r>
          </w:p>
        </w:tc>
        <w:tc>
          <w:tcPr>
            <w:tcW w:w="752" w:type="dxa"/>
            <w:tcBorders>
              <w:top w:val="nil"/>
              <w:left w:val="nil"/>
              <w:bottom w:val="single" w:sz="4" w:space="0" w:color="auto"/>
              <w:right w:val="nil"/>
            </w:tcBorders>
            <w:shd w:val="clear" w:color="auto" w:fill="FFFFFF" w:themeFill="background1"/>
            <w:vAlign w:val="bottom"/>
          </w:tcPr>
          <w:p w14:paraId="29D149DB" w14:textId="39EB07AC" w:rsidR="0020337D" w:rsidRPr="00DC4844" w:rsidRDefault="0020337D" w:rsidP="0020337D">
            <w:pPr>
              <w:jc w:val="right"/>
              <w:rPr>
                <w:color w:val="000000"/>
                <w:sz w:val="12"/>
                <w:szCs w:val="12"/>
              </w:rPr>
            </w:pPr>
            <w:r w:rsidRPr="00DC4844">
              <w:rPr>
                <w:color w:val="000000"/>
                <w:sz w:val="12"/>
                <w:szCs w:val="12"/>
              </w:rPr>
              <w:t>-0.</w:t>
            </w:r>
            <w:r w:rsidR="00FC06C0">
              <w:rPr>
                <w:color w:val="000000"/>
                <w:sz w:val="12"/>
                <w:szCs w:val="12"/>
              </w:rPr>
              <w:t>4</w:t>
            </w:r>
          </w:p>
        </w:tc>
        <w:tc>
          <w:tcPr>
            <w:tcW w:w="752" w:type="dxa"/>
            <w:tcBorders>
              <w:top w:val="nil"/>
              <w:left w:val="nil"/>
              <w:bottom w:val="single" w:sz="4" w:space="0" w:color="auto"/>
              <w:right w:val="nil"/>
            </w:tcBorders>
            <w:shd w:val="clear" w:color="auto" w:fill="FFFFFF" w:themeFill="background1"/>
            <w:vAlign w:val="bottom"/>
          </w:tcPr>
          <w:p w14:paraId="69A90CA2" w14:textId="15368538" w:rsidR="0020337D" w:rsidRPr="00DC4844" w:rsidRDefault="0020337D" w:rsidP="0020337D">
            <w:pPr>
              <w:jc w:val="right"/>
              <w:rPr>
                <w:color w:val="000000"/>
                <w:sz w:val="12"/>
                <w:szCs w:val="12"/>
              </w:rPr>
            </w:pPr>
            <w:r w:rsidRPr="00DC4844">
              <w:rPr>
                <w:color w:val="000000"/>
                <w:sz w:val="12"/>
                <w:szCs w:val="12"/>
              </w:rPr>
              <w:t>-0.</w:t>
            </w:r>
            <w:r w:rsidR="00FC06C0">
              <w:rPr>
                <w:color w:val="000000"/>
                <w:sz w:val="12"/>
                <w:szCs w:val="12"/>
              </w:rPr>
              <w:t>4</w:t>
            </w:r>
          </w:p>
        </w:tc>
        <w:tc>
          <w:tcPr>
            <w:tcW w:w="752" w:type="dxa"/>
            <w:gridSpan w:val="2"/>
            <w:tcBorders>
              <w:top w:val="nil"/>
              <w:left w:val="nil"/>
              <w:bottom w:val="single" w:sz="4" w:space="0" w:color="auto"/>
              <w:right w:val="nil"/>
            </w:tcBorders>
            <w:shd w:val="clear" w:color="auto" w:fill="FFFFFF" w:themeFill="background1"/>
            <w:noWrap/>
            <w:vAlign w:val="bottom"/>
            <w:hideMark/>
          </w:tcPr>
          <w:p w14:paraId="717E27F8" w14:textId="0B84EDBE" w:rsidR="0020337D" w:rsidRPr="00DC4844" w:rsidRDefault="0020337D" w:rsidP="0020337D">
            <w:pPr>
              <w:jc w:val="right"/>
              <w:rPr>
                <w:color w:val="000000"/>
                <w:sz w:val="12"/>
                <w:szCs w:val="12"/>
              </w:rPr>
            </w:pPr>
            <w:r w:rsidRPr="00DC4844">
              <w:rPr>
                <w:color w:val="000000"/>
                <w:sz w:val="12"/>
                <w:szCs w:val="12"/>
              </w:rPr>
              <w:t>-0.</w:t>
            </w:r>
            <w:r w:rsidR="00FC06C0">
              <w:rPr>
                <w:color w:val="000000"/>
                <w:sz w:val="12"/>
                <w:szCs w:val="12"/>
              </w:rPr>
              <w:t>4</w:t>
            </w:r>
          </w:p>
        </w:tc>
      </w:tr>
      <w:tr w:rsidR="0020337D" w:rsidRPr="00DC4844" w14:paraId="20528EBD" w14:textId="77777777" w:rsidTr="0098555B">
        <w:trPr>
          <w:trHeight w:val="300"/>
          <w:jc w:val="center"/>
        </w:trPr>
        <w:tc>
          <w:tcPr>
            <w:tcW w:w="2268" w:type="dxa"/>
            <w:tcBorders>
              <w:top w:val="single" w:sz="4" w:space="0" w:color="auto"/>
              <w:left w:val="nil"/>
              <w:right w:val="nil"/>
            </w:tcBorders>
            <w:shd w:val="clear" w:color="auto" w:fill="F2F2F2" w:themeFill="background1" w:themeFillShade="F2"/>
            <w:noWrap/>
            <w:vAlign w:val="bottom"/>
          </w:tcPr>
          <w:p w14:paraId="42E9FE73" w14:textId="77777777" w:rsidR="0020337D" w:rsidRPr="00DC4844" w:rsidRDefault="0020337D" w:rsidP="0020337D">
            <w:pPr>
              <w:rPr>
                <w:color w:val="000000"/>
                <w:sz w:val="12"/>
                <w:szCs w:val="12"/>
              </w:rPr>
            </w:pPr>
            <w:r w:rsidRPr="00DC4844">
              <w:rPr>
                <w:color w:val="000000"/>
                <w:sz w:val="12"/>
                <w:szCs w:val="12"/>
              </w:rPr>
              <w:t>Variables de apoyo:</w:t>
            </w:r>
          </w:p>
        </w:tc>
        <w:tc>
          <w:tcPr>
            <w:tcW w:w="748" w:type="dxa"/>
            <w:tcBorders>
              <w:top w:val="single" w:sz="4" w:space="0" w:color="auto"/>
              <w:left w:val="nil"/>
              <w:right w:val="nil"/>
            </w:tcBorders>
            <w:shd w:val="clear" w:color="auto" w:fill="F2F2F2" w:themeFill="background1" w:themeFillShade="F2"/>
            <w:noWrap/>
            <w:vAlign w:val="bottom"/>
          </w:tcPr>
          <w:p w14:paraId="25D34750" w14:textId="77777777" w:rsidR="0020337D" w:rsidRPr="00DC4844" w:rsidRDefault="0020337D" w:rsidP="0020337D">
            <w:pPr>
              <w:jc w:val="right"/>
              <w:rPr>
                <w:color w:val="000000"/>
                <w:sz w:val="12"/>
                <w:szCs w:val="12"/>
              </w:rPr>
            </w:pPr>
          </w:p>
        </w:tc>
        <w:tc>
          <w:tcPr>
            <w:tcW w:w="903" w:type="dxa"/>
            <w:tcBorders>
              <w:top w:val="single" w:sz="4" w:space="0" w:color="auto"/>
              <w:left w:val="nil"/>
              <w:right w:val="nil"/>
            </w:tcBorders>
            <w:shd w:val="clear" w:color="auto" w:fill="F2F2F2" w:themeFill="background1" w:themeFillShade="F2"/>
            <w:vAlign w:val="bottom"/>
          </w:tcPr>
          <w:p w14:paraId="3563911E" w14:textId="77777777" w:rsidR="0020337D" w:rsidRPr="00DC4844" w:rsidRDefault="0020337D" w:rsidP="0020337D">
            <w:pPr>
              <w:jc w:val="right"/>
              <w:rPr>
                <w:color w:val="000000"/>
                <w:sz w:val="12"/>
                <w:szCs w:val="12"/>
              </w:rPr>
            </w:pPr>
          </w:p>
        </w:tc>
        <w:tc>
          <w:tcPr>
            <w:tcW w:w="759" w:type="dxa"/>
            <w:tcBorders>
              <w:top w:val="single" w:sz="4" w:space="0" w:color="auto"/>
              <w:left w:val="nil"/>
              <w:right w:val="nil"/>
            </w:tcBorders>
            <w:shd w:val="clear" w:color="auto" w:fill="F2F2F2" w:themeFill="background1" w:themeFillShade="F2"/>
            <w:vAlign w:val="bottom"/>
          </w:tcPr>
          <w:p w14:paraId="7E25E423" w14:textId="77777777" w:rsidR="0020337D" w:rsidRPr="00DC4844" w:rsidRDefault="0020337D" w:rsidP="0020337D">
            <w:pPr>
              <w:jc w:val="right"/>
              <w:rPr>
                <w:color w:val="000000"/>
                <w:sz w:val="12"/>
                <w:szCs w:val="12"/>
              </w:rPr>
            </w:pPr>
          </w:p>
        </w:tc>
        <w:tc>
          <w:tcPr>
            <w:tcW w:w="851" w:type="dxa"/>
            <w:tcBorders>
              <w:top w:val="single" w:sz="4" w:space="0" w:color="auto"/>
              <w:left w:val="nil"/>
              <w:right w:val="nil"/>
            </w:tcBorders>
            <w:shd w:val="clear" w:color="auto" w:fill="F2F2F2" w:themeFill="background1" w:themeFillShade="F2"/>
            <w:vAlign w:val="bottom"/>
          </w:tcPr>
          <w:p w14:paraId="4A9F2D3D" w14:textId="77777777" w:rsidR="0020337D" w:rsidRPr="00DC4844" w:rsidRDefault="0020337D" w:rsidP="0020337D">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191A4572" w14:textId="77777777" w:rsidR="0020337D" w:rsidRPr="00DC4844" w:rsidRDefault="0020337D" w:rsidP="0020337D">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0DFF70C0" w14:textId="77777777" w:rsidR="0020337D" w:rsidRPr="00DC4844" w:rsidRDefault="0020337D" w:rsidP="0020337D">
            <w:pPr>
              <w:jc w:val="right"/>
              <w:rPr>
                <w:color w:val="000000"/>
                <w:sz w:val="12"/>
                <w:szCs w:val="12"/>
              </w:rPr>
            </w:pPr>
          </w:p>
        </w:tc>
        <w:tc>
          <w:tcPr>
            <w:tcW w:w="752" w:type="dxa"/>
            <w:tcBorders>
              <w:top w:val="single" w:sz="4" w:space="0" w:color="auto"/>
              <w:left w:val="nil"/>
              <w:right w:val="nil"/>
            </w:tcBorders>
            <w:shd w:val="clear" w:color="auto" w:fill="F2F2F2" w:themeFill="background1" w:themeFillShade="F2"/>
            <w:vAlign w:val="bottom"/>
          </w:tcPr>
          <w:p w14:paraId="36AECDC9" w14:textId="77777777" w:rsidR="0020337D" w:rsidRPr="00DC4844" w:rsidRDefault="0020337D" w:rsidP="0020337D">
            <w:pPr>
              <w:jc w:val="right"/>
              <w:rPr>
                <w:color w:val="000000"/>
                <w:sz w:val="12"/>
                <w:szCs w:val="12"/>
              </w:rPr>
            </w:pPr>
          </w:p>
        </w:tc>
        <w:tc>
          <w:tcPr>
            <w:tcW w:w="752" w:type="dxa"/>
            <w:gridSpan w:val="2"/>
            <w:tcBorders>
              <w:top w:val="single" w:sz="4" w:space="0" w:color="auto"/>
              <w:left w:val="nil"/>
              <w:right w:val="nil"/>
            </w:tcBorders>
            <w:shd w:val="clear" w:color="auto" w:fill="F2F2F2" w:themeFill="background1" w:themeFillShade="F2"/>
            <w:noWrap/>
            <w:vAlign w:val="bottom"/>
          </w:tcPr>
          <w:p w14:paraId="47C3098F" w14:textId="15569C17" w:rsidR="0020337D" w:rsidRPr="00DC4844" w:rsidRDefault="0020337D" w:rsidP="0020337D">
            <w:pPr>
              <w:jc w:val="right"/>
              <w:rPr>
                <w:color w:val="000000"/>
                <w:sz w:val="12"/>
                <w:szCs w:val="12"/>
              </w:rPr>
            </w:pPr>
          </w:p>
        </w:tc>
      </w:tr>
      <w:tr w:rsidR="0020337D" w:rsidRPr="00DC4844" w14:paraId="3EDB6F95" w14:textId="77777777" w:rsidTr="0098555B">
        <w:trPr>
          <w:trHeight w:val="300"/>
          <w:jc w:val="center"/>
        </w:trPr>
        <w:tc>
          <w:tcPr>
            <w:tcW w:w="2268" w:type="dxa"/>
            <w:tcBorders>
              <w:left w:val="nil"/>
              <w:bottom w:val="nil"/>
              <w:right w:val="nil"/>
            </w:tcBorders>
            <w:noWrap/>
            <w:vAlign w:val="bottom"/>
          </w:tcPr>
          <w:p w14:paraId="1A3AAFB2" w14:textId="77777777" w:rsidR="0020337D" w:rsidRPr="00DC4844" w:rsidRDefault="0020337D" w:rsidP="0020337D">
            <w:pPr>
              <w:rPr>
                <w:b/>
                <w:bCs/>
                <w:color w:val="000000"/>
                <w:sz w:val="12"/>
                <w:szCs w:val="12"/>
              </w:rPr>
            </w:pPr>
            <w:r w:rsidRPr="00DC4844">
              <w:rPr>
                <w:b/>
                <w:bCs/>
                <w:color w:val="000000"/>
                <w:sz w:val="12"/>
                <w:szCs w:val="12"/>
              </w:rPr>
              <w:t>PIB EE.UU.</w:t>
            </w:r>
          </w:p>
        </w:tc>
        <w:tc>
          <w:tcPr>
            <w:tcW w:w="748" w:type="dxa"/>
            <w:tcBorders>
              <w:left w:val="nil"/>
              <w:bottom w:val="nil"/>
              <w:right w:val="nil"/>
            </w:tcBorders>
            <w:noWrap/>
            <w:vAlign w:val="bottom"/>
            <w:hideMark/>
          </w:tcPr>
          <w:p w14:paraId="5872FAA2" w14:textId="77777777" w:rsidR="0020337D" w:rsidRPr="00DC4844" w:rsidRDefault="0020337D" w:rsidP="0020337D">
            <w:pPr>
              <w:jc w:val="right"/>
              <w:rPr>
                <w:color w:val="000000"/>
                <w:sz w:val="12"/>
                <w:szCs w:val="12"/>
              </w:rPr>
            </w:pPr>
          </w:p>
        </w:tc>
        <w:tc>
          <w:tcPr>
            <w:tcW w:w="903" w:type="dxa"/>
            <w:tcBorders>
              <w:left w:val="nil"/>
              <w:bottom w:val="nil"/>
              <w:right w:val="nil"/>
            </w:tcBorders>
            <w:vAlign w:val="bottom"/>
          </w:tcPr>
          <w:p w14:paraId="4E05F0D1" w14:textId="77777777" w:rsidR="0020337D" w:rsidRPr="00DC4844" w:rsidRDefault="0020337D" w:rsidP="0020337D">
            <w:pPr>
              <w:jc w:val="right"/>
              <w:rPr>
                <w:color w:val="000000"/>
                <w:sz w:val="12"/>
                <w:szCs w:val="12"/>
              </w:rPr>
            </w:pPr>
          </w:p>
        </w:tc>
        <w:tc>
          <w:tcPr>
            <w:tcW w:w="759" w:type="dxa"/>
            <w:tcBorders>
              <w:left w:val="nil"/>
              <w:bottom w:val="nil"/>
              <w:right w:val="nil"/>
            </w:tcBorders>
            <w:vAlign w:val="bottom"/>
          </w:tcPr>
          <w:p w14:paraId="44E24CAC" w14:textId="77777777" w:rsidR="0020337D" w:rsidRPr="00DC4844" w:rsidRDefault="0020337D" w:rsidP="0020337D">
            <w:pPr>
              <w:jc w:val="right"/>
              <w:rPr>
                <w:color w:val="000000"/>
                <w:sz w:val="12"/>
                <w:szCs w:val="12"/>
              </w:rPr>
            </w:pPr>
          </w:p>
        </w:tc>
        <w:tc>
          <w:tcPr>
            <w:tcW w:w="851" w:type="dxa"/>
            <w:tcBorders>
              <w:left w:val="nil"/>
              <w:bottom w:val="nil"/>
              <w:right w:val="nil"/>
            </w:tcBorders>
            <w:vAlign w:val="bottom"/>
          </w:tcPr>
          <w:p w14:paraId="66EE0A45" w14:textId="77777777" w:rsidR="0020337D" w:rsidRPr="00DC4844" w:rsidRDefault="0020337D" w:rsidP="0020337D">
            <w:pPr>
              <w:jc w:val="right"/>
              <w:rPr>
                <w:color w:val="000000"/>
                <w:sz w:val="12"/>
                <w:szCs w:val="12"/>
              </w:rPr>
            </w:pPr>
          </w:p>
        </w:tc>
        <w:tc>
          <w:tcPr>
            <w:tcW w:w="752" w:type="dxa"/>
            <w:tcBorders>
              <w:left w:val="nil"/>
              <w:bottom w:val="nil"/>
              <w:right w:val="nil"/>
            </w:tcBorders>
            <w:vAlign w:val="bottom"/>
          </w:tcPr>
          <w:p w14:paraId="77DCDF01" w14:textId="77777777" w:rsidR="0020337D" w:rsidRPr="00DC4844" w:rsidRDefault="0020337D" w:rsidP="0020337D">
            <w:pPr>
              <w:jc w:val="right"/>
              <w:rPr>
                <w:color w:val="000000"/>
                <w:sz w:val="12"/>
                <w:szCs w:val="12"/>
              </w:rPr>
            </w:pPr>
          </w:p>
        </w:tc>
        <w:tc>
          <w:tcPr>
            <w:tcW w:w="752" w:type="dxa"/>
            <w:tcBorders>
              <w:left w:val="nil"/>
              <w:bottom w:val="nil"/>
              <w:right w:val="nil"/>
            </w:tcBorders>
            <w:vAlign w:val="bottom"/>
          </w:tcPr>
          <w:p w14:paraId="47A2C1FB" w14:textId="77777777" w:rsidR="0020337D" w:rsidRPr="00DC4844" w:rsidRDefault="0020337D" w:rsidP="0020337D">
            <w:pPr>
              <w:jc w:val="right"/>
              <w:rPr>
                <w:color w:val="000000"/>
                <w:sz w:val="12"/>
                <w:szCs w:val="12"/>
              </w:rPr>
            </w:pPr>
          </w:p>
        </w:tc>
        <w:tc>
          <w:tcPr>
            <w:tcW w:w="752" w:type="dxa"/>
            <w:tcBorders>
              <w:left w:val="nil"/>
              <w:bottom w:val="nil"/>
              <w:right w:val="nil"/>
            </w:tcBorders>
            <w:vAlign w:val="bottom"/>
          </w:tcPr>
          <w:p w14:paraId="4A123804" w14:textId="77777777" w:rsidR="0020337D" w:rsidRPr="00DC4844" w:rsidRDefault="0020337D" w:rsidP="0020337D">
            <w:pPr>
              <w:jc w:val="right"/>
              <w:rPr>
                <w:color w:val="000000"/>
                <w:sz w:val="12"/>
                <w:szCs w:val="12"/>
              </w:rPr>
            </w:pPr>
          </w:p>
        </w:tc>
        <w:tc>
          <w:tcPr>
            <w:tcW w:w="752" w:type="dxa"/>
            <w:gridSpan w:val="2"/>
            <w:tcBorders>
              <w:left w:val="nil"/>
              <w:bottom w:val="nil"/>
              <w:right w:val="nil"/>
            </w:tcBorders>
            <w:noWrap/>
            <w:vAlign w:val="bottom"/>
            <w:hideMark/>
          </w:tcPr>
          <w:p w14:paraId="54F46534" w14:textId="6B197108" w:rsidR="0020337D" w:rsidRPr="00DC4844" w:rsidRDefault="0020337D" w:rsidP="0020337D">
            <w:pPr>
              <w:jc w:val="right"/>
              <w:rPr>
                <w:color w:val="000000"/>
                <w:sz w:val="12"/>
                <w:szCs w:val="12"/>
              </w:rPr>
            </w:pPr>
          </w:p>
        </w:tc>
      </w:tr>
      <w:tr w:rsidR="0020337D" w:rsidRPr="00DC4844" w14:paraId="76BC4A24" w14:textId="77777777" w:rsidTr="0098555B">
        <w:trPr>
          <w:trHeight w:val="300"/>
          <w:jc w:val="center"/>
        </w:trPr>
        <w:tc>
          <w:tcPr>
            <w:tcW w:w="2268" w:type="dxa"/>
            <w:tcBorders>
              <w:left w:val="nil"/>
              <w:bottom w:val="nil"/>
              <w:right w:val="nil"/>
            </w:tcBorders>
            <w:shd w:val="clear" w:color="auto" w:fill="F2F2F2" w:themeFill="background1" w:themeFillShade="F2"/>
            <w:noWrap/>
            <w:vAlign w:val="bottom"/>
          </w:tcPr>
          <w:p w14:paraId="03546BFE" w14:textId="77777777" w:rsidR="0020337D" w:rsidRPr="00DC4844" w:rsidRDefault="0020337D" w:rsidP="0020337D">
            <w:pPr>
              <w:rPr>
                <w:color w:val="000000"/>
                <w:sz w:val="12"/>
                <w:szCs w:val="12"/>
              </w:rPr>
            </w:pPr>
            <w:r w:rsidRPr="00DC4844">
              <w:rPr>
                <w:color w:val="000000"/>
                <w:sz w:val="12"/>
                <w:szCs w:val="12"/>
              </w:rPr>
              <w:t xml:space="preserve">     Crecimiento % real</w:t>
            </w:r>
          </w:p>
        </w:tc>
        <w:tc>
          <w:tcPr>
            <w:tcW w:w="748" w:type="dxa"/>
            <w:tcBorders>
              <w:left w:val="nil"/>
              <w:bottom w:val="nil"/>
              <w:right w:val="nil"/>
            </w:tcBorders>
            <w:shd w:val="clear" w:color="auto" w:fill="F2F2F2" w:themeFill="background1" w:themeFillShade="F2"/>
            <w:noWrap/>
            <w:vAlign w:val="bottom"/>
          </w:tcPr>
          <w:p w14:paraId="58BF9FFA" w14:textId="41EF32AA" w:rsidR="0020337D" w:rsidRPr="00DC4844" w:rsidRDefault="0020337D" w:rsidP="0020337D">
            <w:pPr>
              <w:jc w:val="right"/>
              <w:rPr>
                <w:color w:val="000000"/>
                <w:sz w:val="12"/>
                <w:szCs w:val="12"/>
              </w:rPr>
            </w:pPr>
            <w:r w:rsidRPr="00DC4844">
              <w:rPr>
                <w:color w:val="000000"/>
                <w:sz w:val="12"/>
                <w:szCs w:val="12"/>
              </w:rPr>
              <w:t>2.</w:t>
            </w:r>
            <w:r>
              <w:rPr>
                <w:color w:val="000000"/>
                <w:sz w:val="12"/>
                <w:szCs w:val="12"/>
              </w:rPr>
              <w:t>9</w:t>
            </w:r>
          </w:p>
        </w:tc>
        <w:tc>
          <w:tcPr>
            <w:tcW w:w="903" w:type="dxa"/>
            <w:tcBorders>
              <w:left w:val="nil"/>
              <w:bottom w:val="nil"/>
              <w:right w:val="nil"/>
            </w:tcBorders>
            <w:shd w:val="clear" w:color="auto" w:fill="F2F2F2" w:themeFill="background1" w:themeFillShade="F2"/>
            <w:vAlign w:val="bottom"/>
          </w:tcPr>
          <w:p w14:paraId="4A691635" w14:textId="77777777" w:rsidR="0020337D" w:rsidRPr="00DC4844" w:rsidRDefault="0020337D" w:rsidP="0020337D">
            <w:pPr>
              <w:jc w:val="right"/>
              <w:rPr>
                <w:color w:val="000000"/>
                <w:sz w:val="12"/>
                <w:szCs w:val="12"/>
              </w:rPr>
            </w:pPr>
            <w:r w:rsidRPr="00DC4844">
              <w:rPr>
                <w:color w:val="000000"/>
                <w:sz w:val="12"/>
                <w:szCs w:val="12"/>
              </w:rPr>
              <w:t>1.6</w:t>
            </w:r>
          </w:p>
        </w:tc>
        <w:tc>
          <w:tcPr>
            <w:tcW w:w="759" w:type="dxa"/>
            <w:tcBorders>
              <w:left w:val="nil"/>
              <w:bottom w:val="nil"/>
              <w:right w:val="nil"/>
            </w:tcBorders>
            <w:shd w:val="clear" w:color="auto" w:fill="F2F2F2" w:themeFill="background1" w:themeFillShade="F2"/>
            <w:vAlign w:val="bottom"/>
          </w:tcPr>
          <w:p w14:paraId="0CDF4E08" w14:textId="3D562607"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9</w:t>
            </w:r>
          </w:p>
        </w:tc>
        <w:tc>
          <w:tcPr>
            <w:tcW w:w="851" w:type="dxa"/>
            <w:tcBorders>
              <w:left w:val="nil"/>
              <w:bottom w:val="nil"/>
              <w:right w:val="nil"/>
            </w:tcBorders>
            <w:shd w:val="clear" w:color="auto" w:fill="F2F2F2" w:themeFill="background1" w:themeFillShade="F2"/>
            <w:vAlign w:val="bottom"/>
          </w:tcPr>
          <w:p w14:paraId="6A654489" w14:textId="386A3772" w:rsidR="0020337D" w:rsidRPr="00DC4844" w:rsidRDefault="007955E2" w:rsidP="0020337D">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6E766A0C" w14:textId="118732B4" w:rsidR="0020337D" w:rsidRPr="00DC4844" w:rsidRDefault="007955E2" w:rsidP="0020337D">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5E25D4F0" w14:textId="239A64DE" w:rsidR="0020337D" w:rsidRPr="00DC4844" w:rsidRDefault="007955E2" w:rsidP="0020337D">
            <w:pPr>
              <w:jc w:val="right"/>
              <w:rPr>
                <w:color w:val="000000"/>
                <w:sz w:val="12"/>
                <w:szCs w:val="12"/>
              </w:rPr>
            </w:pPr>
            <w:r>
              <w:rPr>
                <w:color w:val="000000"/>
                <w:sz w:val="12"/>
                <w:szCs w:val="12"/>
              </w:rPr>
              <w:t>2.0</w:t>
            </w:r>
          </w:p>
        </w:tc>
        <w:tc>
          <w:tcPr>
            <w:tcW w:w="752" w:type="dxa"/>
            <w:tcBorders>
              <w:left w:val="nil"/>
              <w:bottom w:val="nil"/>
              <w:right w:val="nil"/>
            </w:tcBorders>
            <w:shd w:val="clear" w:color="auto" w:fill="F2F2F2" w:themeFill="background1" w:themeFillShade="F2"/>
            <w:vAlign w:val="bottom"/>
          </w:tcPr>
          <w:p w14:paraId="52AFC289" w14:textId="2999E5EA" w:rsidR="0020337D" w:rsidRPr="00DC4844" w:rsidRDefault="007955E2" w:rsidP="0020337D">
            <w:pPr>
              <w:jc w:val="right"/>
              <w:rPr>
                <w:color w:val="000000"/>
                <w:sz w:val="12"/>
                <w:szCs w:val="12"/>
              </w:rPr>
            </w:pPr>
            <w:r>
              <w:rPr>
                <w:color w:val="000000"/>
                <w:sz w:val="12"/>
                <w:szCs w:val="12"/>
              </w:rPr>
              <w:t>2.0</w:t>
            </w:r>
          </w:p>
        </w:tc>
        <w:tc>
          <w:tcPr>
            <w:tcW w:w="752" w:type="dxa"/>
            <w:gridSpan w:val="2"/>
            <w:tcBorders>
              <w:left w:val="nil"/>
              <w:bottom w:val="nil"/>
              <w:right w:val="nil"/>
            </w:tcBorders>
            <w:shd w:val="clear" w:color="auto" w:fill="F2F2F2" w:themeFill="background1" w:themeFillShade="F2"/>
            <w:noWrap/>
            <w:vAlign w:val="bottom"/>
          </w:tcPr>
          <w:p w14:paraId="3C85DEAC" w14:textId="2A8EAB46" w:rsidR="0020337D" w:rsidRPr="00DC4844" w:rsidRDefault="007955E2" w:rsidP="0020337D">
            <w:pPr>
              <w:jc w:val="right"/>
              <w:rPr>
                <w:color w:val="000000"/>
                <w:sz w:val="12"/>
                <w:szCs w:val="12"/>
              </w:rPr>
            </w:pPr>
            <w:r>
              <w:rPr>
                <w:color w:val="000000"/>
                <w:sz w:val="12"/>
                <w:szCs w:val="12"/>
              </w:rPr>
              <w:t>2.0</w:t>
            </w:r>
          </w:p>
        </w:tc>
      </w:tr>
      <w:tr w:rsidR="0020337D" w:rsidRPr="00DC4844" w14:paraId="5C63A846" w14:textId="77777777" w:rsidTr="0098555B">
        <w:trPr>
          <w:trHeight w:val="300"/>
          <w:jc w:val="center"/>
        </w:trPr>
        <w:tc>
          <w:tcPr>
            <w:tcW w:w="2268" w:type="dxa"/>
            <w:tcBorders>
              <w:left w:val="nil"/>
              <w:bottom w:val="nil"/>
              <w:right w:val="nil"/>
            </w:tcBorders>
            <w:shd w:val="clear" w:color="auto" w:fill="FFFFFF" w:themeFill="background1"/>
            <w:noWrap/>
            <w:vAlign w:val="bottom"/>
          </w:tcPr>
          <w:p w14:paraId="3075493B" w14:textId="77777777" w:rsidR="0020337D" w:rsidRPr="00DC4844" w:rsidRDefault="0020337D" w:rsidP="0020337D">
            <w:pPr>
              <w:rPr>
                <w:b/>
                <w:bCs/>
                <w:color w:val="000000"/>
                <w:sz w:val="12"/>
                <w:szCs w:val="12"/>
              </w:rPr>
            </w:pPr>
            <w:r w:rsidRPr="00DC4844">
              <w:rPr>
                <w:b/>
                <w:bCs/>
                <w:color w:val="000000"/>
                <w:sz w:val="12"/>
                <w:szCs w:val="12"/>
              </w:rPr>
              <w:t>Producción Industrial EE.UU.</w:t>
            </w:r>
          </w:p>
        </w:tc>
        <w:tc>
          <w:tcPr>
            <w:tcW w:w="748" w:type="dxa"/>
            <w:tcBorders>
              <w:left w:val="nil"/>
              <w:bottom w:val="nil"/>
              <w:right w:val="nil"/>
            </w:tcBorders>
            <w:shd w:val="clear" w:color="auto" w:fill="FFFFFF" w:themeFill="background1"/>
            <w:noWrap/>
            <w:vAlign w:val="bottom"/>
          </w:tcPr>
          <w:p w14:paraId="1E87238B" w14:textId="77777777" w:rsidR="0020337D" w:rsidRPr="00DC4844" w:rsidRDefault="0020337D" w:rsidP="0020337D">
            <w:pPr>
              <w:jc w:val="right"/>
              <w:rPr>
                <w:color w:val="000000"/>
                <w:sz w:val="12"/>
                <w:szCs w:val="12"/>
              </w:rPr>
            </w:pPr>
          </w:p>
        </w:tc>
        <w:tc>
          <w:tcPr>
            <w:tcW w:w="903" w:type="dxa"/>
            <w:tcBorders>
              <w:left w:val="nil"/>
              <w:bottom w:val="nil"/>
              <w:right w:val="nil"/>
            </w:tcBorders>
            <w:shd w:val="clear" w:color="auto" w:fill="FFFFFF" w:themeFill="background1"/>
            <w:vAlign w:val="bottom"/>
          </w:tcPr>
          <w:p w14:paraId="416B4D6F" w14:textId="77777777" w:rsidR="0020337D" w:rsidRPr="00DC4844" w:rsidRDefault="0020337D" w:rsidP="0020337D">
            <w:pPr>
              <w:jc w:val="right"/>
              <w:rPr>
                <w:color w:val="000000"/>
                <w:sz w:val="12"/>
                <w:szCs w:val="12"/>
              </w:rPr>
            </w:pPr>
          </w:p>
        </w:tc>
        <w:tc>
          <w:tcPr>
            <w:tcW w:w="759" w:type="dxa"/>
            <w:tcBorders>
              <w:left w:val="nil"/>
              <w:bottom w:val="nil"/>
              <w:right w:val="nil"/>
            </w:tcBorders>
            <w:shd w:val="clear" w:color="auto" w:fill="FFFFFF" w:themeFill="background1"/>
            <w:vAlign w:val="bottom"/>
          </w:tcPr>
          <w:p w14:paraId="27B23EBC" w14:textId="77777777" w:rsidR="0020337D" w:rsidRPr="00DC4844" w:rsidRDefault="0020337D" w:rsidP="0020337D">
            <w:pPr>
              <w:jc w:val="right"/>
              <w:rPr>
                <w:color w:val="000000"/>
                <w:sz w:val="12"/>
                <w:szCs w:val="12"/>
              </w:rPr>
            </w:pPr>
          </w:p>
        </w:tc>
        <w:tc>
          <w:tcPr>
            <w:tcW w:w="851" w:type="dxa"/>
            <w:tcBorders>
              <w:left w:val="nil"/>
              <w:bottom w:val="nil"/>
              <w:right w:val="nil"/>
            </w:tcBorders>
            <w:shd w:val="clear" w:color="auto" w:fill="FFFFFF" w:themeFill="background1"/>
            <w:vAlign w:val="bottom"/>
          </w:tcPr>
          <w:p w14:paraId="749D051D"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5C315CA6"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44CA0861"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59F75DE8" w14:textId="77777777" w:rsidR="0020337D" w:rsidRPr="00DC4844" w:rsidRDefault="0020337D" w:rsidP="0020337D">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4C866F2B" w14:textId="3BC6F024" w:rsidR="0020337D" w:rsidRPr="00DC4844" w:rsidRDefault="0020337D" w:rsidP="0020337D">
            <w:pPr>
              <w:jc w:val="right"/>
              <w:rPr>
                <w:color w:val="000000"/>
                <w:sz w:val="12"/>
                <w:szCs w:val="12"/>
              </w:rPr>
            </w:pPr>
          </w:p>
        </w:tc>
      </w:tr>
      <w:tr w:rsidR="0020337D" w:rsidRPr="00DC4844" w14:paraId="447C8CFE" w14:textId="77777777" w:rsidTr="0098555B">
        <w:trPr>
          <w:trHeight w:val="300"/>
          <w:jc w:val="center"/>
        </w:trPr>
        <w:tc>
          <w:tcPr>
            <w:tcW w:w="2268" w:type="dxa"/>
            <w:tcBorders>
              <w:left w:val="nil"/>
              <w:bottom w:val="nil"/>
              <w:right w:val="nil"/>
            </w:tcBorders>
            <w:shd w:val="clear" w:color="auto" w:fill="F2F2F2" w:themeFill="background1" w:themeFillShade="F2"/>
            <w:noWrap/>
            <w:vAlign w:val="bottom"/>
          </w:tcPr>
          <w:p w14:paraId="763B7598" w14:textId="77777777" w:rsidR="0020337D" w:rsidRPr="00DC4844" w:rsidRDefault="0020337D" w:rsidP="0020337D">
            <w:pPr>
              <w:rPr>
                <w:color w:val="000000"/>
                <w:sz w:val="12"/>
                <w:szCs w:val="12"/>
              </w:rPr>
            </w:pPr>
            <w:r w:rsidRPr="00DC4844">
              <w:rPr>
                <w:color w:val="000000"/>
                <w:sz w:val="12"/>
                <w:szCs w:val="12"/>
              </w:rPr>
              <w:t xml:space="preserve">     Crecimiento % real</w:t>
            </w:r>
          </w:p>
        </w:tc>
        <w:tc>
          <w:tcPr>
            <w:tcW w:w="748" w:type="dxa"/>
            <w:tcBorders>
              <w:left w:val="nil"/>
              <w:bottom w:val="nil"/>
              <w:right w:val="nil"/>
            </w:tcBorders>
            <w:shd w:val="clear" w:color="auto" w:fill="F2F2F2" w:themeFill="background1" w:themeFillShade="F2"/>
            <w:noWrap/>
            <w:vAlign w:val="bottom"/>
          </w:tcPr>
          <w:p w14:paraId="621B4533" w14:textId="3B32C952" w:rsidR="0020337D" w:rsidRPr="00DC4844" w:rsidRDefault="0020337D" w:rsidP="0020337D">
            <w:pPr>
              <w:jc w:val="right"/>
              <w:rPr>
                <w:color w:val="000000"/>
                <w:sz w:val="12"/>
                <w:szCs w:val="12"/>
              </w:rPr>
            </w:pPr>
            <w:r>
              <w:rPr>
                <w:color w:val="000000"/>
                <w:sz w:val="12"/>
                <w:szCs w:val="12"/>
              </w:rPr>
              <w:t>-</w:t>
            </w:r>
            <w:r w:rsidRPr="00DC4844">
              <w:rPr>
                <w:color w:val="000000"/>
                <w:sz w:val="12"/>
                <w:szCs w:val="12"/>
              </w:rPr>
              <w:t>0</w:t>
            </w:r>
            <w:r>
              <w:rPr>
                <w:color w:val="000000"/>
                <w:sz w:val="12"/>
                <w:szCs w:val="12"/>
              </w:rPr>
              <w:t>.3</w:t>
            </w:r>
          </w:p>
        </w:tc>
        <w:tc>
          <w:tcPr>
            <w:tcW w:w="903" w:type="dxa"/>
            <w:tcBorders>
              <w:left w:val="nil"/>
              <w:bottom w:val="nil"/>
              <w:right w:val="nil"/>
            </w:tcBorders>
            <w:shd w:val="clear" w:color="auto" w:fill="F2F2F2" w:themeFill="background1" w:themeFillShade="F2"/>
            <w:vAlign w:val="bottom"/>
          </w:tcPr>
          <w:p w14:paraId="4B3A8E78" w14:textId="77777777" w:rsidR="0020337D" w:rsidRPr="00DC4844" w:rsidRDefault="0020337D" w:rsidP="0020337D">
            <w:pPr>
              <w:jc w:val="right"/>
              <w:rPr>
                <w:color w:val="000000"/>
                <w:sz w:val="12"/>
                <w:szCs w:val="12"/>
              </w:rPr>
            </w:pPr>
            <w:r w:rsidRPr="00DC4844">
              <w:rPr>
                <w:color w:val="000000"/>
                <w:sz w:val="12"/>
                <w:szCs w:val="12"/>
              </w:rPr>
              <w:t>1.0</w:t>
            </w:r>
          </w:p>
        </w:tc>
        <w:tc>
          <w:tcPr>
            <w:tcW w:w="759" w:type="dxa"/>
            <w:tcBorders>
              <w:left w:val="nil"/>
              <w:bottom w:val="nil"/>
              <w:right w:val="nil"/>
            </w:tcBorders>
            <w:shd w:val="clear" w:color="auto" w:fill="F2F2F2" w:themeFill="background1" w:themeFillShade="F2"/>
            <w:vAlign w:val="bottom"/>
          </w:tcPr>
          <w:p w14:paraId="11AA8E04" w14:textId="38A8B5D0"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1</w:t>
            </w:r>
          </w:p>
        </w:tc>
        <w:tc>
          <w:tcPr>
            <w:tcW w:w="851" w:type="dxa"/>
            <w:tcBorders>
              <w:left w:val="nil"/>
              <w:bottom w:val="nil"/>
              <w:right w:val="nil"/>
            </w:tcBorders>
            <w:shd w:val="clear" w:color="auto" w:fill="F2F2F2" w:themeFill="background1" w:themeFillShade="F2"/>
            <w:vAlign w:val="bottom"/>
          </w:tcPr>
          <w:p w14:paraId="3B7CFE07" w14:textId="646BFCF0" w:rsidR="0020337D" w:rsidRPr="00DC4844" w:rsidRDefault="007955E2" w:rsidP="0020337D">
            <w:pPr>
              <w:jc w:val="right"/>
              <w:rPr>
                <w:color w:val="000000"/>
                <w:sz w:val="12"/>
                <w:szCs w:val="12"/>
              </w:rPr>
            </w:pPr>
            <w:r>
              <w:rPr>
                <w:color w:val="000000"/>
                <w:sz w:val="12"/>
                <w:szCs w:val="12"/>
              </w:rPr>
              <w:t>2</w:t>
            </w:r>
            <w:r w:rsidR="0020337D" w:rsidRPr="00DC4844">
              <w:rPr>
                <w:color w:val="000000"/>
                <w:sz w:val="12"/>
                <w:szCs w:val="12"/>
              </w:rPr>
              <w:t>.</w:t>
            </w:r>
            <w:r>
              <w:rPr>
                <w:color w:val="000000"/>
                <w:sz w:val="12"/>
                <w:szCs w:val="12"/>
              </w:rPr>
              <w:t>2</w:t>
            </w:r>
          </w:p>
        </w:tc>
        <w:tc>
          <w:tcPr>
            <w:tcW w:w="752" w:type="dxa"/>
            <w:tcBorders>
              <w:left w:val="nil"/>
              <w:bottom w:val="nil"/>
              <w:right w:val="nil"/>
            </w:tcBorders>
            <w:shd w:val="clear" w:color="auto" w:fill="F2F2F2" w:themeFill="background1" w:themeFillShade="F2"/>
            <w:vAlign w:val="bottom"/>
          </w:tcPr>
          <w:p w14:paraId="0A71BB36" w14:textId="17FF1AD7" w:rsidR="0020337D" w:rsidRPr="00DC4844" w:rsidRDefault="007955E2" w:rsidP="0020337D">
            <w:pPr>
              <w:jc w:val="right"/>
              <w:rPr>
                <w:color w:val="000000"/>
                <w:sz w:val="12"/>
                <w:szCs w:val="12"/>
              </w:rPr>
            </w:pPr>
            <w:r>
              <w:rPr>
                <w:color w:val="000000"/>
                <w:sz w:val="12"/>
                <w:szCs w:val="12"/>
              </w:rPr>
              <w:t>2.2</w:t>
            </w:r>
          </w:p>
        </w:tc>
        <w:tc>
          <w:tcPr>
            <w:tcW w:w="752" w:type="dxa"/>
            <w:tcBorders>
              <w:left w:val="nil"/>
              <w:bottom w:val="nil"/>
              <w:right w:val="nil"/>
            </w:tcBorders>
            <w:shd w:val="clear" w:color="auto" w:fill="F2F2F2" w:themeFill="background1" w:themeFillShade="F2"/>
            <w:vAlign w:val="bottom"/>
          </w:tcPr>
          <w:p w14:paraId="29CC7274" w14:textId="6FBD8F10" w:rsidR="0020337D" w:rsidRPr="00DC4844" w:rsidRDefault="007955E2" w:rsidP="0020337D">
            <w:pPr>
              <w:jc w:val="right"/>
              <w:rPr>
                <w:color w:val="000000"/>
                <w:sz w:val="12"/>
                <w:szCs w:val="12"/>
              </w:rPr>
            </w:pPr>
            <w:r>
              <w:rPr>
                <w:color w:val="000000"/>
                <w:sz w:val="12"/>
                <w:szCs w:val="12"/>
              </w:rPr>
              <w:t>2.2</w:t>
            </w:r>
          </w:p>
        </w:tc>
        <w:tc>
          <w:tcPr>
            <w:tcW w:w="752" w:type="dxa"/>
            <w:tcBorders>
              <w:left w:val="nil"/>
              <w:bottom w:val="nil"/>
              <w:right w:val="nil"/>
            </w:tcBorders>
            <w:shd w:val="clear" w:color="auto" w:fill="F2F2F2" w:themeFill="background1" w:themeFillShade="F2"/>
            <w:vAlign w:val="bottom"/>
          </w:tcPr>
          <w:p w14:paraId="35E33D35" w14:textId="639C8EB7" w:rsidR="0020337D" w:rsidRPr="00DC4844" w:rsidRDefault="007955E2" w:rsidP="0020337D">
            <w:pPr>
              <w:jc w:val="right"/>
              <w:rPr>
                <w:color w:val="000000"/>
                <w:sz w:val="12"/>
                <w:szCs w:val="12"/>
              </w:rPr>
            </w:pPr>
            <w:r>
              <w:rPr>
                <w:color w:val="000000"/>
                <w:sz w:val="12"/>
                <w:szCs w:val="12"/>
              </w:rPr>
              <w:t>2.2</w:t>
            </w:r>
          </w:p>
        </w:tc>
        <w:tc>
          <w:tcPr>
            <w:tcW w:w="752" w:type="dxa"/>
            <w:gridSpan w:val="2"/>
            <w:tcBorders>
              <w:left w:val="nil"/>
              <w:bottom w:val="nil"/>
              <w:right w:val="nil"/>
            </w:tcBorders>
            <w:shd w:val="clear" w:color="auto" w:fill="F2F2F2" w:themeFill="background1" w:themeFillShade="F2"/>
            <w:noWrap/>
            <w:vAlign w:val="bottom"/>
          </w:tcPr>
          <w:p w14:paraId="20785C60" w14:textId="7B5375AC" w:rsidR="0020337D" w:rsidRPr="00DC4844" w:rsidRDefault="007955E2" w:rsidP="0020337D">
            <w:pPr>
              <w:jc w:val="right"/>
              <w:rPr>
                <w:color w:val="000000"/>
                <w:sz w:val="12"/>
                <w:szCs w:val="12"/>
              </w:rPr>
            </w:pPr>
            <w:r>
              <w:rPr>
                <w:color w:val="000000"/>
                <w:sz w:val="12"/>
                <w:szCs w:val="12"/>
              </w:rPr>
              <w:t>2.2</w:t>
            </w:r>
          </w:p>
        </w:tc>
      </w:tr>
      <w:tr w:rsidR="0020337D" w:rsidRPr="00DC4844" w14:paraId="3E864115" w14:textId="77777777" w:rsidTr="0098555B">
        <w:trPr>
          <w:trHeight w:val="300"/>
          <w:jc w:val="center"/>
        </w:trPr>
        <w:tc>
          <w:tcPr>
            <w:tcW w:w="2268" w:type="dxa"/>
            <w:tcBorders>
              <w:left w:val="nil"/>
              <w:bottom w:val="nil"/>
              <w:right w:val="nil"/>
            </w:tcBorders>
            <w:shd w:val="clear" w:color="auto" w:fill="FFFFFF" w:themeFill="background1"/>
            <w:noWrap/>
            <w:vAlign w:val="bottom"/>
          </w:tcPr>
          <w:p w14:paraId="7939B600" w14:textId="77777777" w:rsidR="0020337D" w:rsidRPr="00DC4844" w:rsidRDefault="0020337D" w:rsidP="0020337D">
            <w:pPr>
              <w:rPr>
                <w:b/>
                <w:bCs/>
                <w:color w:val="000000"/>
                <w:sz w:val="12"/>
                <w:szCs w:val="12"/>
              </w:rPr>
            </w:pPr>
            <w:r w:rsidRPr="00DC4844">
              <w:rPr>
                <w:b/>
                <w:bCs/>
                <w:color w:val="000000"/>
                <w:sz w:val="12"/>
                <w:szCs w:val="12"/>
              </w:rPr>
              <w:t>Inflación EE.UU.</w:t>
            </w:r>
          </w:p>
        </w:tc>
        <w:tc>
          <w:tcPr>
            <w:tcW w:w="748" w:type="dxa"/>
            <w:tcBorders>
              <w:left w:val="nil"/>
              <w:bottom w:val="nil"/>
              <w:right w:val="nil"/>
            </w:tcBorders>
            <w:shd w:val="clear" w:color="auto" w:fill="FFFFFF" w:themeFill="background1"/>
            <w:noWrap/>
            <w:vAlign w:val="bottom"/>
          </w:tcPr>
          <w:p w14:paraId="36081403" w14:textId="77777777" w:rsidR="0020337D" w:rsidRPr="00DC4844" w:rsidRDefault="0020337D" w:rsidP="0020337D">
            <w:pPr>
              <w:jc w:val="right"/>
              <w:rPr>
                <w:color w:val="000000"/>
                <w:sz w:val="12"/>
                <w:szCs w:val="12"/>
              </w:rPr>
            </w:pPr>
          </w:p>
        </w:tc>
        <w:tc>
          <w:tcPr>
            <w:tcW w:w="903" w:type="dxa"/>
            <w:tcBorders>
              <w:left w:val="nil"/>
              <w:bottom w:val="nil"/>
              <w:right w:val="nil"/>
            </w:tcBorders>
            <w:shd w:val="clear" w:color="auto" w:fill="FFFFFF" w:themeFill="background1"/>
            <w:vAlign w:val="bottom"/>
          </w:tcPr>
          <w:p w14:paraId="6EF49439" w14:textId="77777777" w:rsidR="0020337D" w:rsidRPr="00DC4844" w:rsidRDefault="0020337D" w:rsidP="0020337D">
            <w:pPr>
              <w:jc w:val="right"/>
              <w:rPr>
                <w:color w:val="000000"/>
                <w:sz w:val="12"/>
                <w:szCs w:val="12"/>
              </w:rPr>
            </w:pPr>
          </w:p>
        </w:tc>
        <w:tc>
          <w:tcPr>
            <w:tcW w:w="759" w:type="dxa"/>
            <w:tcBorders>
              <w:left w:val="nil"/>
              <w:bottom w:val="nil"/>
              <w:right w:val="nil"/>
            </w:tcBorders>
            <w:shd w:val="clear" w:color="auto" w:fill="FFFFFF" w:themeFill="background1"/>
            <w:vAlign w:val="bottom"/>
          </w:tcPr>
          <w:p w14:paraId="23999B4F" w14:textId="77777777" w:rsidR="0020337D" w:rsidRPr="00DC4844" w:rsidRDefault="0020337D" w:rsidP="0020337D">
            <w:pPr>
              <w:jc w:val="right"/>
              <w:rPr>
                <w:color w:val="000000"/>
                <w:sz w:val="12"/>
                <w:szCs w:val="12"/>
              </w:rPr>
            </w:pPr>
          </w:p>
        </w:tc>
        <w:tc>
          <w:tcPr>
            <w:tcW w:w="851" w:type="dxa"/>
            <w:tcBorders>
              <w:left w:val="nil"/>
              <w:bottom w:val="nil"/>
              <w:right w:val="nil"/>
            </w:tcBorders>
            <w:shd w:val="clear" w:color="auto" w:fill="FFFFFF" w:themeFill="background1"/>
            <w:vAlign w:val="bottom"/>
          </w:tcPr>
          <w:p w14:paraId="7C54B006"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35D34B22"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3EB9C139"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1B3787CC" w14:textId="77777777" w:rsidR="0020337D" w:rsidRPr="00DC4844" w:rsidRDefault="0020337D" w:rsidP="0020337D">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37E74671" w14:textId="69AFE02A" w:rsidR="0020337D" w:rsidRPr="00DC4844" w:rsidRDefault="0020337D" w:rsidP="0020337D">
            <w:pPr>
              <w:jc w:val="right"/>
              <w:rPr>
                <w:color w:val="000000"/>
                <w:sz w:val="12"/>
                <w:szCs w:val="12"/>
              </w:rPr>
            </w:pPr>
          </w:p>
        </w:tc>
      </w:tr>
      <w:tr w:rsidR="0020337D" w:rsidRPr="00DC4844" w14:paraId="7937CCDB" w14:textId="77777777" w:rsidTr="0098555B">
        <w:trPr>
          <w:trHeight w:val="300"/>
          <w:jc w:val="center"/>
        </w:trPr>
        <w:tc>
          <w:tcPr>
            <w:tcW w:w="2268" w:type="dxa"/>
            <w:tcBorders>
              <w:left w:val="nil"/>
              <w:bottom w:val="nil"/>
              <w:right w:val="nil"/>
            </w:tcBorders>
            <w:shd w:val="clear" w:color="auto" w:fill="F2F2F2" w:themeFill="background1" w:themeFillShade="F2"/>
            <w:noWrap/>
            <w:vAlign w:val="bottom"/>
          </w:tcPr>
          <w:p w14:paraId="3F7B88E9" w14:textId="77777777" w:rsidR="0020337D" w:rsidRPr="00DC4844" w:rsidRDefault="0020337D" w:rsidP="0020337D">
            <w:pPr>
              <w:rPr>
                <w:color w:val="000000"/>
                <w:sz w:val="12"/>
                <w:szCs w:val="12"/>
              </w:rPr>
            </w:pPr>
            <w:r w:rsidRPr="00DC4844">
              <w:rPr>
                <w:color w:val="000000"/>
                <w:sz w:val="12"/>
                <w:szCs w:val="12"/>
              </w:rPr>
              <w:t xml:space="preserve">     Promedio</w:t>
            </w:r>
          </w:p>
        </w:tc>
        <w:tc>
          <w:tcPr>
            <w:tcW w:w="748" w:type="dxa"/>
            <w:tcBorders>
              <w:left w:val="nil"/>
              <w:bottom w:val="nil"/>
              <w:right w:val="nil"/>
            </w:tcBorders>
            <w:shd w:val="clear" w:color="auto" w:fill="F2F2F2" w:themeFill="background1" w:themeFillShade="F2"/>
            <w:noWrap/>
            <w:vAlign w:val="bottom"/>
          </w:tcPr>
          <w:p w14:paraId="01403B06" w14:textId="555999C1" w:rsidR="0020337D" w:rsidRPr="00DC4844" w:rsidRDefault="0020337D" w:rsidP="0020337D">
            <w:pPr>
              <w:jc w:val="right"/>
              <w:rPr>
                <w:color w:val="000000"/>
                <w:sz w:val="12"/>
                <w:szCs w:val="12"/>
              </w:rPr>
            </w:pPr>
            <w:r>
              <w:rPr>
                <w:color w:val="000000"/>
                <w:sz w:val="12"/>
                <w:szCs w:val="12"/>
              </w:rPr>
              <w:t>3.0</w:t>
            </w:r>
          </w:p>
        </w:tc>
        <w:tc>
          <w:tcPr>
            <w:tcW w:w="903" w:type="dxa"/>
            <w:tcBorders>
              <w:left w:val="nil"/>
              <w:bottom w:val="nil"/>
              <w:right w:val="nil"/>
            </w:tcBorders>
            <w:shd w:val="clear" w:color="auto" w:fill="F2F2F2" w:themeFill="background1" w:themeFillShade="F2"/>
            <w:vAlign w:val="bottom"/>
          </w:tcPr>
          <w:p w14:paraId="182509A2" w14:textId="77777777" w:rsidR="0020337D" w:rsidRPr="00DC4844" w:rsidRDefault="0020337D" w:rsidP="0020337D">
            <w:pPr>
              <w:jc w:val="right"/>
              <w:rPr>
                <w:color w:val="000000"/>
                <w:sz w:val="12"/>
                <w:szCs w:val="12"/>
              </w:rPr>
            </w:pPr>
            <w:r w:rsidRPr="00DC4844">
              <w:rPr>
                <w:color w:val="000000"/>
                <w:sz w:val="12"/>
                <w:szCs w:val="12"/>
              </w:rPr>
              <w:t>3.0</w:t>
            </w:r>
          </w:p>
        </w:tc>
        <w:tc>
          <w:tcPr>
            <w:tcW w:w="759" w:type="dxa"/>
            <w:tcBorders>
              <w:left w:val="nil"/>
              <w:bottom w:val="nil"/>
              <w:right w:val="nil"/>
            </w:tcBorders>
            <w:shd w:val="clear" w:color="auto" w:fill="F2F2F2" w:themeFill="background1" w:themeFillShade="F2"/>
            <w:vAlign w:val="bottom"/>
          </w:tcPr>
          <w:p w14:paraId="19271224" w14:textId="2DB7A4AB" w:rsidR="0020337D" w:rsidRPr="00DC4844" w:rsidRDefault="007955E2" w:rsidP="0020337D">
            <w:pPr>
              <w:jc w:val="right"/>
              <w:rPr>
                <w:color w:val="000000"/>
                <w:sz w:val="12"/>
                <w:szCs w:val="12"/>
              </w:rPr>
            </w:pPr>
            <w:r>
              <w:rPr>
                <w:color w:val="000000"/>
                <w:sz w:val="12"/>
                <w:szCs w:val="12"/>
              </w:rPr>
              <w:t>2.7</w:t>
            </w:r>
          </w:p>
        </w:tc>
        <w:tc>
          <w:tcPr>
            <w:tcW w:w="851" w:type="dxa"/>
            <w:tcBorders>
              <w:left w:val="nil"/>
              <w:bottom w:val="nil"/>
              <w:right w:val="nil"/>
            </w:tcBorders>
            <w:shd w:val="clear" w:color="auto" w:fill="F2F2F2" w:themeFill="background1" w:themeFillShade="F2"/>
            <w:vAlign w:val="bottom"/>
          </w:tcPr>
          <w:p w14:paraId="71393C1C" w14:textId="6635FFAC" w:rsidR="0020337D" w:rsidRPr="00DC4844" w:rsidRDefault="007955E2" w:rsidP="0020337D">
            <w:pPr>
              <w:jc w:val="right"/>
              <w:rPr>
                <w:color w:val="000000"/>
                <w:sz w:val="12"/>
                <w:szCs w:val="12"/>
              </w:rPr>
            </w:pPr>
            <w:r>
              <w:rPr>
                <w:color w:val="000000"/>
                <w:sz w:val="12"/>
                <w:szCs w:val="12"/>
              </w:rPr>
              <w:t>2.3</w:t>
            </w:r>
          </w:p>
        </w:tc>
        <w:tc>
          <w:tcPr>
            <w:tcW w:w="752" w:type="dxa"/>
            <w:tcBorders>
              <w:left w:val="nil"/>
              <w:bottom w:val="nil"/>
              <w:right w:val="nil"/>
            </w:tcBorders>
            <w:shd w:val="clear" w:color="auto" w:fill="F2F2F2" w:themeFill="background1" w:themeFillShade="F2"/>
            <w:vAlign w:val="bottom"/>
          </w:tcPr>
          <w:p w14:paraId="5222E6F4" w14:textId="172423CE" w:rsidR="0020337D" w:rsidRPr="00DC4844" w:rsidRDefault="007955E2" w:rsidP="0020337D">
            <w:pPr>
              <w:jc w:val="right"/>
              <w:rPr>
                <w:color w:val="000000"/>
                <w:sz w:val="12"/>
                <w:szCs w:val="12"/>
              </w:rPr>
            </w:pPr>
            <w:r>
              <w:rPr>
                <w:color w:val="000000"/>
                <w:sz w:val="12"/>
                <w:szCs w:val="12"/>
              </w:rPr>
              <w:t>2</w:t>
            </w:r>
            <w:r w:rsidR="0020337D" w:rsidRPr="00DC4844">
              <w:rPr>
                <w:color w:val="000000"/>
                <w:sz w:val="12"/>
                <w:szCs w:val="12"/>
              </w:rPr>
              <w:t>.0</w:t>
            </w:r>
          </w:p>
        </w:tc>
        <w:tc>
          <w:tcPr>
            <w:tcW w:w="752" w:type="dxa"/>
            <w:tcBorders>
              <w:left w:val="nil"/>
              <w:bottom w:val="nil"/>
              <w:right w:val="nil"/>
            </w:tcBorders>
            <w:shd w:val="clear" w:color="auto" w:fill="F2F2F2" w:themeFill="background1" w:themeFillShade="F2"/>
            <w:vAlign w:val="bottom"/>
          </w:tcPr>
          <w:p w14:paraId="7F5FBD2F" w14:textId="677ED75A" w:rsidR="0020337D" w:rsidRPr="00DC4844" w:rsidRDefault="007955E2" w:rsidP="0020337D">
            <w:pPr>
              <w:jc w:val="right"/>
              <w:rPr>
                <w:color w:val="000000"/>
                <w:sz w:val="12"/>
                <w:szCs w:val="12"/>
              </w:rPr>
            </w:pPr>
            <w:r>
              <w:rPr>
                <w:color w:val="000000"/>
                <w:sz w:val="12"/>
                <w:szCs w:val="12"/>
              </w:rPr>
              <w:t>2</w:t>
            </w:r>
            <w:r w:rsidR="0020337D" w:rsidRPr="00DC4844">
              <w:rPr>
                <w:color w:val="000000"/>
                <w:sz w:val="12"/>
                <w:szCs w:val="12"/>
              </w:rPr>
              <w:t>.0</w:t>
            </w:r>
          </w:p>
        </w:tc>
        <w:tc>
          <w:tcPr>
            <w:tcW w:w="752" w:type="dxa"/>
            <w:tcBorders>
              <w:left w:val="nil"/>
              <w:bottom w:val="nil"/>
              <w:right w:val="nil"/>
            </w:tcBorders>
            <w:shd w:val="clear" w:color="auto" w:fill="F2F2F2" w:themeFill="background1" w:themeFillShade="F2"/>
            <w:vAlign w:val="bottom"/>
          </w:tcPr>
          <w:p w14:paraId="7E3D6690" w14:textId="3282647C" w:rsidR="0020337D" w:rsidRPr="00DC4844" w:rsidRDefault="007955E2" w:rsidP="0020337D">
            <w:pPr>
              <w:jc w:val="right"/>
              <w:rPr>
                <w:color w:val="000000"/>
                <w:sz w:val="12"/>
                <w:szCs w:val="12"/>
              </w:rPr>
            </w:pPr>
            <w:r>
              <w:rPr>
                <w:color w:val="000000"/>
                <w:sz w:val="12"/>
                <w:szCs w:val="12"/>
              </w:rPr>
              <w:t>2</w:t>
            </w:r>
            <w:r w:rsidR="0020337D" w:rsidRPr="00DC4844">
              <w:rPr>
                <w:color w:val="000000"/>
                <w:sz w:val="12"/>
                <w:szCs w:val="12"/>
              </w:rPr>
              <w:t>.0</w:t>
            </w:r>
          </w:p>
        </w:tc>
        <w:tc>
          <w:tcPr>
            <w:tcW w:w="752" w:type="dxa"/>
            <w:gridSpan w:val="2"/>
            <w:tcBorders>
              <w:left w:val="nil"/>
              <w:bottom w:val="nil"/>
              <w:right w:val="nil"/>
            </w:tcBorders>
            <w:shd w:val="clear" w:color="auto" w:fill="F2F2F2" w:themeFill="background1" w:themeFillShade="F2"/>
            <w:noWrap/>
            <w:vAlign w:val="bottom"/>
          </w:tcPr>
          <w:p w14:paraId="5FEF4505" w14:textId="294D42B0" w:rsidR="0020337D" w:rsidRPr="00DC4844" w:rsidRDefault="0020337D" w:rsidP="0020337D">
            <w:pPr>
              <w:jc w:val="right"/>
              <w:rPr>
                <w:color w:val="000000"/>
                <w:sz w:val="12"/>
                <w:szCs w:val="12"/>
              </w:rPr>
            </w:pPr>
            <w:r w:rsidRPr="00DC4844">
              <w:rPr>
                <w:color w:val="000000"/>
                <w:sz w:val="12"/>
                <w:szCs w:val="12"/>
              </w:rPr>
              <w:t>2.</w:t>
            </w:r>
            <w:r w:rsidR="007955E2">
              <w:rPr>
                <w:color w:val="000000"/>
                <w:sz w:val="12"/>
                <w:szCs w:val="12"/>
              </w:rPr>
              <w:t>0</w:t>
            </w:r>
          </w:p>
        </w:tc>
      </w:tr>
      <w:tr w:rsidR="0020337D" w:rsidRPr="00DC4844" w14:paraId="22B89F89" w14:textId="77777777" w:rsidTr="0098555B">
        <w:trPr>
          <w:trHeight w:val="300"/>
          <w:jc w:val="center"/>
        </w:trPr>
        <w:tc>
          <w:tcPr>
            <w:tcW w:w="2268" w:type="dxa"/>
            <w:tcBorders>
              <w:left w:val="nil"/>
              <w:bottom w:val="nil"/>
              <w:right w:val="nil"/>
            </w:tcBorders>
            <w:shd w:val="clear" w:color="auto" w:fill="FFFFFF" w:themeFill="background1"/>
            <w:noWrap/>
            <w:vAlign w:val="bottom"/>
          </w:tcPr>
          <w:p w14:paraId="6CBAF5A0" w14:textId="77777777" w:rsidR="0020337D" w:rsidRPr="00DC4844" w:rsidRDefault="0020337D" w:rsidP="0020337D">
            <w:pPr>
              <w:rPr>
                <w:b/>
                <w:bCs/>
                <w:color w:val="000000"/>
                <w:sz w:val="12"/>
                <w:szCs w:val="12"/>
              </w:rPr>
            </w:pPr>
            <w:r w:rsidRPr="00DC4844">
              <w:rPr>
                <w:b/>
                <w:bCs/>
                <w:color w:val="000000"/>
                <w:sz w:val="12"/>
                <w:szCs w:val="12"/>
              </w:rPr>
              <w:t>Tasa de interés internacional</w:t>
            </w:r>
          </w:p>
        </w:tc>
        <w:tc>
          <w:tcPr>
            <w:tcW w:w="748" w:type="dxa"/>
            <w:tcBorders>
              <w:left w:val="nil"/>
              <w:bottom w:val="nil"/>
              <w:right w:val="nil"/>
            </w:tcBorders>
            <w:shd w:val="clear" w:color="auto" w:fill="FFFFFF" w:themeFill="background1"/>
            <w:noWrap/>
            <w:vAlign w:val="bottom"/>
          </w:tcPr>
          <w:p w14:paraId="5B6DF5EE" w14:textId="77777777" w:rsidR="0020337D" w:rsidRPr="00DC4844" w:rsidRDefault="0020337D" w:rsidP="0020337D">
            <w:pPr>
              <w:jc w:val="right"/>
              <w:rPr>
                <w:color w:val="000000"/>
                <w:sz w:val="12"/>
                <w:szCs w:val="12"/>
              </w:rPr>
            </w:pPr>
          </w:p>
        </w:tc>
        <w:tc>
          <w:tcPr>
            <w:tcW w:w="903" w:type="dxa"/>
            <w:tcBorders>
              <w:left w:val="nil"/>
              <w:bottom w:val="nil"/>
              <w:right w:val="nil"/>
            </w:tcBorders>
            <w:shd w:val="clear" w:color="auto" w:fill="FFFFFF" w:themeFill="background1"/>
            <w:vAlign w:val="bottom"/>
          </w:tcPr>
          <w:p w14:paraId="2480A093" w14:textId="77777777" w:rsidR="0020337D" w:rsidRPr="00DC4844" w:rsidRDefault="0020337D" w:rsidP="0020337D">
            <w:pPr>
              <w:jc w:val="right"/>
              <w:rPr>
                <w:color w:val="000000"/>
                <w:sz w:val="12"/>
                <w:szCs w:val="12"/>
              </w:rPr>
            </w:pPr>
          </w:p>
        </w:tc>
        <w:tc>
          <w:tcPr>
            <w:tcW w:w="759" w:type="dxa"/>
            <w:tcBorders>
              <w:left w:val="nil"/>
              <w:bottom w:val="nil"/>
              <w:right w:val="nil"/>
            </w:tcBorders>
            <w:shd w:val="clear" w:color="auto" w:fill="FFFFFF" w:themeFill="background1"/>
            <w:vAlign w:val="bottom"/>
          </w:tcPr>
          <w:p w14:paraId="27FC5F16" w14:textId="77777777" w:rsidR="0020337D" w:rsidRPr="00DC4844" w:rsidRDefault="0020337D" w:rsidP="0020337D">
            <w:pPr>
              <w:jc w:val="right"/>
              <w:rPr>
                <w:color w:val="000000"/>
                <w:sz w:val="12"/>
                <w:szCs w:val="12"/>
              </w:rPr>
            </w:pPr>
          </w:p>
        </w:tc>
        <w:tc>
          <w:tcPr>
            <w:tcW w:w="851" w:type="dxa"/>
            <w:tcBorders>
              <w:left w:val="nil"/>
              <w:bottom w:val="nil"/>
              <w:right w:val="nil"/>
            </w:tcBorders>
            <w:shd w:val="clear" w:color="auto" w:fill="FFFFFF" w:themeFill="background1"/>
            <w:vAlign w:val="bottom"/>
          </w:tcPr>
          <w:p w14:paraId="68AF1E72"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2D9311E4"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208D4455"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FFFFF" w:themeFill="background1"/>
            <w:vAlign w:val="bottom"/>
          </w:tcPr>
          <w:p w14:paraId="25735065" w14:textId="77777777" w:rsidR="0020337D" w:rsidRPr="00DC4844" w:rsidRDefault="0020337D" w:rsidP="0020337D">
            <w:pPr>
              <w:jc w:val="right"/>
              <w:rPr>
                <w:color w:val="000000"/>
                <w:sz w:val="12"/>
                <w:szCs w:val="12"/>
              </w:rPr>
            </w:pPr>
          </w:p>
        </w:tc>
        <w:tc>
          <w:tcPr>
            <w:tcW w:w="752" w:type="dxa"/>
            <w:gridSpan w:val="2"/>
            <w:tcBorders>
              <w:left w:val="nil"/>
              <w:bottom w:val="nil"/>
              <w:right w:val="nil"/>
            </w:tcBorders>
            <w:shd w:val="clear" w:color="auto" w:fill="FFFFFF" w:themeFill="background1"/>
            <w:noWrap/>
            <w:vAlign w:val="bottom"/>
          </w:tcPr>
          <w:p w14:paraId="759CFD91" w14:textId="1494A464" w:rsidR="0020337D" w:rsidRPr="00DC4844" w:rsidRDefault="0020337D" w:rsidP="0020337D">
            <w:pPr>
              <w:jc w:val="right"/>
              <w:rPr>
                <w:color w:val="000000"/>
                <w:sz w:val="12"/>
                <w:szCs w:val="12"/>
              </w:rPr>
            </w:pPr>
          </w:p>
        </w:tc>
      </w:tr>
      <w:tr w:rsidR="0020337D" w:rsidRPr="00DC4844" w14:paraId="3E08971A" w14:textId="77777777" w:rsidTr="0098555B">
        <w:trPr>
          <w:trHeight w:val="300"/>
          <w:jc w:val="center"/>
        </w:trPr>
        <w:tc>
          <w:tcPr>
            <w:tcW w:w="2268" w:type="dxa"/>
            <w:tcBorders>
              <w:left w:val="nil"/>
              <w:bottom w:val="nil"/>
              <w:right w:val="nil"/>
            </w:tcBorders>
            <w:shd w:val="clear" w:color="auto" w:fill="F2F2F2" w:themeFill="background1" w:themeFillShade="F2"/>
            <w:noWrap/>
            <w:vAlign w:val="bottom"/>
          </w:tcPr>
          <w:p w14:paraId="1FCD07FD" w14:textId="77777777" w:rsidR="0020337D" w:rsidRPr="00DC4844" w:rsidRDefault="0020337D" w:rsidP="0020337D">
            <w:pPr>
              <w:rPr>
                <w:color w:val="000000"/>
                <w:sz w:val="12"/>
                <w:szCs w:val="12"/>
              </w:rPr>
            </w:pPr>
            <w:r w:rsidRPr="00DC4844">
              <w:rPr>
                <w:color w:val="000000"/>
                <w:sz w:val="12"/>
                <w:szCs w:val="12"/>
              </w:rPr>
              <w:t xml:space="preserve">     SOFR 3 meses (promedio)</w:t>
            </w:r>
          </w:p>
        </w:tc>
        <w:tc>
          <w:tcPr>
            <w:tcW w:w="748" w:type="dxa"/>
            <w:tcBorders>
              <w:left w:val="nil"/>
              <w:bottom w:val="nil"/>
              <w:right w:val="nil"/>
            </w:tcBorders>
            <w:shd w:val="clear" w:color="auto" w:fill="F2F2F2" w:themeFill="background1" w:themeFillShade="F2"/>
            <w:noWrap/>
            <w:vAlign w:val="bottom"/>
          </w:tcPr>
          <w:p w14:paraId="17B837C0" w14:textId="7FDB326D" w:rsidR="0020337D" w:rsidRPr="00DC4844" w:rsidRDefault="0020337D" w:rsidP="0020337D">
            <w:pPr>
              <w:jc w:val="right"/>
              <w:rPr>
                <w:color w:val="000000"/>
                <w:sz w:val="12"/>
                <w:szCs w:val="12"/>
              </w:rPr>
            </w:pPr>
            <w:r>
              <w:rPr>
                <w:color w:val="000000"/>
                <w:sz w:val="12"/>
                <w:szCs w:val="12"/>
              </w:rPr>
              <w:t>5</w:t>
            </w:r>
            <w:r w:rsidRPr="00DC4844">
              <w:rPr>
                <w:color w:val="000000"/>
                <w:sz w:val="12"/>
                <w:szCs w:val="12"/>
              </w:rPr>
              <w:t>.3</w:t>
            </w:r>
          </w:p>
        </w:tc>
        <w:tc>
          <w:tcPr>
            <w:tcW w:w="903" w:type="dxa"/>
            <w:tcBorders>
              <w:left w:val="nil"/>
              <w:bottom w:val="nil"/>
              <w:right w:val="nil"/>
            </w:tcBorders>
            <w:shd w:val="clear" w:color="auto" w:fill="F2F2F2" w:themeFill="background1" w:themeFillShade="F2"/>
            <w:vAlign w:val="bottom"/>
          </w:tcPr>
          <w:p w14:paraId="113F7521" w14:textId="77777777" w:rsidR="0020337D" w:rsidRPr="00DC4844" w:rsidRDefault="0020337D" w:rsidP="0020337D">
            <w:pPr>
              <w:jc w:val="right"/>
              <w:rPr>
                <w:color w:val="000000"/>
                <w:sz w:val="12"/>
                <w:szCs w:val="12"/>
              </w:rPr>
            </w:pPr>
            <w:r w:rsidRPr="00DC4844">
              <w:rPr>
                <w:color w:val="000000"/>
                <w:sz w:val="12"/>
                <w:szCs w:val="12"/>
              </w:rPr>
              <w:t>4.2</w:t>
            </w:r>
          </w:p>
        </w:tc>
        <w:tc>
          <w:tcPr>
            <w:tcW w:w="759" w:type="dxa"/>
            <w:tcBorders>
              <w:left w:val="nil"/>
              <w:bottom w:val="nil"/>
              <w:right w:val="nil"/>
            </w:tcBorders>
            <w:shd w:val="clear" w:color="auto" w:fill="F2F2F2" w:themeFill="background1" w:themeFillShade="F2"/>
            <w:vAlign w:val="bottom"/>
          </w:tcPr>
          <w:p w14:paraId="69653801" w14:textId="0C41E0EC" w:rsidR="0020337D" w:rsidRPr="00DC4844" w:rsidRDefault="007955E2" w:rsidP="0020337D">
            <w:pPr>
              <w:jc w:val="right"/>
              <w:rPr>
                <w:color w:val="000000"/>
                <w:sz w:val="12"/>
                <w:szCs w:val="12"/>
              </w:rPr>
            </w:pPr>
            <w:r>
              <w:rPr>
                <w:color w:val="000000"/>
                <w:sz w:val="12"/>
                <w:szCs w:val="12"/>
              </w:rPr>
              <w:t>3.5</w:t>
            </w:r>
          </w:p>
        </w:tc>
        <w:tc>
          <w:tcPr>
            <w:tcW w:w="851" w:type="dxa"/>
            <w:tcBorders>
              <w:left w:val="nil"/>
              <w:bottom w:val="nil"/>
              <w:right w:val="nil"/>
            </w:tcBorders>
            <w:shd w:val="clear" w:color="auto" w:fill="F2F2F2" w:themeFill="background1" w:themeFillShade="F2"/>
            <w:vAlign w:val="bottom"/>
          </w:tcPr>
          <w:p w14:paraId="45C3F160" w14:textId="3A140DF5" w:rsidR="0020337D" w:rsidRPr="00DC4844" w:rsidRDefault="007955E2" w:rsidP="0020337D">
            <w:pPr>
              <w:jc w:val="right"/>
              <w:rPr>
                <w:color w:val="000000"/>
                <w:sz w:val="12"/>
                <w:szCs w:val="12"/>
              </w:rPr>
            </w:pPr>
            <w:r>
              <w:rPr>
                <w:color w:val="000000"/>
                <w:sz w:val="12"/>
                <w:szCs w:val="12"/>
              </w:rPr>
              <w:t>3.3</w:t>
            </w:r>
          </w:p>
        </w:tc>
        <w:tc>
          <w:tcPr>
            <w:tcW w:w="752" w:type="dxa"/>
            <w:tcBorders>
              <w:left w:val="nil"/>
              <w:bottom w:val="nil"/>
              <w:right w:val="nil"/>
            </w:tcBorders>
            <w:shd w:val="clear" w:color="auto" w:fill="F2F2F2" w:themeFill="background1" w:themeFillShade="F2"/>
            <w:vAlign w:val="bottom"/>
          </w:tcPr>
          <w:p w14:paraId="7EA4D823" w14:textId="22C75002" w:rsidR="0020337D" w:rsidRPr="00DC4844" w:rsidRDefault="007955E2" w:rsidP="0020337D">
            <w:pPr>
              <w:jc w:val="right"/>
              <w:rPr>
                <w:color w:val="000000"/>
                <w:sz w:val="12"/>
                <w:szCs w:val="12"/>
              </w:rPr>
            </w:pPr>
            <w:r>
              <w:rPr>
                <w:color w:val="000000"/>
                <w:sz w:val="12"/>
                <w:szCs w:val="12"/>
              </w:rPr>
              <w:t>3.4</w:t>
            </w:r>
          </w:p>
        </w:tc>
        <w:tc>
          <w:tcPr>
            <w:tcW w:w="752" w:type="dxa"/>
            <w:tcBorders>
              <w:left w:val="nil"/>
              <w:bottom w:val="nil"/>
              <w:right w:val="nil"/>
            </w:tcBorders>
            <w:shd w:val="clear" w:color="auto" w:fill="F2F2F2" w:themeFill="background1" w:themeFillShade="F2"/>
            <w:vAlign w:val="bottom"/>
          </w:tcPr>
          <w:p w14:paraId="53440421" w14:textId="6A1E1450" w:rsidR="0020337D" w:rsidRPr="00DC4844" w:rsidRDefault="007955E2" w:rsidP="0020337D">
            <w:pPr>
              <w:jc w:val="right"/>
              <w:rPr>
                <w:color w:val="000000"/>
                <w:sz w:val="12"/>
                <w:szCs w:val="12"/>
              </w:rPr>
            </w:pPr>
            <w:r>
              <w:rPr>
                <w:color w:val="000000"/>
                <w:sz w:val="12"/>
                <w:szCs w:val="12"/>
              </w:rPr>
              <w:t>3.6</w:t>
            </w:r>
          </w:p>
        </w:tc>
        <w:tc>
          <w:tcPr>
            <w:tcW w:w="752" w:type="dxa"/>
            <w:tcBorders>
              <w:left w:val="nil"/>
              <w:bottom w:val="nil"/>
              <w:right w:val="nil"/>
            </w:tcBorders>
            <w:shd w:val="clear" w:color="auto" w:fill="F2F2F2" w:themeFill="background1" w:themeFillShade="F2"/>
            <w:vAlign w:val="bottom"/>
          </w:tcPr>
          <w:p w14:paraId="514B5D3F" w14:textId="509BDD2A" w:rsidR="0020337D" w:rsidRPr="00DC4844" w:rsidRDefault="007955E2" w:rsidP="0020337D">
            <w:pPr>
              <w:jc w:val="right"/>
              <w:rPr>
                <w:color w:val="000000"/>
                <w:sz w:val="12"/>
                <w:szCs w:val="12"/>
              </w:rPr>
            </w:pPr>
            <w:r>
              <w:rPr>
                <w:color w:val="000000"/>
                <w:sz w:val="12"/>
                <w:szCs w:val="12"/>
              </w:rPr>
              <w:t>3.7</w:t>
            </w:r>
          </w:p>
        </w:tc>
        <w:tc>
          <w:tcPr>
            <w:tcW w:w="752" w:type="dxa"/>
            <w:gridSpan w:val="2"/>
            <w:tcBorders>
              <w:left w:val="nil"/>
              <w:bottom w:val="nil"/>
              <w:right w:val="nil"/>
            </w:tcBorders>
            <w:shd w:val="clear" w:color="auto" w:fill="F2F2F2" w:themeFill="background1" w:themeFillShade="F2"/>
            <w:noWrap/>
            <w:vAlign w:val="bottom"/>
          </w:tcPr>
          <w:p w14:paraId="4A7D2531" w14:textId="0BB59C99"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9</w:t>
            </w:r>
          </w:p>
        </w:tc>
      </w:tr>
      <w:tr w:rsidR="0020337D" w:rsidRPr="00DC4844" w14:paraId="44BEB73E" w14:textId="77777777" w:rsidTr="0098555B">
        <w:trPr>
          <w:trHeight w:val="300"/>
          <w:jc w:val="center"/>
        </w:trPr>
        <w:tc>
          <w:tcPr>
            <w:tcW w:w="2268" w:type="dxa"/>
            <w:tcBorders>
              <w:left w:val="nil"/>
              <w:bottom w:val="nil"/>
              <w:right w:val="nil"/>
            </w:tcBorders>
            <w:shd w:val="clear" w:color="auto" w:fill="FFFFFF" w:themeFill="background1"/>
            <w:noWrap/>
            <w:vAlign w:val="bottom"/>
          </w:tcPr>
          <w:p w14:paraId="6A99932A" w14:textId="77777777" w:rsidR="0020337D" w:rsidRPr="00DC4844" w:rsidRDefault="0020337D" w:rsidP="0020337D">
            <w:pPr>
              <w:rPr>
                <w:color w:val="000000"/>
                <w:sz w:val="12"/>
                <w:szCs w:val="12"/>
              </w:rPr>
            </w:pPr>
            <w:r w:rsidRPr="00DC4844">
              <w:rPr>
                <w:color w:val="000000"/>
                <w:sz w:val="12"/>
                <w:szCs w:val="12"/>
              </w:rPr>
              <w:t xml:space="preserve">     FED </w:t>
            </w:r>
            <w:proofErr w:type="spellStart"/>
            <w:r w:rsidRPr="00DC4844">
              <w:rPr>
                <w:color w:val="000000"/>
                <w:sz w:val="12"/>
                <w:szCs w:val="12"/>
              </w:rPr>
              <w:t>Funds</w:t>
            </w:r>
            <w:proofErr w:type="spellEnd"/>
            <w:r w:rsidRPr="00DC4844">
              <w:rPr>
                <w:color w:val="000000"/>
                <w:sz w:val="12"/>
                <w:szCs w:val="12"/>
              </w:rPr>
              <w:t xml:space="preserve"> </w:t>
            </w:r>
            <w:proofErr w:type="spellStart"/>
            <w:r w:rsidRPr="00DC4844">
              <w:rPr>
                <w:color w:val="000000"/>
                <w:sz w:val="12"/>
                <w:szCs w:val="12"/>
              </w:rPr>
              <w:t>Rate</w:t>
            </w:r>
            <w:proofErr w:type="spellEnd"/>
            <w:r w:rsidRPr="00DC4844">
              <w:rPr>
                <w:color w:val="000000"/>
                <w:sz w:val="12"/>
                <w:szCs w:val="12"/>
              </w:rPr>
              <w:t xml:space="preserve"> (promedio)</w:t>
            </w:r>
          </w:p>
        </w:tc>
        <w:tc>
          <w:tcPr>
            <w:tcW w:w="748" w:type="dxa"/>
            <w:tcBorders>
              <w:left w:val="nil"/>
              <w:bottom w:val="nil"/>
              <w:right w:val="nil"/>
            </w:tcBorders>
            <w:shd w:val="clear" w:color="auto" w:fill="FFFFFF" w:themeFill="background1"/>
            <w:noWrap/>
            <w:vAlign w:val="bottom"/>
          </w:tcPr>
          <w:p w14:paraId="20AFA07B" w14:textId="5690C0A4" w:rsidR="0020337D" w:rsidRPr="00DC4844" w:rsidRDefault="0020337D" w:rsidP="0020337D">
            <w:pPr>
              <w:jc w:val="right"/>
              <w:rPr>
                <w:color w:val="000000"/>
                <w:sz w:val="12"/>
                <w:szCs w:val="12"/>
              </w:rPr>
            </w:pPr>
            <w:r>
              <w:rPr>
                <w:color w:val="000000"/>
                <w:sz w:val="12"/>
                <w:szCs w:val="12"/>
              </w:rPr>
              <w:t>5.3</w:t>
            </w:r>
          </w:p>
        </w:tc>
        <w:tc>
          <w:tcPr>
            <w:tcW w:w="903" w:type="dxa"/>
            <w:tcBorders>
              <w:left w:val="nil"/>
              <w:bottom w:val="nil"/>
              <w:right w:val="nil"/>
            </w:tcBorders>
            <w:shd w:val="clear" w:color="auto" w:fill="FFFFFF" w:themeFill="background1"/>
            <w:vAlign w:val="bottom"/>
          </w:tcPr>
          <w:p w14:paraId="0CAC4995" w14:textId="77777777" w:rsidR="0020337D" w:rsidRPr="00DC4844" w:rsidRDefault="0020337D" w:rsidP="0020337D">
            <w:pPr>
              <w:jc w:val="right"/>
              <w:rPr>
                <w:color w:val="000000"/>
                <w:sz w:val="12"/>
                <w:szCs w:val="12"/>
              </w:rPr>
            </w:pPr>
            <w:r w:rsidRPr="00DC4844">
              <w:rPr>
                <w:color w:val="000000"/>
                <w:sz w:val="12"/>
                <w:szCs w:val="12"/>
              </w:rPr>
              <w:t>4.3</w:t>
            </w:r>
          </w:p>
        </w:tc>
        <w:tc>
          <w:tcPr>
            <w:tcW w:w="759" w:type="dxa"/>
            <w:tcBorders>
              <w:left w:val="nil"/>
              <w:bottom w:val="nil"/>
              <w:right w:val="nil"/>
            </w:tcBorders>
            <w:shd w:val="clear" w:color="auto" w:fill="FFFFFF" w:themeFill="background1"/>
            <w:vAlign w:val="bottom"/>
          </w:tcPr>
          <w:p w14:paraId="216A7FDF" w14:textId="09C3626D"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.5</w:t>
            </w:r>
          </w:p>
        </w:tc>
        <w:tc>
          <w:tcPr>
            <w:tcW w:w="851" w:type="dxa"/>
            <w:tcBorders>
              <w:left w:val="nil"/>
              <w:bottom w:val="nil"/>
              <w:right w:val="nil"/>
            </w:tcBorders>
            <w:shd w:val="clear" w:color="auto" w:fill="FFFFFF" w:themeFill="background1"/>
            <w:vAlign w:val="bottom"/>
          </w:tcPr>
          <w:p w14:paraId="3F890E55" w14:textId="1AD5265A"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.3</w:t>
            </w:r>
          </w:p>
        </w:tc>
        <w:tc>
          <w:tcPr>
            <w:tcW w:w="752" w:type="dxa"/>
            <w:tcBorders>
              <w:left w:val="nil"/>
              <w:bottom w:val="nil"/>
              <w:right w:val="nil"/>
            </w:tcBorders>
            <w:shd w:val="clear" w:color="auto" w:fill="FFFFFF" w:themeFill="background1"/>
            <w:vAlign w:val="bottom"/>
          </w:tcPr>
          <w:p w14:paraId="712F2403" w14:textId="4A6E61C1"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.0</w:t>
            </w:r>
          </w:p>
        </w:tc>
        <w:tc>
          <w:tcPr>
            <w:tcW w:w="752" w:type="dxa"/>
            <w:tcBorders>
              <w:left w:val="nil"/>
              <w:bottom w:val="nil"/>
              <w:right w:val="nil"/>
            </w:tcBorders>
            <w:shd w:val="clear" w:color="auto" w:fill="FFFFFF" w:themeFill="background1"/>
            <w:vAlign w:val="bottom"/>
          </w:tcPr>
          <w:p w14:paraId="2B81B2C3" w14:textId="754F11D3"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.0</w:t>
            </w:r>
          </w:p>
        </w:tc>
        <w:tc>
          <w:tcPr>
            <w:tcW w:w="752" w:type="dxa"/>
            <w:tcBorders>
              <w:left w:val="nil"/>
              <w:bottom w:val="nil"/>
              <w:right w:val="nil"/>
            </w:tcBorders>
            <w:shd w:val="clear" w:color="auto" w:fill="FFFFFF" w:themeFill="background1"/>
            <w:vAlign w:val="bottom"/>
          </w:tcPr>
          <w:p w14:paraId="1E03E1DF" w14:textId="27E92164"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.0</w:t>
            </w:r>
          </w:p>
        </w:tc>
        <w:tc>
          <w:tcPr>
            <w:tcW w:w="752" w:type="dxa"/>
            <w:gridSpan w:val="2"/>
            <w:tcBorders>
              <w:left w:val="nil"/>
              <w:bottom w:val="nil"/>
              <w:right w:val="nil"/>
            </w:tcBorders>
            <w:shd w:val="clear" w:color="auto" w:fill="FFFFFF" w:themeFill="background1"/>
            <w:noWrap/>
            <w:vAlign w:val="bottom"/>
          </w:tcPr>
          <w:p w14:paraId="488F83C3" w14:textId="6A7C0C30" w:rsidR="0020337D" w:rsidRPr="00DC4844" w:rsidRDefault="0020337D" w:rsidP="0020337D">
            <w:pPr>
              <w:jc w:val="right"/>
              <w:rPr>
                <w:color w:val="000000"/>
                <w:sz w:val="12"/>
                <w:szCs w:val="12"/>
              </w:rPr>
            </w:pPr>
            <w:r w:rsidRPr="00DC4844">
              <w:rPr>
                <w:color w:val="000000"/>
                <w:sz w:val="12"/>
                <w:szCs w:val="12"/>
              </w:rPr>
              <w:t>3.</w:t>
            </w:r>
            <w:r w:rsidR="007955E2">
              <w:rPr>
                <w:color w:val="000000"/>
                <w:sz w:val="12"/>
                <w:szCs w:val="12"/>
              </w:rPr>
              <w:t>0</w:t>
            </w:r>
          </w:p>
        </w:tc>
      </w:tr>
      <w:tr w:rsidR="0020337D" w:rsidRPr="00DC4844" w14:paraId="390C2128" w14:textId="77777777" w:rsidTr="0098555B">
        <w:trPr>
          <w:trHeight w:val="300"/>
          <w:jc w:val="center"/>
        </w:trPr>
        <w:tc>
          <w:tcPr>
            <w:tcW w:w="2268" w:type="dxa"/>
            <w:tcBorders>
              <w:left w:val="nil"/>
              <w:bottom w:val="nil"/>
              <w:right w:val="nil"/>
            </w:tcBorders>
            <w:shd w:val="clear" w:color="auto" w:fill="F2F2F2" w:themeFill="background1" w:themeFillShade="F2"/>
            <w:noWrap/>
            <w:vAlign w:val="bottom"/>
          </w:tcPr>
          <w:p w14:paraId="63889279" w14:textId="77777777" w:rsidR="0020337D" w:rsidRPr="00DC4844" w:rsidRDefault="0020337D" w:rsidP="0020337D">
            <w:pPr>
              <w:rPr>
                <w:b/>
                <w:bCs/>
                <w:color w:val="000000"/>
                <w:sz w:val="12"/>
                <w:szCs w:val="12"/>
              </w:rPr>
            </w:pPr>
            <w:r w:rsidRPr="00DC4844">
              <w:rPr>
                <w:b/>
                <w:bCs/>
                <w:color w:val="000000"/>
                <w:sz w:val="12"/>
                <w:szCs w:val="12"/>
              </w:rPr>
              <w:t>Petróleo (canasta mexicana)</w:t>
            </w:r>
          </w:p>
        </w:tc>
        <w:tc>
          <w:tcPr>
            <w:tcW w:w="748" w:type="dxa"/>
            <w:tcBorders>
              <w:left w:val="nil"/>
              <w:bottom w:val="nil"/>
              <w:right w:val="nil"/>
            </w:tcBorders>
            <w:shd w:val="clear" w:color="auto" w:fill="F2F2F2" w:themeFill="background1" w:themeFillShade="F2"/>
            <w:noWrap/>
            <w:vAlign w:val="bottom"/>
          </w:tcPr>
          <w:p w14:paraId="09681AB4" w14:textId="77777777" w:rsidR="0020337D" w:rsidRPr="00DC4844" w:rsidRDefault="0020337D" w:rsidP="0020337D">
            <w:pPr>
              <w:jc w:val="right"/>
              <w:rPr>
                <w:color w:val="000000"/>
                <w:sz w:val="12"/>
                <w:szCs w:val="12"/>
              </w:rPr>
            </w:pPr>
          </w:p>
        </w:tc>
        <w:tc>
          <w:tcPr>
            <w:tcW w:w="903" w:type="dxa"/>
            <w:tcBorders>
              <w:left w:val="nil"/>
              <w:bottom w:val="nil"/>
              <w:right w:val="nil"/>
            </w:tcBorders>
            <w:shd w:val="clear" w:color="auto" w:fill="F2F2F2" w:themeFill="background1" w:themeFillShade="F2"/>
            <w:vAlign w:val="bottom"/>
          </w:tcPr>
          <w:p w14:paraId="79D530B2" w14:textId="77777777" w:rsidR="0020337D" w:rsidRPr="00DC4844" w:rsidRDefault="0020337D" w:rsidP="0020337D">
            <w:pPr>
              <w:jc w:val="right"/>
              <w:rPr>
                <w:color w:val="000000"/>
                <w:sz w:val="12"/>
                <w:szCs w:val="12"/>
              </w:rPr>
            </w:pPr>
          </w:p>
        </w:tc>
        <w:tc>
          <w:tcPr>
            <w:tcW w:w="759" w:type="dxa"/>
            <w:tcBorders>
              <w:left w:val="nil"/>
              <w:bottom w:val="nil"/>
              <w:right w:val="nil"/>
            </w:tcBorders>
            <w:shd w:val="clear" w:color="auto" w:fill="F2F2F2" w:themeFill="background1" w:themeFillShade="F2"/>
            <w:vAlign w:val="bottom"/>
          </w:tcPr>
          <w:p w14:paraId="755574CC" w14:textId="77777777" w:rsidR="0020337D" w:rsidRPr="00DC4844" w:rsidRDefault="0020337D" w:rsidP="0020337D">
            <w:pPr>
              <w:jc w:val="right"/>
              <w:rPr>
                <w:color w:val="000000"/>
                <w:sz w:val="12"/>
                <w:szCs w:val="12"/>
              </w:rPr>
            </w:pPr>
          </w:p>
        </w:tc>
        <w:tc>
          <w:tcPr>
            <w:tcW w:w="851" w:type="dxa"/>
            <w:tcBorders>
              <w:left w:val="nil"/>
              <w:bottom w:val="nil"/>
              <w:right w:val="nil"/>
            </w:tcBorders>
            <w:shd w:val="clear" w:color="auto" w:fill="F2F2F2" w:themeFill="background1" w:themeFillShade="F2"/>
            <w:vAlign w:val="bottom"/>
          </w:tcPr>
          <w:p w14:paraId="41E694D2"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734B5518"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6D6047A4" w14:textId="77777777" w:rsidR="0020337D" w:rsidRPr="00DC4844" w:rsidRDefault="0020337D" w:rsidP="0020337D">
            <w:pPr>
              <w:jc w:val="right"/>
              <w:rPr>
                <w:color w:val="000000"/>
                <w:sz w:val="12"/>
                <w:szCs w:val="12"/>
              </w:rPr>
            </w:pPr>
          </w:p>
        </w:tc>
        <w:tc>
          <w:tcPr>
            <w:tcW w:w="752" w:type="dxa"/>
            <w:tcBorders>
              <w:left w:val="nil"/>
              <w:bottom w:val="nil"/>
              <w:right w:val="nil"/>
            </w:tcBorders>
            <w:shd w:val="clear" w:color="auto" w:fill="F2F2F2" w:themeFill="background1" w:themeFillShade="F2"/>
            <w:vAlign w:val="bottom"/>
          </w:tcPr>
          <w:p w14:paraId="22D02150" w14:textId="77777777" w:rsidR="0020337D" w:rsidRPr="00DC4844" w:rsidRDefault="0020337D" w:rsidP="0020337D">
            <w:pPr>
              <w:jc w:val="right"/>
              <w:rPr>
                <w:color w:val="000000"/>
                <w:sz w:val="12"/>
                <w:szCs w:val="12"/>
              </w:rPr>
            </w:pPr>
          </w:p>
        </w:tc>
        <w:tc>
          <w:tcPr>
            <w:tcW w:w="752" w:type="dxa"/>
            <w:gridSpan w:val="2"/>
            <w:tcBorders>
              <w:left w:val="nil"/>
              <w:bottom w:val="nil"/>
              <w:right w:val="nil"/>
            </w:tcBorders>
            <w:shd w:val="clear" w:color="auto" w:fill="F2F2F2" w:themeFill="background1" w:themeFillShade="F2"/>
            <w:noWrap/>
            <w:vAlign w:val="bottom"/>
          </w:tcPr>
          <w:p w14:paraId="02BA1D8B" w14:textId="15FCEB00" w:rsidR="0020337D" w:rsidRPr="00DC4844" w:rsidRDefault="0020337D" w:rsidP="0020337D">
            <w:pPr>
              <w:jc w:val="right"/>
              <w:rPr>
                <w:color w:val="000000"/>
                <w:sz w:val="12"/>
                <w:szCs w:val="12"/>
              </w:rPr>
            </w:pPr>
          </w:p>
        </w:tc>
      </w:tr>
      <w:tr w:rsidR="0020337D" w:rsidRPr="00DC4844" w14:paraId="57092990" w14:textId="77777777" w:rsidTr="0098555B">
        <w:trPr>
          <w:trHeight w:val="300"/>
          <w:jc w:val="center"/>
        </w:trPr>
        <w:tc>
          <w:tcPr>
            <w:tcW w:w="2268" w:type="dxa"/>
            <w:tcBorders>
              <w:top w:val="nil"/>
              <w:left w:val="nil"/>
              <w:bottom w:val="nil"/>
              <w:right w:val="nil"/>
            </w:tcBorders>
            <w:shd w:val="clear" w:color="auto" w:fill="FFFFFF" w:themeFill="background1"/>
            <w:noWrap/>
            <w:vAlign w:val="bottom"/>
            <w:hideMark/>
          </w:tcPr>
          <w:p w14:paraId="2160D633" w14:textId="77777777" w:rsidR="0020337D" w:rsidRPr="00DC4844" w:rsidRDefault="0020337D" w:rsidP="0020337D">
            <w:pPr>
              <w:rPr>
                <w:color w:val="000000"/>
                <w:sz w:val="12"/>
                <w:szCs w:val="12"/>
              </w:rPr>
            </w:pPr>
            <w:r w:rsidRPr="00DC4844">
              <w:rPr>
                <w:color w:val="000000"/>
                <w:sz w:val="12"/>
                <w:szCs w:val="12"/>
              </w:rPr>
              <w:t xml:space="preserve">     Precio promedio (dólares / barril) </w:t>
            </w:r>
          </w:p>
        </w:tc>
        <w:tc>
          <w:tcPr>
            <w:tcW w:w="748" w:type="dxa"/>
            <w:tcBorders>
              <w:top w:val="nil"/>
              <w:left w:val="nil"/>
              <w:bottom w:val="nil"/>
              <w:right w:val="nil"/>
            </w:tcBorders>
            <w:shd w:val="clear" w:color="auto" w:fill="FFFFFF" w:themeFill="background1"/>
            <w:noWrap/>
            <w:vAlign w:val="bottom"/>
            <w:hideMark/>
          </w:tcPr>
          <w:p w14:paraId="1B0624C4" w14:textId="19FC738B" w:rsidR="0020337D" w:rsidRPr="00DC4844" w:rsidRDefault="0020337D" w:rsidP="0020337D">
            <w:pPr>
              <w:jc w:val="right"/>
              <w:rPr>
                <w:color w:val="000000"/>
                <w:sz w:val="12"/>
                <w:szCs w:val="12"/>
              </w:rPr>
            </w:pPr>
            <w:r w:rsidRPr="00DC4844">
              <w:rPr>
                <w:color w:val="000000"/>
                <w:sz w:val="12"/>
                <w:szCs w:val="12"/>
              </w:rPr>
              <w:t>7</w:t>
            </w:r>
            <w:r>
              <w:rPr>
                <w:color w:val="000000"/>
                <w:sz w:val="12"/>
                <w:szCs w:val="12"/>
              </w:rPr>
              <w:t>0</w:t>
            </w:r>
            <w:r w:rsidRPr="00DC4844">
              <w:rPr>
                <w:color w:val="000000"/>
                <w:sz w:val="12"/>
                <w:szCs w:val="12"/>
              </w:rPr>
              <w:t>.</w:t>
            </w:r>
            <w:r>
              <w:rPr>
                <w:color w:val="000000"/>
                <w:sz w:val="12"/>
                <w:szCs w:val="12"/>
              </w:rPr>
              <w:t>2</w:t>
            </w:r>
          </w:p>
        </w:tc>
        <w:tc>
          <w:tcPr>
            <w:tcW w:w="903" w:type="dxa"/>
            <w:tcBorders>
              <w:top w:val="nil"/>
              <w:left w:val="nil"/>
              <w:bottom w:val="nil"/>
              <w:right w:val="nil"/>
            </w:tcBorders>
            <w:shd w:val="clear" w:color="auto" w:fill="FFFFFF" w:themeFill="background1"/>
            <w:vAlign w:val="bottom"/>
          </w:tcPr>
          <w:p w14:paraId="55BD3C8F" w14:textId="77777777" w:rsidR="0020337D" w:rsidRPr="00DC4844" w:rsidRDefault="0020337D" w:rsidP="0020337D">
            <w:pPr>
              <w:jc w:val="right"/>
              <w:rPr>
                <w:color w:val="000000"/>
                <w:sz w:val="12"/>
                <w:szCs w:val="12"/>
              </w:rPr>
            </w:pPr>
            <w:r w:rsidRPr="00DC4844">
              <w:rPr>
                <w:color w:val="000000"/>
                <w:sz w:val="12"/>
                <w:szCs w:val="12"/>
              </w:rPr>
              <w:t>62.0</w:t>
            </w:r>
          </w:p>
        </w:tc>
        <w:tc>
          <w:tcPr>
            <w:tcW w:w="759" w:type="dxa"/>
            <w:tcBorders>
              <w:top w:val="nil"/>
              <w:left w:val="nil"/>
              <w:bottom w:val="nil"/>
              <w:right w:val="nil"/>
            </w:tcBorders>
            <w:shd w:val="clear" w:color="auto" w:fill="FFFFFF" w:themeFill="background1"/>
            <w:vAlign w:val="bottom"/>
          </w:tcPr>
          <w:p w14:paraId="32C83EA8" w14:textId="47F571CB" w:rsidR="0020337D" w:rsidRPr="00DC4844" w:rsidRDefault="007955E2" w:rsidP="0020337D">
            <w:pPr>
              <w:jc w:val="right"/>
              <w:rPr>
                <w:color w:val="000000"/>
                <w:sz w:val="12"/>
                <w:szCs w:val="12"/>
              </w:rPr>
            </w:pPr>
            <w:r>
              <w:rPr>
                <w:color w:val="000000"/>
                <w:sz w:val="12"/>
                <w:szCs w:val="12"/>
              </w:rPr>
              <w:t>54.9</w:t>
            </w:r>
          </w:p>
        </w:tc>
        <w:tc>
          <w:tcPr>
            <w:tcW w:w="851" w:type="dxa"/>
            <w:tcBorders>
              <w:top w:val="nil"/>
              <w:left w:val="nil"/>
              <w:bottom w:val="nil"/>
              <w:right w:val="nil"/>
            </w:tcBorders>
            <w:shd w:val="clear" w:color="auto" w:fill="FFFFFF" w:themeFill="background1"/>
            <w:vAlign w:val="bottom"/>
          </w:tcPr>
          <w:p w14:paraId="72CE2B5B" w14:textId="30EB9D37" w:rsidR="0020337D" w:rsidRPr="00DC4844" w:rsidRDefault="007955E2" w:rsidP="0020337D">
            <w:pPr>
              <w:jc w:val="right"/>
              <w:rPr>
                <w:color w:val="000000"/>
                <w:sz w:val="12"/>
                <w:szCs w:val="12"/>
              </w:rPr>
            </w:pPr>
            <w:r>
              <w:rPr>
                <w:color w:val="000000"/>
                <w:sz w:val="12"/>
                <w:szCs w:val="12"/>
              </w:rPr>
              <w:t>59.6</w:t>
            </w:r>
          </w:p>
        </w:tc>
        <w:tc>
          <w:tcPr>
            <w:tcW w:w="752" w:type="dxa"/>
            <w:tcBorders>
              <w:top w:val="nil"/>
              <w:left w:val="nil"/>
              <w:bottom w:val="nil"/>
              <w:right w:val="nil"/>
            </w:tcBorders>
            <w:shd w:val="clear" w:color="auto" w:fill="FFFFFF" w:themeFill="background1"/>
            <w:vAlign w:val="bottom"/>
          </w:tcPr>
          <w:p w14:paraId="748BD19D" w14:textId="0DF6BA34" w:rsidR="0020337D" w:rsidRPr="00DC4844" w:rsidRDefault="0020337D" w:rsidP="0020337D">
            <w:pPr>
              <w:jc w:val="right"/>
              <w:rPr>
                <w:color w:val="000000"/>
                <w:sz w:val="12"/>
                <w:szCs w:val="12"/>
              </w:rPr>
            </w:pPr>
            <w:r w:rsidRPr="00DC4844">
              <w:rPr>
                <w:color w:val="000000"/>
                <w:sz w:val="12"/>
                <w:szCs w:val="12"/>
              </w:rPr>
              <w:t>6</w:t>
            </w:r>
            <w:r w:rsidR="007955E2">
              <w:rPr>
                <w:color w:val="000000"/>
                <w:sz w:val="12"/>
                <w:szCs w:val="12"/>
              </w:rPr>
              <w:t>0</w:t>
            </w:r>
            <w:r w:rsidRPr="00DC4844">
              <w:rPr>
                <w:color w:val="000000"/>
                <w:sz w:val="12"/>
                <w:szCs w:val="12"/>
              </w:rPr>
              <w:t>.0</w:t>
            </w:r>
          </w:p>
        </w:tc>
        <w:tc>
          <w:tcPr>
            <w:tcW w:w="752" w:type="dxa"/>
            <w:tcBorders>
              <w:top w:val="nil"/>
              <w:left w:val="nil"/>
              <w:bottom w:val="nil"/>
              <w:right w:val="nil"/>
            </w:tcBorders>
            <w:shd w:val="clear" w:color="auto" w:fill="FFFFFF" w:themeFill="background1"/>
            <w:vAlign w:val="bottom"/>
          </w:tcPr>
          <w:p w14:paraId="790AB762" w14:textId="3AB01351" w:rsidR="0020337D" w:rsidRPr="00DC4844" w:rsidRDefault="0020337D" w:rsidP="0020337D">
            <w:pPr>
              <w:jc w:val="right"/>
              <w:rPr>
                <w:color w:val="000000"/>
                <w:sz w:val="12"/>
                <w:szCs w:val="12"/>
              </w:rPr>
            </w:pPr>
            <w:r w:rsidRPr="00DC4844">
              <w:rPr>
                <w:color w:val="000000"/>
                <w:sz w:val="12"/>
                <w:szCs w:val="12"/>
              </w:rPr>
              <w:t>6</w:t>
            </w:r>
            <w:r w:rsidR="007955E2">
              <w:rPr>
                <w:color w:val="000000"/>
                <w:sz w:val="12"/>
                <w:szCs w:val="12"/>
              </w:rPr>
              <w:t>0</w:t>
            </w:r>
            <w:r w:rsidRPr="00DC4844">
              <w:rPr>
                <w:color w:val="000000"/>
                <w:sz w:val="12"/>
                <w:szCs w:val="12"/>
              </w:rPr>
              <w:t>.</w:t>
            </w:r>
            <w:r w:rsidR="007955E2">
              <w:rPr>
                <w:color w:val="000000"/>
                <w:sz w:val="12"/>
                <w:szCs w:val="12"/>
              </w:rPr>
              <w:t>4</w:t>
            </w:r>
          </w:p>
        </w:tc>
        <w:tc>
          <w:tcPr>
            <w:tcW w:w="752" w:type="dxa"/>
            <w:tcBorders>
              <w:top w:val="nil"/>
              <w:left w:val="nil"/>
              <w:bottom w:val="nil"/>
              <w:right w:val="nil"/>
            </w:tcBorders>
            <w:shd w:val="clear" w:color="auto" w:fill="FFFFFF" w:themeFill="background1"/>
            <w:vAlign w:val="bottom"/>
          </w:tcPr>
          <w:p w14:paraId="3E530704" w14:textId="427F1DE3" w:rsidR="0020337D" w:rsidRPr="00DC4844" w:rsidRDefault="0020337D" w:rsidP="0020337D">
            <w:pPr>
              <w:jc w:val="right"/>
              <w:rPr>
                <w:color w:val="000000"/>
                <w:sz w:val="12"/>
                <w:szCs w:val="12"/>
              </w:rPr>
            </w:pPr>
            <w:r w:rsidRPr="00DC4844">
              <w:rPr>
                <w:color w:val="000000"/>
                <w:sz w:val="12"/>
                <w:szCs w:val="12"/>
              </w:rPr>
              <w:t>6</w:t>
            </w:r>
            <w:r w:rsidR="007955E2">
              <w:rPr>
                <w:color w:val="000000"/>
                <w:sz w:val="12"/>
                <w:szCs w:val="12"/>
              </w:rPr>
              <w:t>0</w:t>
            </w:r>
            <w:r w:rsidRPr="00DC4844">
              <w:rPr>
                <w:color w:val="000000"/>
                <w:sz w:val="12"/>
                <w:szCs w:val="12"/>
              </w:rPr>
              <w:t>.</w:t>
            </w:r>
            <w:r w:rsidR="007955E2">
              <w:rPr>
                <w:color w:val="000000"/>
                <w:sz w:val="12"/>
                <w:szCs w:val="12"/>
              </w:rPr>
              <w:t>5</w:t>
            </w:r>
          </w:p>
        </w:tc>
        <w:tc>
          <w:tcPr>
            <w:tcW w:w="752" w:type="dxa"/>
            <w:gridSpan w:val="2"/>
            <w:tcBorders>
              <w:top w:val="nil"/>
              <w:left w:val="nil"/>
              <w:bottom w:val="nil"/>
              <w:right w:val="nil"/>
            </w:tcBorders>
            <w:shd w:val="clear" w:color="auto" w:fill="FFFFFF" w:themeFill="background1"/>
            <w:noWrap/>
            <w:vAlign w:val="bottom"/>
            <w:hideMark/>
          </w:tcPr>
          <w:p w14:paraId="57C90D1E" w14:textId="1AFE2EC0" w:rsidR="0020337D" w:rsidRPr="00DC4844" w:rsidRDefault="007955E2" w:rsidP="0020337D">
            <w:pPr>
              <w:jc w:val="right"/>
              <w:rPr>
                <w:color w:val="000000"/>
                <w:sz w:val="12"/>
                <w:szCs w:val="12"/>
              </w:rPr>
            </w:pPr>
            <w:r>
              <w:rPr>
                <w:color w:val="000000"/>
                <w:sz w:val="12"/>
                <w:szCs w:val="12"/>
              </w:rPr>
              <w:t>60</w:t>
            </w:r>
            <w:r w:rsidR="0020337D" w:rsidRPr="00DC4844">
              <w:rPr>
                <w:color w:val="000000"/>
                <w:sz w:val="12"/>
                <w:szCs w:val="12"/>
              </w:rPr>
              <w:t>.</w:t>
            </w:r>
            <w:r>
              <w:rPr>
                <w:color w:val="000000"/>
                <w:sz w:val="12"/>
                <w:szCs w:val="12"/>
              </w:rPr>
              <w:t>6</w:t>
            </w:r>
          </w:p>
        </w:tc>
      </w:tr>
      <w:tr w:rsidR="0020337D" w:rsidRPr="00DC4844" w14:paraId="1445493A" w14:textId="77777777" w:rsidTr="0098555B">
        <w:trPr>
          <w:trHeight w:val="300"/>
          <w:jc w:val="center"/>
        </w:trPr>
        <w:tc>
          <w:tcPr>
            <w:tcW w:w="2268" w:type="dxa"/>
            <w:tcBorders>
              <w:top w:val="nil"/>
              <w:left w:val="nil"/>
              <w:bottom w:val="nil"/>
              <w:right w:val="nil"/>
            </w:tcBorders>
            <w:shd w:val="clear" w:color="auto" w:fill="F2F2F2" w:themeFill="background1" w:themeFillShade="F2"/>
            <w:noWrap/>
            <w:vAlign w:val="bottom"/>
            <w:hideMark/>
          </w:tcPr>
          <w:p w14:paraId="158C6836" w14:textId="4671AABC" w:rsidR="0020337D" w:rsidRPr="00DC4844" w:rsidRDefault="0020337D" w:rsidP="0020337D">
            <w:pPr>
              <w:rPr>
                <w:color w:val="000000"/>
                <w:sz w:val="12"/>
                <w:szCs w:val="12"/>
              </w:rPr>
            </w:pPr>
            <w:r w:rsidRPr="00DC4844">
              <w:rPr>
                <w:color w:val="000000"/>
                <w:sz w:val="12"/>
                <w:szCs w:val="12"/>
              </w:rPr>
              <w:t xml:space="preserve">     Plataforma de producción promedio (</w:t>
            </w:r>
            <w:proofErr w:type="spellStart"/>
            <w:r w:rsidRPr="00DC4844">
              <w:rPr>
                <w:color w:val="000000"/>
                <w:sz w:val="12"/>
                <w:szCs w:val="12"/>
              </w:rPr>
              <w:t>mbd</w:t>
            </w:r>
            <w:proofErr w:type="spellEnd"/>
            <w:r w:rsidRPr="00DC4844">
              <w:rPr>
                <w:color w:val="000000"/>
                <w:sz w:val="12"/>
                <w:szCs w:val="12"/>
              </w:rPr>
              <w:t>) *</w:t>
            </w:r>
            <w:r>
              <w:rPr>
                <w:color w:val="000000"/>
                <w:sz w:val="12"/>
                <w:szCs w:val="12"/>
              </w:rPr>
              <w:t>*</w:t>
            </w:r>
            <w:r w:rsidRPr="00DC4844">
              <w:rPr>
                <w:color w:val="000000"/>
                <w:sz w:val="12"/>
                <w:szCs w:val="12"/>
              </w:rPr>
              <w:t>/</w:t>
            </w:r>
          </w:p>
        </w:tc>
        <w:tc>
          <w:tcPr>
            <w:tcW w:w="748" w:type="dxa"/>
            <w:tcBorders>
              <w:top w:val="nil"/>
              <w:left w:val="nil"/>
              <w:bottom w:val="nil"/>
              <w:right w:val="nil"/>
            </w:tcBorders>
            <w:shd w:val="clear" w:color="auto" w:fill="F2F2F2" w:themeFill="background1" w:themeFillShade="F2"/>
            <w:noWrap/>
            <w:vAlign w:val="bottom"/>
            <w:hideMark/>
          </w:tcPr>
          <w:p w14:paraId="46868C80" w14:textId="6C83EE09" w:rsidR="0020337D" w:rsidRPr="00DC4844" w:rsidRDefault="0020337D" w:rsidP="0020337D">
            <w:pPr>
              <w:jc w:val="right"/>
              <w:rPr>
                <w:color w:val="000000"/>
                <w:sz w:val="12"/>
                <w:szCs w:val="12"/>
              </w:rPr>
            </w:pPr>
            <w:r w:rsidRPr="00DC4844">
              <w:rPr>
                <w:color w:val="000000"/>
                <w:sz w:val="12"/>
                <w:szCs w:val="12"/>
              </w:rPr>
              <w:t>1,82</w:t>
            </w:r>
            <w:r>
              <w:rPr>
                <w:color w:val="000000"/>
                <w:sz w:val="12"/>
                <w:szCs w:val="12"/>
              </w:rPr>
              <w:t>6</w:t>
            </w:r>
          </w:p>
        </w:tc>
        <w:tc>
          <w:tcPr>
            <w:tcW w:w="903" w:type="dxa"/>
            <w:tcBorders>
              <w:top w:val="nil"/>
              <w:left w:val="nil"/>
              <w:bottom w:val="nil"/>
              <w:right w:val="nil"/>
            </w:tcBorders>
            <w:shd w:val="clear" w:color="auto" w:fill="F2F2F2" w:themeFill="background1" w:themeFillShade="F2"/>
            <w:vAlign w:val="bottom"/>
          </w:tcPr>
          <w:p w14:paraId="32C8DCC6" w14:textId="6DE42501" w:rsidR="0020337D" w:rsidRPr="00DC4844" w:rsidRDefault="0020337D" w:rsidP="0020337D">
            <w:pPr>
              <w:jc w:val="right"/>
              <w:rPr>
                <w:color w:val="000000"/>
                <w:sz w:val="12"/>
                <w:szCs w:val="12"/>
              </w:rPr>
            </w:pPr>
            <w:r w:rsidRPr="00DC4844">
              <w:rPr>
                <w:color w:val="000000"/>
                <w:sz w:val="12"/>
                <w:szCs w:val="12"/>
              </w:rPr>
              <w:t>1,71</w:t>
            </w:r>
            <w:r w:rsidR="00FC06C0">
              <w:rPr>
                <w:color w:val="000000"/>
                <w:sz w:val="12"/>
                <w:szCs w:val="12"/>
              </w:rPr>
              <w:t>4</w:t>
            </w:r>
          </w:p>
        </w:tc>
        <w:tc>
          <w:tcPr>
            <w:tcW w:w="759" w:type="dxa"/>
            <w:tcBorders>
              <w:top w:val="nil"/>
              <w:left w:val="nil"/>
              <w:bottom w:val="nil"/>
              <w:right w:val="nil"/>
            </w:tcBorders>
            <w:shd w:val="clear" w:color="auto" w:fill="F2F2F2" w:themeFill="background1" w:themeFillShade="F2"/>
            <w:vAlign w:val="bottom"/>
          </w:tcPr>
          <w:p w14:paraId="13D87913" w14:textId="47CE1423" w:rsidR="0020337D" w:rsidRPr="00DC4844" w:rsidRDefault="0020337D" w:rsidP="0020337D">
            <w:pPr>
              <w:jc w:val="right"/>
              <w:rPr>
                <w:color w:val="000000"/>
                <w:sz w:val="12"/>
                <w:szCs w:val="12"/>
              </w:rPr>
            </w:pPr>
            <w:r w:rsidRPr="00DC4844">
              <w:rPr>
                <w:color w:val="000000"/>
                <w:sz w:val="12"/>
                <w:szCs w:val="12"/>
              </w:rPr>
              <w:t>1,79</w:t>
            </w:r>
            <w:r w:rsidR="007955E2">
              <w:rPr>
                <w:color w:val="000000"/>
                <w:sz w:val="12"/>
                <w:szCs w:val="12"/>
              </w:rPr>
              <w:t>4</w:t>
            </w:r>
          </w:p>
        </w:tc>
        <w:tc>
          <w:tcPr>
            <w:tcW w:w="851" w:type="dxa"/>
            <w:tcBorders>
              <w:top w:val="nil"/>
              <w:left w:val="nil"/>
              <w:bottom w:val="nil"/>
              <w:right w:val="nil"/>
            </w:tcBorders>
            <w:shd w:val="clear" w:color="auto" w:fill="F2F2F2" w:themeFill="background1" w:themeFillShade="F2"/>
            <w:vAlign w:val="bottom"/>
          </w:tcPr>
          <w:p w14:paraId="56D6F330" w14:textId="7C9F7925"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806</w:t>
            </w:r>
          </w:p>
        </w:tc>
        <w:tc>
          <w:tcPr>
            <w:tcW w:w="752" w:type="dxa"/>
            <w:tcBorders>
              <w:top w:val="nil"/>
              <w:left w:val="nil"/>
              <w:bottom w:val="nil"/>
              <w:right w:val="nil"/>
            </w:tcBorders>
            <w:shd w:val="clear" w:color="auto" w:fill="F2F2F2" w:themeFill="background1" w:themeFillShade="F2"/>
            <w:vAlign w:val="bottom"/>
          </w:tcPr>
          <w:p w14:paraId="0EA12CAA" w14:textId="79A1B930"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803</w:t>
            </w:r>
          </w:p>
        </w:tc>
        <w:tc>
          <w:tcPr>
            <w:tcW w:w="752" w:type="dxa"/>
            <w:tcBorders>
              <w:top w:val="nil"/>
              <w:left w:val="nil"/>
              <w:bottom w:val="nil"/>
              <w:right w:val="nil"/>
            </w:tcBorders>
            <w:shd w:val="clear" w:color="auto" w:fill="F2F2F2" w:themeFill="background1" w:themeFillShade="F2"/>
            <w:vAlign w:val="bottom"/>
          </w:tcPr>
          <w:p w14:paraId="0B8DD474" w14:textId="246DB503"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804</w:t>
            </w:r>
          </w:p>
        </w:tc>
        <w:tc>
          <w:tcPr>
            <w:tcW w:w="752" w:type="dxa"/>
            <w:tcBorders>
              <w:top w:val="nil"/>
              <w:left w:val="nil"/>
              <w:bottom w:val="nil"/>
              <w:right w:val="nil"/>
            </w:tcBorders>
            <w:shd w:val="clear" w:color="auto" w:fill="F2F2F2" w:themeFill="background1" w:themeFillShade="F2"/>
            <w:vAlign w:val="bottom"/>
          </w:tcPr>
          <w:p w14:paraId="60490D5C" w14:textId="66F8DF9E"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807</w:t>
            </w:r>
          </w:p>
        </w:tc>
        <w:tc>
          <w:tcPr>
            <w:tcW w:w="752" w:type="dxa"/>
            <w:gridSpan w:val="2"/>
            <w:tcBorders>
              <w:top w:val="nil"/>
              <w:left w:val="nil"/>
              <w:bottom w:val="nil"/>
              <w:right w:val="nil"/>
            </w:tcBorders>
            <w:shd w:val="clear" w:color="auto" w:fill="F2F2F2" w:themeFill="background1" w:themeFillShade="F2"/>
            <w:noWrap/>
            <w:vAlign w:val="bottom"/>
            <w:hideMark/>
          </w:tcPr>
          <w:p w14:paraId="5ECA5C56" w14:textId="45C3ABCB" w:rsidR="0020337D" w:rsidRPr="00DC4844" w:rsidRDefault="0020337D" w:rsidP="0020337D">
            <w:pPr>
              <w:jc w:val="right"/>
              <w:rPr>
                <w:color w:val="000000"/>
                <w:sz w:val="12"/>
                <w:szCs w:val="12"/>
              </w:rPr>
            </w:pPr>
            <w:r w:rsidRPr="00DC4844">
              <w:rPr>
                <w:color w:val="000000"/>
                <w:sz w:val="12"/>
                <w:szCs w:val="12"/>
              </w:rPr>
              <w:t>1,</w:t>
            </w:r>
            <w:r w:rsidR="007955E2">
              <w:rPr>
                <w:color w:val="000000"/>
                <w:sz w:val="12"/>
                <w:szCs w:val="12"/>
              </w:rPr>
              <w:t>808</w:t>
            </w:r>
          </w:p>
        </w:tc>
      </w:tr>
      <w:tr w:rsidR="0020337D" w:rsidRPr="00DC4844" w14:paraId="00328850" w14:textId="77777777" w:rsidTr="0098555B">
        <w:trPr>
          <w:trHeight w:val="300"/>
          <w:jc w:val="center"/>
        </w:trPr>
        <w:tc>
          <w:tcPr>
            <w:tcW w:w="2268" w:type="dxa"/>
            <w:tcBorders>
              <w:top w:val="nil"/>
              <w:left w:val="nil"/>
              <w:right w:val="nil"/>
            </w:tcBorders>
            <w:shd w:val="clear" w:color="auto" w:fill="FFFFFF" w:themeFill="background1"/>
            <w:noWrap/>
            <w:vAlign w:val="bottom"/>
            <w:hideMark/>
          </w:tcPr>
          <w:p w14:paraId="411704D2" w14:textId="77777777" w:rsidR="0020337D" w:rsidRPr="00DC4844" w:rsidRDefault="0020337D" w:rsidP="0020337D">
            <w:pPr>
              <w:rPr>
                <w:color w:val="000000"/>
                <w:sz w:val="12"/>
                <w:szCs w:val="12"/>
              </w:rPr>
            </w:pPr>
            <w:r w:rsidRPr="00DC4844">
              <w:rPr>
                <w:color w:val="000000"/>
                <w:sz w:val="12"/>
                <w:szCs w:val="12"/>
              </w:rPr>
              <w:t xml:space="preserve">     Plataforma de exportación promedio (</w:t>
            </w:r>
            <w:proofErr w:type="spellStart"/>
            <w:r w:rsidRPr="00DC4844">
              <w:rPr>
                <w:color w:val="000000"/>
                <w:sz w:val="12"/>
                <w:szCs w:val="12"/>
              </w:rPr>
              <w:t>mbd</w:t>
            </w:r>
            <w:proofErr w:type="spellEnd"/>
            <w:r w:rsidRPr="00DC4844">
              <w:rPr>
                <w:color w:val="000000"/>
                <w:sz w:val="12"/>
                <w:szCs w:val="12"/>
              </w:rPr>
              <w:t>)</w:t>
            </w:r>
          </w:p>
        </w:tc>
        <w:tc>
          <w:tcPr>
            <w:tcW w:w="748" w:type="dxa"/>
            <w:tcBorders>
              <w:top w:val="nil"/>
              <w:left w:val="nil"/>
              <w:right w:val="nil"/>
            </w:tcBorders>
            <w:shd w:val="clear" w:color="auto" w:fill="FFFFFF" w:themeFill="background1"/>
            <w:noWrap/>
            <w:vAlign w:val="bottom"/>
            <w:hideMark/>
          </w:tcPr>
          <w:p w14:paraId="2B20C275" w14:textId="6016B87C" w:rsidR="0020337D" w:rsidRPr="00DC4844" w:rsidRDefault="0020337D" w:rsidP="0020337D">
            <w:pPr>
              <w:jc w:val="right"/>
              <w:rPr>
                <w:color w:val="000000"/>
                <w:sz w:val="12"/>
                <w:szCs w:val="12"/>
              </w:rPr>
            </w:pPr>
            <w:r w:rsidRPr="00DC4844">
              <w:rPr>
                <w:color w:val="000000"/>
                <w:sz w:val="12"/>
                <w:szCs w:val="12"/>
              </w:rPr>
              <w:t>8</w:t>
            </w:r>
            <w:r>
              <w:rPr>
                <w:color w:val="000000"/>
                <w:sz w:val="12"/>
                <w:szCs w:val="12"/>
              </w:rPr>
              <w:t>06</w:t>
            </w:r>
          </w:p>
        </w:tc>
        <w:tc>
          <w:tcPr>
            <w:tcW w:w="903" w:type="dxa"/>
            <w:tcBorders>
              <w:top w:val="nil"/>
              <w:left w:val="nil"/>
              <w:right w:val="nil"/>
            </w:tcBorders>
            <w:shd w:val="clear" w:color="auto" w:fill="FFFFFF" w:themeFill="background1"/>
            <w:vAlign w:val="bottom"/>
          </w:tcPr>
          <w:p w14:paraId="22D0D800" w14:textId="324206FB" w:rsidR="0020337D" w:rsidRPr="00DC4844" w:rsidRDefault="0020337D" w:rsidP="0020337D">
            <w:pPr>
              <w:jc w:val="right"/>
              <w:rPr>
                <w:color w:val="000000"/>
                <w:sz w:val="12"/>
                <w:szCs w:val="12"/>
              </w:rPr>
            </w:pPr>
            <w:r w:rsidRPr="00DC4844">
              <w:rPr>
                <w:color w:val="000000"/>
                <w:sz w:val="12"/>
                <w:szCs w:val="12"/>
              </w:rPr>
              <w:t>616</w:t>
            </w:r>
          </w:p>
        </w:tc>
        <w:tc>
          <w:tcPr>
            <w:tcW w:w="759" w:type="dxa"/>
            <w:tcBorders>
              <w:top w:val="nil"/>
              <w:left w:val="nil"/>
              <w:right w:val="nil"/>
            </w:tcBorders>
            <w:shd w:val="clear" w:color="auto" w:fill="FFFFFF" w:themeFill="background1"/>
            <w:vAlign w:val="bottom"/>
          </w:tcPr>
          <w:p w14:paraId="6D9E4358" w14:textId="16FBA7F0" w:rsidR="0020337D" w:rsidRPr="00DC4844" w:rsidRDefault="007955E2" w:rsidP="0020337D">
            <w:pPr>
              <w:jc w:val="right"/>
              <w:rPr>
                <w:color w:val="000000"/>
                <w:sz w:val="12"/>
                <w:szCs w:val="12"/>
              </w:rPr>
            </w:pPr>
            <w:r>
              <w:rPr>
                <w:color w:val="000000"/>
                <w:sz w:val="12"/>
                <w:szCs w:val="12"/>
              </w:rPr>
              <w:t>521</w:t>
            </w:r>
          </w:p>
        </w:tc>
        <w:tc>
          <w:tcPr>
            <w:tcW w:w="851" w:type="dxa"/>
            <w:tcBorders>
              <w:top w:val="nil"/>
              <w:left w:val="nil"/>
              <w:right w:val="nil"/>
            </w:tcBorders>
            <w:shd w:val="clear" w:color="auto" w:fill="FFFFFF" w:themeFill="background1"/>
            <w:vAlign w:val="bottom"/>
          </w:tcPr>
          <w:p w14:paraId="177DE75B" w14:textId="70AE2C79" w:rsidR="0020337D" w:rsidRPr="00DC4844" w:rsidRDefault="007955E2" w:rsidP="0020337D">
            <w:pPr>
              <w:jc w:val="right"/>
              <w:rPr>
                <w:color w:val="000000"/>
                <w:sz w:val="12"/>
                <w:szCs w:val="12"/>
              </w:rPr>
            </w:pPr>
            <w:r>
              <w:rPr>
                <w:color w:val="000000"/>
                <w:sz w:val="12"/>
                <w:szCs w:val="12"/>
              </w:rPr>
              <w:t>428</w:t>
            </w:r>
          </w:p>
        </w:tc>
        <w:tc>
          <w:tcPr>
            <w:tcW w:w="752" w:type="dxa"/>
            <w:tcBorders>
              <w:top w:val="nil"/>
              <w:left w:val="nil"/>
              <w:right w:val="nil"/>
            </w:tcBorders>
            <w:shd w:val="clear" w:color="auto" w:fill="FFFFFF" w:themeFill="background1"/>
            <w:vAlign w:val="bottom"/>
          </w:tcPr>
          <w:p w14:paraId="72504174" w14:textId="4083BC55" w:rsidR="0020337D" w:rsidRPr="00DC4844" w:rsidRDefault="007955E2" w:rsidP="0020337D">
            <w:pPr>
              <w:jc w:val="right"/>
              <w:rPr>
                <w:color w:val="000000"/>
                <w:sz w:val="12"/>
                <w:szCs w:val="12"/>
              </w:rPr>
            </w:pPr>
            <w:r>
              <w:rPr>
                <w:color w:val="000000"/>
                <w:sz w:val="12"/>
                <w:szCs w:val="12"/>
              </w:rPr>
              <w:t>432</w:t>
            </w:r>
          </w:p>
        </w:tc>
        <w:tc>
          <w:tcPr>
            <w:tcW w:w="752" w:type="dxa"/>
            <w:tcBorders>
              <w:top w:val="nil"/>
              <w:left w:val="nil"/>
              <w:right w:val="nil"/>
            </w:tcBorders>
            <w:shd w:val="clear" w:color="auto" w:fill="FFFFFF" w:themeFill="background1"/>
            <w:vAlign w:val="bottom"/>
          </w:tcPr>
          <w:p w14:paraId="5DC24E95" w14:textId="6B1833DA" w:rsidR="0020337D" w:rsidRPr="00DC4844" w:rsidRDefault="0020337D" w:rsidP="0020337D">
            <w:pPr>
              <w:jc w:val="right"/>
              <w:rPr>
                <w:color w:val="000000"/>
                <w:sz w:val="12"/>
                <w:szCs w:val="12"/>
              </w:rPr>
            </w:pPr>
            <w:r w:rsidRPr="00DC4844">
              <w:rPr>
                <w:color w:val="000000"/>
                <w:sz w:val="12"/>
                <w:szCs w:val="12"/>
              </w:rPr>
              <w:t>4</w:t>
            </w:r>
            <w:r w:rsidR="007955E2">
              <w:rPr>
                <w:color w:val="000000"/>
                <w:sz w:val="12"/>
                <w:szCs w:val="12"/>
              </w:rPr>
              <w:t>38</w:t>
            </w:r>
          </w:p>
        </w:tc>
        <w:tc>
          <w:tcPr>
            <w:tcW w:w="752" w:type="dxa"/>
            <w:tcBorders>
              <w:top w:val="nil"/>
              <w:left w:val="nil"/>
              <w:right w:val="nil"/>
            </w:tcBorders>
            <w:shd w:val="clear" w:color="auto" w:fill="FFFFFF" w:themeFill="background1"/>
            <w:vAlign w:val="bottom"/>
          </w:tcPr>
          <w:p w14:paraId="249694BE" w14:textId="3F7FD9C9" w:rsidR="0020337D" w:rsidRPr="00DC4844" w:rsidRDefault="0020337D" w:rsidP="0020337D">
            <w:pPr>
              <w:jc w:val="right"/>
              <w:rPr>
                <w:color w:val="000000"/>
                <w:sz w:val="12"/>
                <w:szCs w:val="12"/>
              </w:rPr>
            </w:pPr>
            <w:r w:rsidRPr="00DC4844">
              <w:rPr>
                <w:color w:val="000000"/>
                <w:sz w:val="12"/>
                <w:szCs w:val="12"/>
              </w:rPr>
              <w:t>4</w:t>
            </w:r>
            <w:r w:rsidR="007955E2">
              <w:rPr>
                <w:color w:val="000000"/>
                <w:sz w:val="12"/>
                <w:szCs w:val="12"/>
              </w:rPr>
              <w:t>44</w:t>
            </w:r>
          </w:p>
        </w:tc>
        <w:tc>
          <w:tcPr>
            <w:tcW w:w="752" w:type="dxa"/>
            <w:gridSpan w:val="2"/>
            <w:tcBorders>
              <w:top w:val="nil"/>
              <w:left w:val="nil"/>
              <w:right w:val="nil"/>
            </w:tcBorders>
            <w:shd w:val="clear" w:color="auto" w:fill="FFFFFF" w:themeFill="background1"/>
            <w:noWrap/>
            <w:vAlign w:val="bottom"/>
            <w:hideMark/>
          </w:tcPr>
          <w:p w14:paraId="40FB3524" w14:textId="697E3330" w:rsidR="0020337D" w:rsidRPr="00DC4844" w:rsidRDefault="007955E2" w:rsidP="0020337D">
            <w:pPr>
              <w:jc w:val="right"/>
              <w:rPr>
                <w:color w:val="000000"/>
                <w:sz w:val="12"/>
                <w:szCs w:val="12"/>
              </w:rPr>
            </w:pPr>
            <w:r>
              <w:rPr>
                <w:color w:val="000000"/>
                <w:sz w:val="12"/>
                <w:szCs w:val="12"/>
              </w:rPr>
              <w:t>45</w:t>
            </w:r>
            <w:r w:rsidR="0020337D" w:rsidRPr="00DC4844">
              <w:rPr>
                <w:color w:val="000000"/>
                <w:sz w:val="12"/>
                <w:szCs w:val="12"/>
              </w:rPr>
              <w:t>1</w:t>
            </w:r>
          </w:p>
        </w:tc>
      </w:tr>
      <w:tr w:rsidR="0020337D" w:rsidRPr="00DC4844" w14:paraId="2053A618" w14:textId="77777777" w:rsidTr="0098555B">
        <w:trPr>
          <w:trHeight w:val="300"/>
          <w:jc w:val="center"/>
        </w:trPr>
        <w:tc>
          <w:tcPr>
            <w:tcW w:w="2268" w:type="dxa"/>
            <w:tcBorders>
              <w:top w:val="nil"/>
              <w:left w:val="nil"/>
              <w:right w:val="nil"/>
            </w:tcBorders>
            <w:shd w:val="clear" w:color="auto" w:fill="F2F2F2" w:themeFill="background1" w:themeFillShade="F2"/>
            <w:noWrap/>
            <w:vAlign w:val="bottom"/>
          </w:tcPr>
          <w:p w14:paraId="2DA41D8F" w14:textId="77777777" w:rsidR="0020337D" w:rsidRPr="00DC4844" w:rsidRDefault="0020337D" w:rsidP="0020337D">
            <w:pPr>
              <w:rPr>
                <w:color w:val="000000"/>
                <w:sz w:val="12"/>
                <w:szCs w:val="12"/>
              </w:rPr>
            </w:pPr>
            <w:r w:rsidRPr="00DC4844">
              <w:rPr>
                <w:color w:val="000000"/>
                <w:sz w:val="12"/>
                <w:szCs w:val="12"/>
              </w:rPr>
              <w:t xml:space="preserve">     Plataforma de privados promedio (</w:t>
            </w:r>
            <w:proofErr w:type="spellStart"/>
            <w:r w:rsidRPr="00DC4844">
              <w:rPr>
                <w:color w:val="000000"/>
                <w:sz w:val="12"/>
                <w:szCs w:val="12"/>
              </w:rPr>
              <w:t>mbd</w:t>
            </w:r>
            <w:proofErr w:type="spellEnd"/>
            <w:r w:rsidRPr="00DC4844">
              <w:rPr>
                <w:color w:val="000000"/>
                <w:sz w:val="12"/>
                <w:szCs w:val="12"/>
              </w:rPr>
              <w:t>)</w:t>
            </w:r>
          </w:p>
        </w:tc>
        <w:tc>
          <w:tcPr>
            <w:tcW w:w="748" w:type="dxa"/>
            <w:tcBorders>
              <w:top w:val="nil"/>
              <w:left w:val="nil"/>
              <w:right w:val="nil"/>
            </w:tcBorders>
            <w:shd w:val="clear" w:color="auto" w:fill="F2F2F2" w:themeFill="background1" w:themeFillShade="F2"/>
            <w:noWrap/>
            <w:vAlign w:val="bottom"/>
          </w:tcPr>
          <w:p w14:paraId="0C0ECF25" w14:textId="72003AFD" w:rsidR="0020337D" w:rsidRPr="00DC4844" w:rsidRDefault="0020337D" w:rsidP="0020337D">
            <w:pPr>
              <w:jc w:val="right"/>
              <w:rPr>
                <w:color w:val="000000"/>
                <w:sz w:val="12"/>
                <w:szCs w:val="12"/>
              </w:rPr>
            </w:pPr>
            <w:r>
              <w:rPr>
                <w:color w:val="000000"/>
                <w:sz w:val="12"/>
                <w:szCs w:val="12"/>
              </w:rPr>
              <w:t>6</w:t>
            </w:r>
            <w:r w:rsidRPr="00DC4844">
              <w:rPr>
                <w:color w:val="000000"/>
                <w:sz w:val="12"/>
                <w:szCs w:val="12"/>
              </w:rPr>
              <w:t>7</w:t>
            </w:r>
          </w:p>
        </w:tc>
        <w:tc>
          <w:tcPr>
            <w:tcW w:w="903" w:type="dxa"/>
            <w:tcBorders>
              <w:top w:val="nil"/>
              <w:left w:val="nil"/>
              <w:right w:val="nil"/>
            </w:tcBorders>
            <w:shd w:val="clear" w:color="auto" w:fill="F2F2F2" w:themeFill="background1" w:themeFillShade="F2"/>
            <w:vAlign w:val="bottom"/>
          </w:tcPr>
          <w:p w14:paraId="2F2D784A" w14:textId="24C271DA" w:rsidR="0020337D" w:rsidRPr="00DC4844" w:rsidRDefault="0020337D" w:rsidP="0020337D">
            <w:pPr>
              <w:jc w:val="right"/>
              <w:rPr>
                <w:color w:val="000000"/>
                <w:sz w:val="12"/>
                <w:szCs w:val="12"/>
              </w:rPr>
            </w:pPr>
            <w:r w:rsidRPr="00DC4844">
              <w:rPr>
                <w:color w:val="000000"/>
                <w:sz w:val="12"/>
                <w:szCs w:val="12"/>
              </w:rPr>
              <w:t>51</w:t>
            </w:r>
          </w:p>
        </w:tc>
        <w:tc>
          <w:tcPr>
            <w:tcW w:w="759" w:type="dxa"/>
            <w:tcBorders>
              <w:top w:val="nil"/>
              <w:left w:val="nil"/>
              <w:right w:val="nil"/>
            </w:tcBorders>
            <w:shd w:val="clear" w:color="auto" w:fill="F2F2F2" w:themeFill="background1" w:themeFillShade="F2"/>
            <w:vAlign w:val="bottom"/>
          </w:tcPr>
          <w:p w14:paraId="3BEC3AAE" w14:textId="6E046349" w:rsidR="0020337D" w:rsidRPr="00DC4844" w:rsidRDefault="007955E2" w:rsidP="0020337D">
            <w:pPr>
              <w:jc w:val="right"/>
              <w:rPr>
                <w:color w:val="000000"/>
                <w:sz w:val="12"/>
                <w:szCs w:val="12"/>
              </w:rPr>
            </w:pPr>
            <w:r>
              <w:rPr>
                <w:color w:val="000000"/>
                <w:sz w:val="12"/>
                <w:szCs w:val="12"/>
              </w:rPr>
              <w:t>119</w:t>
            </w:r>
          </w:p>
        </w:tc>
        <w:tc>
          <w:tcPr>
            <w:tcW w:w="851" w:type="dxa"/>
            <w:tcBorders>
              <w:top w:val="nil"/>
              <w:left w:val="nil"/>
              <w:right w:val="nil"/>
            </w:tcBorders>
            <w:shd w:val="clear" w:color="auto" w:fill="F2F2F2" w:themeFill="background1" w:themeFillShade="F2"/>
            <w:vAlign w:val="bottom"/>
          </w:tcPr>
          <w:p w14:paraId="1DF8329F" w14:textId="5AC62DE6" w:rsidR="0020337D" w:rsidRPr="00DC4844" w:rsidRDefault="007955E2" w:rsidP="0020337D">
            <w:pPr>
              <w:jc w:val="right"/>
              <w:rPr>
                <w:color w:val="000000"/>
                <w:sz w:val="12"/>
                <w:szCs w:val="12"/>
              </w:rPr>
            </w:pPr>
            <w:r>
              <w:rPr>
                <w:color w:val="000000"/>
                <w:sz w:val="12"/>
                <w:szCs w:val="12"/>
              </w:rPr>
              <w:t>1</w:t>
            </w:r>
            <w:r w:rsidR="00E9015F">
              <w:rPr>
                <w:color w:val="000000"/>
                <w:sz w:val="12"/>
                <w:szCs w:val="12"/>
              </w:rPr>
              <w:t>25</w:t>
            </w:r>
          </w:p>
        </w:tc>
        <w:tc>
          <w:tcPr>
            <w:tcW w:w="752" w:type="dxa"/>
            <w:tcBorders>
              <w:top w:val="nil"/>
              <w:left w:val="nil"/>
              <w:right w:val="nil"/>
            </w:tcBorders>
            <w:shd w:val="clear" w:color="auto" w:fill="F2F2F2" w:themeFill="background1" w:themeFillShade="F2"/>
            <w:vAlign w:val="bottom"/>
          </w:tcPr>
          <w:p w14:paraId="78D1F793" w14:textId="4E175F6B" w:rsidR="0020337D" w:rsidRPr="00DC4844" w:rsidRDefault="0020337D" w:rsidP="0020337D">
            <w:pPr>
              <w:jc w:val="right"/>
              <w:rPr>
                <w:color w:val="000000"/>
                <w:sz w:val="12"/>
                <w:szCs w:val="12"/>
              </w:rPr>
            </w:pPr>
            <w:r w:rsidRPr="00DC4844">
              <w:rPr>
                <w:color w:val="000000"/>
                <w:sz w:val="12"/>
                <w:szCs w:val="12"/>
              </w:rPr>
              <w:t>1</w:t>
            </w:r>
            <w:r w:rsidR="00E9015F">
              <w:rPr>
                <w:color w:val="000000"/>
                <w:sz w:val="12"/>
                <w:szCs w:val="12"/>
              </w:rPr>
              <w:t>31</w:t>
            </w:r>
          </w:p>
        </w:tc>
        <w:tc>
          <w:tcPr>
            <w:tcW w:w="752" w:type="dxa"/>
            <w:tcBorders>
              <w:top w:val="nil"/>
              <w:left w:val="nil"/>
              <w:right w:val="nil"/>
            </w:tcBorders>
            <w:shd w:val="clear" w:color="auto" w:fill="F2F2F2" w:themeFill="background1" w:themeFillShade="F2"/>
            <w:vAlign w:val="bottom"/>
          </w:tcPr>
          <w:p w14:paraId="72DAF21E" w14:textId="4B3250EF" w:rsidR="0020337D" w:rsidRPr="00DC4844" w:rsidRDefault="0020337D" w:rsidP="0020337D">
            <w:pPr>
              <w:jc w:val="right"/>
              <w:rPr>
                <w:color w:val="000000"/>
                <w:sz w:val="12"/>
                <w:szCs w:val="12"/>
              </w:rPr>
            </w:pPr>
            <w:r w:rsidRPr="00DC4844">
              <w:rPr>
                <w:color w:val="000000"/>
                <w:sz w:val="12"/>
                <w:szCs w:val="12"/>
              </w:rPr>
              <w:t>1</w:t>
            </w:r>
            <w:r w:rsidR="00E9015F">
              <w:rPr>
                <w:color w:val="000000"/>
                <w:sz w:val="12"/>
                <w:szCs w:val="12"/>
              </w:rPr>
              <w:t>38</w:t>
            </w:r>
          </w:p>
        </w:tc>
        <w:tc>
          <w:tcPr>
            <w:tcW w:w="752" w:type="dxa"/>
            <w:tcBorders>
              <w:top w:val="nil"/>
              <w:left w:val="nil"/>
              <w:right w:val="nil"/>
            </w:tcBorders>
            <w:shd w:val="clear" w:color="auto" w:fill="F2F2F2" w:themeFill="background1" w:themeFillShade="F2"/>
            <w:vAlign w:val="bottom"/>
          </w:tcPr>
          <w:p w14:paraId="6CC3EEFD" w14:textId="3764291A" w:rsidR="0020337D" w:rsidRPr="00DC4844" w:rsidRDefault="0020337D" w:rsidP="0020337D">
            <w:pPr>
              <w:jc w:val="right"/>
              <w:rPr>
                <w:color w:val="000000"/>
                <w:sz w:val="12"/>
                <w:szCs w:val="12"/>
              </w:rPr>
            </w:pPr>
            <w:r w:rsidRPr="00DC4844">
              <w:rPr>
                <w:color w:val="000000"/>
                <w:sz w:val="12"/>
                <w:szCs w:val="12"/>
              </w:rPr>
              <w:t>1</w:t>
            </w:r>
            <w:r w:rsidR="00E9015F">
              <w:rPr>
                <w:color w:val="000000"/>
                <w:sz w:val="12"/>
                <w:szCs w:val="12"/>
              </w:rPr>
              <w:t>45</w:t>
            </w:r>
          </w:p>
        </w:tc>
        <w:tc>
          <w:tcPr>
            <w:tcW w:w="752" w:type="dxa"/>
            <w:gridSpan w:val="2"/>
            <w:tcBorders>
              <w:top w:val="nil"/>
              <w:left w:val="nil"/>
              <w:right w:val="nil"/>
            </w:tcBorders>
            <w:shd w:val="clear" w:color="auto" w:fill="F2F2F2" w:themeFill="background1" w:themeFillShade="F2"/>
            <w:noWrap/>
            <w:vAlign w:val="bottom"/>
          </w:tcPr>
          <w:p w14:paraId="7E6C6B0C" w14:textId="2D6394A3" w:rsidR="0020337D" w:rsidRPr="00DC4844" w:rsidRDefault="0020337D" w:rsidP="0020337D">
            <w:pPr>
              <w:jc w:val="right"/>
              <w:rPr>
                <w:color w:val="000000"/>
                <w:sz w:val="12"/>
                <w:szCs w:val="12"/>
              </w:rPr>
            </w:pPr>
            <w:r w:rsidRPr="00DC4844">
              <w:rPr>
                <w:color w:val="000000"/>
                <w:sz w:val="12"/>
                <w:szCs w:val="12"/>
              </w:rPr>
              <w:t>1</w:t>
            </w:r>
            <w:r w:rsidR="00E9015F">
              <w:rPr>
                <w:color w:val="000000"/>
                <w:sz w:val="12"/>
                <w:szCs w:val="12"/>
              </w:rPr>
              <w:t>53</w:t>
            </w:r>
          </w:p>
        </w:tc>
      </w:tr>
      <w:tr w:rsidR="0020337D" w:rsidRPr="00DC4844" w14:paraId="50C823E2" w14:textId="77777777" w:rsidTr="0098555B">
        <w:trPr>
          <w:trHeight w:val="300"/>
          <w:jc w:val="center"/>
        </w:trPr>
        <w:tc>
          <w:tcPr>
            <w:tcW w:w="2268" w:type="dxa"/>
            <w:tcBorders>
              <w:top w:val="nil"/>
              <w:left w:val="nil"/>
              <w:right w:val="nil"/>
            </w:tcBorders>
            <w:shd w:val="clear" w:color="auto" w:fill="FFFFFF" w:themeFill="background1"/>
            <w:noWrap/>
            <w:vAlign w:val="bottom"/>
          </w:tcPr>
          <w:p w14:paraId="4417AE93" w14:textId="77777777" w:rsidR="0020337D" w:rsidRPr="00DC4844" w:rsidRDefault="0020337D" w:rsidP="0020337D">
            <w:pPr>
              <w:rPr>
                <w:b/>
                <w:bCs/>
                <w:color w:val="000000"/>
                <w:sz w:val="12"/>
                <w:szCs w:val="12"/>
              </w:rPr>
            </w:pPr>
            <w:r w:rsidRPr="00DC4844">
              <w:rPr>
                <w:b/>
                <w:bCs/>
                <w:color w:val="000000"/>
                <w:sz w:val="12"/>
                <w:szCs w:val="12"/>
              </w:rPr>
              <w:t>Gas</w:t>
            </w:r>
          </w:p>
        </w:tc>
        <w:tc>
          <w:tcPr>
            <w:tcW w:w="748" w:type="dxa"/>
            <w:tcBorders>
              <w:top w:val="nil"/>
              <w:left w:val="nil"/>
              <w:right w:val="nil"/>
            </w:tcBorders>
            <w:shd w:val="clear" w:color="auto" w:fill="FFFFFF" w:themeFill="background1"/>
            <w:noWrap/>
            <w:vAlign w:val="bottom"/>
          </w:tcPr>
          <w:p w14:paraId="5B911EA8" w14:textId="77777777" w:rsidR="0020337D" w:rsidRPr="00DC4844" w:rsidRDefault="0020337D" w:rsidP="0020337D">
            <w:pPr>
              <w:jc w:val="right"/>
              <w:rPr>
                <w:color w:val="000000"/>
                <w:sz w:val="12"/>
                <w:szCs w:val="12"/>
              </w:rPr>
            </w:pPr>
          </w:p>
        </w:tc>
        <w:tc>
          <w:tcPr>
            <w:tcW w:w="903" w:type="dxa"/>
            <w:tcBorders>
              <w:top w:val="nil"/>
              <w:left w:val="nil"/>
              <w:right w:val="nil"/>
            </w:tcBorders>
            <w:shd w:val="clear" w:color="auto" w:fill="FFFFFF" w:themeFill="background1"/>
            <w:vAlign w:val="bottom"/>
          </w:tcPr>
          <w:p w14:paraId="69520A64" w14:textId="77777777" w:rsidR="0020337D" w:rsidRPr="00DC4844" w:rsidRDefault="0020337D" w:rsidP="0020337D">
            <w:pPr>
              <w:jc w:val="right"/>
              <w:rPr>
                <w:color w:val="000000"/>
                <w:sz w:val="12"/>
                <w:szCs w:val="12"/>
              </w:rPr>
            </w:pPr>
          </w:p>
        </w:tc>
        <w:tc>
          <w:tcPr>
            <w:tcW w:w="759" w:type="dxa"/>
            <w:tcBorders>
              <w:top w:val="nil"/>
              <w:left w:val="nil"/>
              <w:right w:val="nil"/>
            </w:tcBorders>
            <w:shd w:val="clear" w:color="auto" w:fill="FFFFFF" w:themeFill="background1"/>
            <w:vAlign w:val="bottom"/>
          </w:tcPr>
          <w:p w14:paraId="79531FE4" w14:textId="77777777" w:rsidR="0020337D" w:rsidRPr="00DC4844" w:rsidRDefault="0020337D" w:rsidP="0020337D">
            <w:pPr>
              <w:jc w:val="right"/>
              <w:rPr>
                <w:color w:val="000000"/>
                <w:sz w:val="12"/>
                <w:szCs w:val="12"/>
              </w:rPr>
            </w:pPr>
          </w:p>
        </w:tc>
        <w:tc>
          <w:tcPr>
            <w:tcW w:w="851" w:type="dxa"/>
            <w:tcBorders>
              <w:top w:val="nil"/>
              <w:left w:val="nil"/>
              <w:right w:val="nil"/>
            </w:tcBorders>
            <w:shd w:val="clear" w:color="auto" w:fill="FFFFFF" w:themeFill="background1"/>
            <w:vAlign w:val="bottom"/>
          </w:tcPr>
          <w:p w14:paraId="77845370" w14:textId="77777777" w:rsidR="0020337D" w:rsidRPr="00DC4844" w:rsidRDefault="0020337D" w:rsidP="0020337D">
            <w:pPr>
              <w:jc w:val="right"/>
              <w:rPr>
                <w:color w:val="000000"/>
                <w:sz w:val="12"/>
                <w:szCs w:val="12"/>
              </w:rPr>
            </w:pPr>
          </w:p>
        </w:tc>
        <w:tc>
          <w:tcPr>
            <w:tcW w:w="752" w:type="dxa"/>
            <w:tcBorders>
              <w:top w:val="nil"/>
              <w:left w:val="nil"/>
              <w:right w:val="nil"/>
            </w:tcBorders>
            <w:shd w:val="clear" w:color="auto" w:fill="FFFFFF" w:themeFill="background1"/>
            <w:vAlign w:val="bottom"/>
          </w:tcPr>
          <w:p w14:paraId="53E99CF2" w14:textId="77777777" w:rsidR="0020337D" w:rsidRPr="00DC4844" w:rsidRDefault="0020337D" w:rsidP="0020337D">
            <w:pPr>
              <w:jc w:val="right"/>
              <w:rPr>
                <w:color w:val="000000"/>
                <w:sz w:val="12"/>
                <w:szCs w:val="12"/>
              </w:rPr>
            </w:pPr>
          </w:p>
        </w:tc>
        <w:tc>
          <w:tcPr>
            <w:tcW w:w="752" w:type="dxa"/>
            <w:tcBorders>
              <w:top w:val="nil"/>
              <w:left w:val="nil"/>
              <w:right w:val="nil"/>
            </w:tcBorders>
            <w:shd w:val="clear" w:color="auto" w:fill="FFFFFF" w:themeFill="background1"/>
            <w:vAlign w:val="bottom"/>
          </w:tcPr>
          <w:p w14:paraId="66B03789" w14:textId="77777777" w:rsidR="0020337D" w:rsidRPr="00DC4844" w:rsidRDefault="0020337D" w:rsidP="0020337D">
            <w:pPr>
              <w:jc w:val="right"/>
              <w:rPr>
                <w:color w:val="000000"/>
                <w:sz w:val="12"/>
                <w:szCs w:val="12"/>
              </w:rPr>
            </w:pPr>
          </w:p>
        </w:tc>
        <w:tc>
          <w:tcPr>
            <w:tcW w:w="752" w:type="dxa"/>
            <w:tcBorders>
              <w:top w:val="nil"/>
              <w:left w:val="nil"/>
              <w:right w:val="nil"/>
            </w:tcBorders>
            <w:shd w:val="clear" w:color="auto" w:fill="FFFFFF" w:themeFill="background1"/>
            <w:vAlign w:val="bottom"/>
          </w:tcPr>
          <w:p w14:paraId="28F7D45F" w14:textId="77777777" w:rsidR="0020337D" w:rsidRPr="00DC4844" w:rsidRDefault="0020337D" w:rsidP="0020337D">
            <w:pPr>
              <w:jc w:val="right"/>
              <w:rPr>
                <w:color w:val="000000"/>
                <w:sz w:val="12"/>
                <w:szCs w:val="12"/>
              </w:rPr>
            </w:pPr>
          </w:p>
        </w:tc>
        <w:tc>
          <w:tcPr>
            <w:tcW w:w="752" w:type="dxa"/>
            <w:gridSpan w:val="2"/>
            <w:tcBorders>
              <w:top w:val="nil"/>
              <w:left w:val="nil"/>
              <w:right w:val="nil"/>
            </w:tcBorders>
            <w:shd w:val="clear" w:color="auto" w:fill="FFFFFF" w:themeFill="background1"/>
            <w:noWrap/>
            <w:vAlign w:val="bottom"/>
          </w:tcPr>
          <w:p w14:paraId="0B6585BC" w14:textId="33B45A45" w:rsidR="0020337D" w:rsidRPr="00DC4844" w:rsidRDefault="0020337D" w:rsidP="0020337D">
            <w:pPr>
              <w:jc w:val="right"/>
              <w:rPr>
                <w:color w:val="000000"/>
                <w:sz w:val="12"/>
                <w:szCs w:val="12"/>
              </w:rPr>
            </w:pPr>
          </w:p>
        </w:tc>
      </w:tr>
      <w:tr w:rsidR="0020337D" w:rsidRPr="00DC4844" w14:paraId="72619066" w14:textId="77777777" w:rsidTr="0098555B">
        <w:trPr>
          <w:trHeight w:val="300"/>
          <w:jc w:val="center"/>
        </w:trPr>
        <w:tc>
          <w:tcPr>
            <w:tcW w:w="2268" w:type="dxa"/>
            <w:tcBorders>
              <w:top w:val="nil"/>
              <w:left w:val="nil"/>
              <w:bottom w:val="single" w:sz="4" w:space="0" w:color="auto"/>
              <w:right w:val="nil"/>
            </w:tcBorders>
            <w:shd w:val="clear" w:color="auto" w:fill="F2F2F2" w:themeFill="background1" w:themeFillShade="F2"/>
            <w:noWrap/>
            <w:vAlign w:val="bottom"/>
          </w:tcPr>
          <w:p w14:paraId="291583D9" w14:textId="77777777" w:rsidR="0020337D" w:rsidRPr="00DC4844" w:rsidRDefault="0020337D" w:rsidP="0020337D">
            <w:pPr>
              <w:rPr>
                <w:color w:val="000000"/>
                <w:sz w:val="12"/>
                <w:szCs w:val="12"/>
              </w:rPr>
            </w:pPr>
            <w:r w:rsidRPr="00DC4844">
              <w:rPr>
                <w:color w:val="000000"/>
                <w:sz w:val="12"/>
                <w:szCs w:val="12"/>
              </w:rPr>
              <w:t xml:space="preserve">     Precio promedio (dólares/</w:t>
            </w:r>
            <w:proofErr w:type="spellStart"/>
            <w:r w:rsidRPr="00DC4844">
              <w:rPr>
                <w:color w:val="000000"/>
                <w:sz w:val="12"/>
                <w:szCs w:val="12"/>
              </w:rPr>
              <w:t>MMBtu</w:t>
            </w:r>
            <w:proofErr w:type="spellEnd"/>
            <w:r w:rsidRPr="00DC4844">
              <w:rPr>
                <w:color w:val="000000"/>
                <w:sz w:val="12"/>
                <w:szCs w:val="12"/>
              </w:rPr>
              <w:t>)</w:t>
            </w:r>
          </w:p>
        </w:tc>
        <w:tc>
          <w:tcPr>
            <w:tcW w:w="748" w:type="dxa"/>
            <w:tcBorders>
              <w:top w:val="nil"/>
              <w:left w:val="nil"/>
              <w:bottom w:val="single" w:sz="4" w:space="0" w:color="auto"/>
              <w:right w:val="nil"/>
            </w:tcBorders>
            <w:shd w:val="clear" w:color="auto" w:fill="F2F2F2" w:themeFill="background1" w:themeFillShade="F2"/>
            <w:noWrap/>
            <w:vAlign w:val="bottom"/>
          </w:tcPr>
          <w:p w14:paraId="396FE124" w14:textId="63D6E73B" w:rsidR="0020337D" w:rsidRPr="00DC4844" w:rsidRDefault="0020337D" w:rsidP="0020337D">
            <w:pPr>
              <w:jc w:val="right"/>
              <w:rPr>
                <w:color w:val="000000"/>
                <w:sz w:val="12"/>
                <w:szCs w:val="12"/>
              </w:rPr>
            </w:pPr>
            <w:r>
              <w:rPr>
                <w:color w:val="000000"/>
                <w:sz w:val="12"/>
                <w:szCs w:val="12"/>
              </w:rPr>
              <w:t>2.2</w:t>
            </w:r>
          </w:p>
        </w:tc>
        <w:tc>
          <w:tcPr>
            <w:tcW w:w="903" w:type="dxa"/>
            <w:tcBorders>
              <w:top w:val="nil"/>
              <w:left w:val="nil"/>
              <w:bottom w:val="single" w:sz="4" w:space="0" w:color="auto"/>
              <w:right w:val="nil"/>
            </w:tcBorders>
            <w:shd w:val="clear" w:color="auto" w:fill="F2F2F2" w:themeFill="background1" w:themeFillShade="F2"/>
            <w:vAlign w:val="bottom"/>
          </w:tcPr>
          <w:p w14:paraId="141CFC98" w14:textId="77777777" w:rsidR="0020337D" w:rsidRPr="00DC4844" w:rsidRDefault="0020337D" w:rsidP="0020337D">
            <w:pPr>
              <w:jc w:val="right"/>
              <w:rPr>
                <w:color w:val="000000"/>
                <w:sz w:val="12"/>
                <w:szCs w:val="12"/>
              </w:rPr>
            </w:pPr>
            <w:r w:rsidRPr="00DC4844">
              <w:rPr>
                <w:color w:val="000000"/>
                <w:sz w:val="12"/>
                <w:szCs w:val="12"/>
              </w:rPr>
              <w:t>3.5</w:t>
            </w:r>
          </w:p>
        </w:tc>
        <w:tc>
          <w:tcPr>
            <w:tcW w:w="759" w:type="dxa"/>
            <w:tcBorders>
              <w:top w:val="nil"/>
              <w:left w:val="nil"/>
              <w:bottom w:val="single" w:sz="4" w:space="0" w:color="auto"/>
              <w:right w:val="nil"/>
            </w:tcBorders>
            <w:shd w:val="clear" w:color="auto" w:fill="F2F2F2" w:themeFill="background1" w:themeFillShade="F2"/>
            <w:vAlign w:val="bottom"/>
          </w:tcPr>
          <w:p w14:paraId="3B548AB1" w14:textId="5881F9C8" w:rsidR="0020337D" w:rsidRPr="00DC4844" w:rsidRDefault="00E9015F" w:rsidP="0020337D">
            <w:pPr>
              <w:jc w:val="right"/>
              <w:rPr>
                <w:color w:val="000000"/>
                <w:sz w:val="12"/>
                <w:szCs w:val="12"/>
              </w:rPr>
            </w:pPr>
            <w:r>
              <w:rPr>
                <w:color w:val="000000"/>
                <w:sz w:val="12"/>
                <w:szCs w:val="12"/>
              </w:rPr>
              <w:t>4.0</w:t>
            </w:r>
          </w:p>
        </w:tc>
        <w:tc>
          <w:tcPr>
            <w:tcW w:w="851" w:type="dxa"/>
            <w:tcBorders>
              <w:top w:val="nil"/>
              <w:left w:val="nil"/>
              <w:bottom w:val="single" w:sz="4" w:space="0" w:color="auto"/>
              <w:right w:val="nil"/>
            </w:tcBorders>
            <w:shd w:val="clear" w:color="auto" w:fill="F2F2F2" w:themeFill="background1" w:themeFillShade="F2"/>
            <w:vAlign w:val="bottom"/>
          </w:tcPr>
          <w:p w14:paraId="570AA1EB" w14:textId="0F905B3E" w:rsidR="0020337D" w:rsidRPr="00DC4844" w:rsidRDefault="0020337D" w:rsidP="0020337D">
            <w:pPr>
              <w:jc w:val="right"/>
              <w:rPr>
                <w:color w:val="000000"/>
                <w:sz w:val="12"/>
                <w:szCs w:val="12"/>
              </w:rPr>
            </w:pPr>
            <w:r w:rsidRPr="00DC4844">
              <w:rPr>
                <w:color w:val="000000"/>
                <w:sz w:val="12"/>
                <w:szCs w:val="12"/>
              </w:rPr>
              <w:t>3.</w:t>
            </w:r>
            <w:r w:rsidR="00E9015F">
              <w:rPr>
                <w:color w:val="000000"/>
                <w:sz w:val="12"/>
                <w:szCs w:val="12"/>
              </w:rPr>
              <w:t>9</w:t>
            </w:r>
          </w:p>
        </w:tc>
        <w:tc>
          <w:tcPr>
            <w:tcW w:w="752" w:type="dxa"/>
            <w:tcBorders>
              <w:top w:val="nil"/>
              <w:left w:val="nil"/>
              <w:bottom w:val="single" w:sz="4" w:space="0" w:color="auto"/>
              <w:right w:val="nil"/>
            </w:tcBorders>
            <w:shd w:val="clear" w:color="auto" w:fill="F2F2F2" w:themeFill="background1" w:themeFillShade="F2"/>
            <w:vAlign w:val="bottom"/>
          </w:tcPr>
          <w:p w14:paraId="091132CF" w14:textId="667E0815" w:rsidR="0020337D" w:rsidRPr="00DC4844" w:rsidRDefault="0020337D" w:rsidP="0020337D">
            <w:pPr>
              <w:jc w:val="right"/>
              <w:rPr>
                <w:color w:val="000000"/>
                <w:sz w:val="12"/>
                <w:szCs w:val="12"/>
              </w:rPr>
            </w:pPr>
            <w:r w:rsidRPr="00DC4844">
              <w:rPr>
                <w:color w:val="000000"/>
                <w:sz w:val="12"/>
                <w:szCs w:val="12"/>
              </w:rPr>
              <w:t>3.</w:t>
            </w:r>
            <w:r w:rsidR="00E9015F">
              <w:rPr>
                <w:color w:val="000000"/>
                <w:sz w:val="12"/>
                <w:szCs w:val="12"/>
              </w:rPr>
              <w:t>8</w:t>
            </w:r>
          </w:p>
        </w:tc>
        <w:tc>
          <w:tcPr>
            <w:tcW w:w="752" w:type="dxa"/>
            <w:tcBorders>
              <w:top w:val="nil"/>
              <w:left w:val="nil"/>
              <w:bottom w:val="single" w:sz="4" w:space="0" w:color="auto"/>
              <w:right w:val="nil"/>
            </w:tcBorders>
            <w:shd w:val="clear" w:color="auto" w:fill="F2F2F2" w:themeFill="background1" w:themeFillShade="F2"/>
            <w:vAlign w:val="bottom"/>
          </w:tcPr>
          <w:p w14:paraId="2D4FF675" w14:textId="5178C0A8" w:rsidR="0020337D" w:rsidRPr="00DC4844" w:rsidRDefault="0020337D" w:rsidP="0020337D">
            <w:pPr>
              <w:jc w:val="right"/>
              <w:rPr>
                <w:color w:val="000000"/>
                <w:sz w:val="12"/>
                <w:szCs w:val="12"/>
              </w:rPr>
            </w:pPr>
            <w:r w:rsidRPr="00DC4844">
              <w:rPr>
                <w:color w:val="000000"/>
                <w:sz w:val="12"/>
                <w:szCs w:val="12"/>
              </w:rPr>
              <w:t>3.</w:t>
            </w:r>
            <w:r w:rsidR="00E9015F">
              <w:rPr>
                <w:color w:val="000000"/>
                <w:sz w:val="12"/>
                <w:szCs w:val="12"/>
              </w:rPr>
              <w:t>7</w:t>
            </w:r>
          </w:p>
        </w:tc>
        <w:tc>
          <w:tcPr>
            <w:tcW w:w="752" w:type="dxa"/>
            <w:tcBorders>
              <w:top w:val="nil"/>
              <w:left w:val="nil"/>
              <w:bottom w:val="single" w:sz="4" w:space="0" w:color="auto"/>
              <w:right w:val="nil"/>
            </w:tcBorders>
            <w:shd w:val="clear" w:color="auto" w:fill="F2F2F2" w:themeFill="background1" w:themeFillShade="F2"/>
            <w:vAlign w:val="bottom"/>
          </w:tcPr>
          <w:p w14:paraId="44B6BE3E" w14:textId="3657BE08" w:rsidR="0020337D" w:rsidRPr="00DC4844" w:rsidRDefault="0020337D" w:rsidP="0020337D">
            <w:pPr>
              <w:jc w:val="right"/>
              <w:rPr>
                <w:color w:val="000000"/>
                <w:sz w:val="12"/>
                <w:szCs w:val="12"/>
              </w:rPr>
            </w:pPr>
            <w:r w:rsidRPr="00DC4844">
              <w:rPr>
                <w:color w:val="000000"/>
                <w:sz w:val="12"/>
                <w:szCs w:val="12"/>
              </w:rPr>
              <w:t>3.5</w:t>
            </w:r>
          </w:p>
        </w:tc>
        <w:tc>
          <w:tcPr>
            <w:tcW w:w="752" w:type="dxa"/>
            <w:gridSpan w:val="2"/>
            <w:tcBorders>
              <w:top w:val="nil"/>
              <w:left w:val="nil"/>
              <w:bottom w:val="single" w:sz="4" w:space="0" w:color="auto"/>
              <w:right w:val="nil"/>
            </w:tcBorders>
            <w:shd w:val="clear" w:color="auto" w:fill="F2F2F2" w:themeFill="background1" w:themeFillShade="F2"/>
            <w:noWrap/>
            <w:vAlign w:val="bottom"/>
          </w:tcPr>
          <w:p w14:paraId="371316E1" w14:textId="72EAC0F1" w:rsidR="0020337D" w:rsidRPr="00DC4844" w:rsidRDefault="00E9015F" w:rsidP="0020337D">
            <w:pPr>
              <w:jc w:val="right"/>
              <w:rPr>
                <w:color w:val="000000"/>
                <w:sz w:val="12"/>
                <w:szCs w:val="12"/>
              </w:rPr>
            </w:pPr>
            <w:r>
              <w:rPr>
                <w:color w:val="000000"/>
                <w:sz w:val="12"/>
                <w:szCs w:val="12"/>
              </w:rPr>
              <w:t>3</w:t>
            </w:r>
            <w:r w:rsidR="0020337D" w:rsidRPr="00DC4844">
              <w:rPr>
                <w:color w:val="000000"/>
                <w:sz w:val="12"/>
                <w:szCs w:val="12"/>
              </w:rPr>
              <w:t>.</w:t>
            </w:r>
            <w:r>
              <w:rPr>
                <w:color w:val="000000"/>
                <w:sz w:val="12"/>
                <w:szCs w:val="12"/>
              </w:rPr>
              <w:t>5</w:t>
            </w:r>
          </w:p>
        </w:tc>
      </w:tr>
      <w:tr w:rsidR="00E9015F" w:rsidRPr="00DC4844" w14:paraId="3167C132" w14:textId="77777777" w:rsidTr="00E9015F">
        <w:trPr>
          <w:trHeight w:val="263"/>
          <w:jc w:val="center"/>
        </w:trPr>
        <w:tc>
          <w:tcPr>
            <w:tcW w:w="8537" w:type="dxa"/>
            <w:gridSpan w:val="10"/>
            <w:tcBorders>
              <w:top w:val="single" w:sz="4" w:space="0" w:color="auto"/>
              <w:left w:val="nil"/>
              <w:right w:val="nil"/>
            </w:tcBorders>
            <w:noWrap/>
            <w:vAlign w:val="bottom"/>
            <w:hideMark/>
          </w:tcPr>
          <w:p w14:paraId="166EBD7A" w14:textId="33993723" w:rsidR="00E9015F" w:rsidRPr="00DC4844" w:rsidRDefault="00E9015F" w:rsidP="0020337D">
            <w:pPr>
              <w:rPr>
                <w:sz w:val="12"/>
                <w:szCs w:val="12"/>
              </w:rPr>
            </w:pPr>
            <w:r w:rsidRPr="00DC4844">
              <w:rPr>
                <w:color w:val="000000"/>
                <w:sz w:val="12"/>
                <w:szCs w:val="12"/>
              </w:rPr>
              <w:t xml:space="preserve">*/ </w:t>
            </w:r>
            <w:r>
              <w:rPr>
                <w:color w:val="000000"/>
                <w:sz w:val="12"/>
                <w:szCs w:val="12"/>
              </w:rPr>
              <w:t>Datos observados.</w:t>
            </w:r>
          </w:p>
        </w:tc>
      </w:tr>
      <w:tr w:rsidR="00E9015F" w:rsidRPr="00DC4844" w14:paraId="03EC29D2" w14:textId="77777777" w:rsidTr="00E9015F">
        <w:trPr>
          <w:trHeight w:val="149"/>
          <w:jc w:val="center"/>
        </w:trPr>
        <w:tc>
          <w:tcPr>
            <w:tcW w:w="8537" w:type="dxa"/>
            <w:gridSpan w:val="10"/>
            <w:tcBorders>
              <w:left w:val="nil"/>
              <w:bottom w:val="nil"/>
            </w:tcBorders>
            <w:noWrap/>
            <w:vAlign w:val="bottom"/>
          </w:tcPr>
          <w:p w14:paraId="4346886A" w14:textId="323BE225" w:rsidR="00E9015F" w:rsidRPr="00DC4844" w:rsidRDefault="00E9015F" w:rsidP="00E9015F">
            <w:pPr>
              <w:rPr>
                <w:sz w:val="12"/>
                <w:szCs w:val="12"/>
              </w:rPr>
            </w:pPr>
            <w:r>
              <w:rPr>
                <w:color w:val="000000"/>
                <w:sz w:val="12"/>
                <w:szCs w:val="12"/>
              </w:rPr>
              <w:t>*</w:t>
            </w:r>
            <w:r w:rsidRPr="00DC4844">
              <w:rPr>
                <w:color w:val="000000"/>
                <w:sz w:val="12"/>
                <w:szCs w:val="12"/>
              </w:rPr>
              <w:t>*/ Incluye Pemex, condesados, socios y privados.</w:t>
            </w:r>
          </w:p>
        </w:tc>
      </w:tr>
      <w:tr w:rsidR="00E9015F" w:rsidRPr="00DC4844" w14:paraId="35626368" w14:textId="77777777" w:rsidTr="00E9015F">
        <w:trPr>
          <w:trHeight w:val="138"/>
          <w:jc w:val="center"/>
        </w:trPr>
        <w:tc>
          <w:tcPr>
            <w:tcW w:w="8537" w:type="dxa"/>
            <w:gridSpan w:val="10"/>
            <w:tcBorders>
              <w:top w:val="nil"/>
              <w:left w:val="nil"/>
              <w:bottom w:val="nil"/>
              <w:right w:val="nil"/>
            </w:tcBorders>
            <w:noWrap/>
            <w:vAlign w:val="bottom"/>
            <w:hideMark/>
          </w:tcPr>
          <w:p w14:paraId="18DEC619" w14:textId="52DFE46F" w:rsidR="00E9015F" w:rsidRPr="00DC4844" w:rsidRDefault="00E9015F" w:rsidP="00E9015F">
            <w:pPr>
              <w:rPr>
                <w:sz w:val="12"/>
                <w:szCs w:val="12"/>
              </w:rPr>
            </w:pPr>
            <w:r w:rsidRPr="00DC4844">
              <w:rPr>
                <w:color w:val="000000"/>
                <w:sz w:val="12"/>
                <w:szCs w:val="12"/>
              </w:rPr>
              <w:t xml:space="preserve">Fuente: SHCP. </w:t>
            </w:r>
          </w:p>
        </w:tc>
      </w:tr>
    </w:tbl>
    <w:p w14:paraId="7C98768C" w14:textId="63616EB6" w:rsidR="00696753" w:rsidRPr="007D1162" w:rsidRDefault="00696753" w:rsidP="00696753">
      <w:pPr>
        <w:pStyle w:val="PRIMERAPLANA"/>
        <w:numPr>
          <w:ilvl w:val="0"/>
          <w:numId w:val="8"/>
        </w:numPr>
        <w:spacing w:line="360" w:lineRule="auto"/>
        <w:ind w:left="567" w:hanging="567"/>
        <w:rPr>
          <w:rFonts w:ascii="Times New Roman" w:hAnsi="Times New Roman"/>
          <w:b/>
          <w:bCs/>
        </w:rPr>
      </w:pPr>
      <w:r w:rsidRPr="007D1162">
        <w:rPr>
          <w:rFonts w:ascii="Times New Roman" w:hAnsi="Times New Roman"/>
          <w:b/>
          <w:bCs/>
        </w:rPr>
        <w:t>ECONOMÍA LOCAL</w:t>
      </w:r>
    </w:p>
    <w:p w14:paraId="79493F0B" w14:textId="77777777" w:rsidR="004641BE" w:rsidRDefault="004641BE" w:rsidP="006011E9">
      <w:pPr>
        <w:pStyle w:val="PRIMERAPLANA"/>
        <w:spacing w:line="360" w:lineRule="auto"/>
        <w:rPr>
          <w:rFonts w:ascii="Times New Roman" w:hAnsi="Times New Roman"/>
          <w:bCs/>
        </w:rPr>
      </w:pPr>
    </w:p>
    <w:p w14:paraId="48212591" w14:textId="2916EE00" w:rsidR="00BF1B50" w:rsidRPr="00BF1B50" w:rsidRDefault="005F4A89" w:rsidP="00BF1B50">
      <w:pPr>
        <w:pStyle w:val="PRIMERAPLANA"/>
        <w:spacing w:line="360" w:lineRule="auto"/>
        <w:rPr>
          <w:rFonts w:ascii="Times New Roman" w:hAnsi="Times New Roman"/>
          <w:bCs/>
        </w:rPr>
      </w:pPr>
      <w:r w:rsidRPr="007D1162">
        <w:rPr>
          <w:rFonts w:ascii="Times New Roman" w:hAnsi="Times New Roman"/>
          <w:bCs/>
        </w:rPr>
        <w:t>Tlaxcala tiene una localización geográfica estratégica al encontrarse en la región centro del país, integrada por los Estados de Guanajuato, Hidalgo, Morelos, Puebla, Querétaro, Ciudad de México y Estado de México; colindando con Hidalgo, Puebla y el Estado de México</w:t>
      </w:r>
      <w:r>
        <w:rPr>
          <w:rFonts w:ascii="Times New Roman" w:hAnsi="Times New Roman"/>
          <w:bCs/>
        </w:rPr>
        <w:t xml:space="preserve">. </w:t>
      </w:r>
      <w:r w:rsidR="00EA5FCA" w:rsidRPr="007D1162">
        <w:rPr>
          <w:rFonts w:ascii="Times New Roman" w:hAnsi="Times New Roman"/>
          <w:bCs/>
        </w:rPr>
        <w:t>En 2020, la población en Tlaxcala fue de 1,342,977 habitantes (48.4% hombres y 51.6% mujeres). En comparación a 2010, la población en Tlaxcala creció un 14.8</w:t>
      </w:r>
      <w:r w:rsidR="008E5ACF">
        <w:rPr>
          <w:rFonts w:ascii="Times New Roman" w:hAnsi="Times New Roman"/>
          <w:bCs/>
        </w:rPr>
        <w:t xml:space="preserve"> %.</w:t>
      </w:r>
    </w:p>
    <w:p w14:paraId="7D72F4E8" w14:textId="77777777" w:rsidR="008C0F7F" w:rsidRDefault="008C0F7F" w:rsidP="00BF1B50">
      <w:pPr>
        <w:pStyle w:val="PRIMERAPLANA"/>
        <w:spacing w:line="360" w:lineRule="auto"/>
        <w:rPr>
          <w:rFonts w:ascii="Times New Roman" w:hAnsi="Times New Roman"/>
          <w:bCs/>
        </w:rPr>
      </w:pPr>
    </w:p>
    <w:p w14:paraId="25D2654B" w14:textId="77777777" w:rsidR="00FA18A9" w:rsidRDefault="00E9015F" w:rsidP="00BF1B50">
      <w:pPr>
        <w:pStyle w:val="PRIMERAPLANA"/>
        <w:spacing w:line="360" w:lineRule="auto"/>
        <w:rPr>
          <w:rFonts w:ascii="Times New Roman" w:hAnsi="Times New Roman"/>
          <w:bCs/>
        </w:rPr>
      </w:pPr>
      <w:r w:rsidRPr="00BF1B50">
        <w:rPr>
          <w:rFonts w:ascii="Times New Roman" w:hAnsi="Times New Roman"/>
          <w:bCs/>
        </w:rPr>
        <w:lastRenderedPageBreak/>
        <w:t xml:space="preserve">La </w:t>
      </w:r>
      <w:r>
        <w:rPr>
          <w:rFonts w:ascii="Times New Roman" w:hAnsi="Times New Roman"/>
          <w:bCs/>
        </w:rPr>
        <w:t xml:space="preserve">actividad </w:t>
      </w:r>
      <w:r w:rsidRPr="00BF1B50">
        <w:rPr>
          <w:rFonts w:ascii="Times New Roman" w:hAnsi="Times New Roman"/>
          <w:bCs/>
        </w:rPr>
        <w:t>econ</w:t>
      </w:r>
      <w:r>
        <w:rPr>
          <w:rFonts w:ascii="Times New Roman" w:hAnsi="Times New Roman"/>
          <w:bCs/>
        </w:rPr>
        <w:t>ó</w:t>
      </w:r>
      <w:r w:rsidRPr="00BF1B50">
        <w:rPr>
          <w:rFonts w:ascii="Times New Roman" w:hAnsi="Times New Roman"/>
          <w:bCs/>
        </w:rPr>
        <w:t>m</w:t>
      </w:r>
      <w:r>
        <w:rPr>
          <w:rFonts w:ascii="Times New Roman" w:hAnsi="Times New Roman"/>
          <w:bCs/>
        </w:rPr>
        <w:t>ica</w:t>
      </w:r>
      <w:r w:rsidRPr="00BF1B50">
        <w:rPr>
          <w:rFonts w:ascii="Times New Roman" w:hAnsi="Times New Roman"/>
          <w:bCs/>
        </w:rPr>
        <w:t xml:space="preserve"> del </w:t>
      </w:r>
      <w:r>
        <w:rPr>
          <w:rFonts w:ascii="Times New Roman" w:hAnsi="Times New Roman"/>
          <w:bCs/>
        </w:rPr>
        <w:t>E</w:t>
      </w:r>
      <w:r w:rsidRPr="00BF1B50">
        <w:rPr>
          <w:rFonts w:ascii="Times New Roman" w:hAnsi="Times New Roman"/>
          <w:bCs/>
        </w:rPr>
        <w:t xml:space="preserve">stado de Tlaxcala </w:t>
      </w:r>
      <w:r>
        <w:rPr>
          <w:rFonts w:ascii="Times New Roman" w:hAnsi="Times New Roman"/>
          <w:bCs/>
        </w:rPr>
        <w:t>ha</w:t>
      </w:r>
      <w:r w:rsidRPr="00BF1B50">
        <w:rPr>
          <w:rFonts w:ascii="Times New Roman" w:hAnsi="Times New Roman"/>
          <w:bCs/>
        </w:rPr>
        <w:t xml:space="preserve"> </w:t>
      </w:r>
      <w:r>
        <w:rPr>
          <w:rFonts w:ascii="Times New Roman" w:hAnsi="Times New Roman"/>
          <w:bCs/>
        </w:rPr>
        <w:t xml:space="preserve">dado </w:t>
      </w:r>
      <w:r w:rsidRPr="00BF1B50">
        <w:rPr>
          <w:rFonts w:ascii="Times New Roman" w:hAnsi="Times New Roman"/>
          <w:bCs/>
        </w:rPr>
        <w:t>signos claros de fortalecimiento, impulsada</w:t>
      </w:r>
      <w:r>
        <w:rPr>
          <w:rFonts w:ascii="Times New Roman" w:hAnsi="Times New Roman"/>
          <w:bCs/>
        </w:rPr>
        <w:t xml:space="preserve"> principalmente </w:t>
      </w:r>
      <w:r w:rsidRPr="00BF1B50">
        <w:rPr>
          <w:rFonts w:ascii="Times New Roman" w:hAnsi="Times New Roman"/>
          <w:bCs/>
        </w:rPr>
        <w:t xml:space="preserve">por políticas públicas enfocadas </w:t>
      </w:r>
      <w:r>
        <w:rPr>
          <w:rFonts w:ascii="Times New Roman" w:hAnsi="Times New Roman"/>
          <w:bCs/>
        </w:rPr>
        <w:t>hacia el</w:t>
      </w:r>
      <w:r w:rsidRPr="00BF1B50">
        <w:rPr>
          <w:rFonts w:ascii="Times New Roman" w:hAnsi="Times New Roman"/>
          <w:bCs/>
        </w:rPr>
        <w:t xml:space="preserve"> desarrollo económico, el emprend</w:t>
      </w:r>
      <w:r w:rsidR="0069230A">
        <w:rPr>
          <w:rFonts w:ascii="Times New Roman" w:hAnsi="Times New Roman"/>
          <w:bCs/>
        </w:rPr>
        <w:t>i</w:t>
      </w:r>
      <w:r>
        <w:rPr>
          <w:rFonts w:ascii="Times New Roman" w:hAnsi="Times New Roman"/>
          <w:bCs/>
        </w:rPr>
        <w:t>m</w:t>
      </w:r>
      <w:r w:rsidR="0069230A">
        <w:rPr>
          <w:rFonts w:ascii="Times New Roman" w:hAnsi="Times New Roman"/>
          <w:bCs/>
        </w:rPr>
        <w:t>ient</w:t>
      </w:r>
      <w:r>
        <w:rPr>
          <w:rFonts w:ascii="Times New Roman" w:hAnsi="Times New Roman"/>
          <w:bCs/>
        </w:rPr>
        <w:t>o</w:t>
      </w:r>
      <w:r w:rsidRPr="00BF1B50">
        <w:rPr>
          <w:rFonts w:ascii="Times New Roman" w:hAnsi="Times New Roman"/>
          <w:bCs/>
        </w:rPr>
        <w:t xml:space="preserve"> y </w:t>
      </w:r>
      <w:r>
        <w:rPr>
          <w:rFonts w:ascii="Times New Roman" w:hAnsi="Times New Roman"/>
          <w:bCs/>
        </w:rPr>
        <w:t xml:space="preserve">la promoción de </w:t>
      </w:r>
      <w:r w:rsidRPr="00BF1B50">
        <w:rPr>
          <w:rFonts w:ascii="Times New Roman" w:hAnsi="Times New Roman"/>
          <w:bCs/>
        </w:rPr>
        <w:t>la inversión</w:t>
      </w:r>
      <w:r>
        <w:rPr>
          <w:rFonts w:ascii="Times New Roman" w:hAnsi="Times New Roman"/>
          <w:bCs/>
        </w:rPr>
        <w:t xml:space="preserve">. </w:t>
      </w:r>
      <w:r w:rsidR="008C0F7F">
        <w:rPr>
          <w:rFonts w:ascii="Times New Roman" w:hAnsi="Times New Roman"/>
          <w:bCs/>
        </w:rPr>
        <w:t xml:space="preserve">El Instituto Nacional de Estadística y Geografía (INEGI), dio a conocer mediante los resultados del </w:t>
      </w:r>
      <w:r w:rsidR="00BF1B50" w:rsidRPr="00BF1B50">
        <w:rPr>
          <w:rFonts w:ascii="Times New Roman" w:hAnsi="Times New Roman"/>
          <w:bCs/>
        </w:rPr>
        <w:t>Censo Económico 2024</w:t>
      </w:r>
      <w:r w:rsidR="008C0F7F">
        <w:rPr>
          <w:rFonts w:ascii="Times New Roman" w:hAnsi="Times New Roman"/>
          <w:bCs/>
        </w:rPr>
        <w:t xml:space="preserve">, que en el Estado </w:t>
      </w:r>
      <w:r w:rsidR="00BF1B50" w:rsidRPr="00BF1B50">
        <w:rPr>
          <w:rFonts w:ascii="Times New Roman" w:hAnsi="Times New Roman"/>
          <w:bCs/>
        </w:rPr>
        <w:t>operaron</w:t>
      </w:r>
      <w:r w:rsidR="008C0F7F">
        <w:rPr>
          <w:rFonts w:ascii="Times New Roman" w:hAnsi="Times New Roman"/>
          <w:bCs/>
        </w:rPr>
        <w:t xml:space="preserve"> </w:t>
      </w:r>
      <w:r w:rsidR="00BF1B50" w:rsidRPr="00BF1B50">
        <w:rPr>
          <w:rFonts w:ascii="Times New Roman" w:hAnsi="Times New Roman"/>
          <w:bCs/>
        </w:rPr>
        <w:t>107 mil 210 establecimientos</w:t>
      </w:r>
      <w:r w:rsidR="008C0F7F">
        <w:rPr>
          <w:rFonts w:ascii="Times New Roman" w:hAnsi="Times New Roman"/>
          <w:bCs/>
        </w:rPr>
        <w:t xml:space="preserve"> en diversos rubros</w:t>
      </w:r>
      <w:r w:rsidR="00BF1B50" w:rsidRPr="00BF1B50">
        <w:rPr>
          <w:rFonts w:ascii="Times New Roman" w:hAnsi="Times New Roman"/>
          <w:bCs/>
        </w:rPr>
        <w:t>, generando empleo</w:t>
      </w:r>
      <w:r w:rsidR="008C0F7F">
        <w:rPr>
          <w:rFonts w:ascii="Times New Roman" w:hAnsi="Times New Roman"/>
          <w:bCs/>
        </w:rPr>
        <w:t>s</w:t>
      </w:r>
      <w:r w:rsidR="00BF1B50" w:rsidRPr="00BF1B50">
        <w:rPr>
          <w:rFonts w:ascii="Times New Roman" w:hAnsi="Times New Roman"/>
          <w:bCs/>
        </w:rPr>
        <w:t xml:space="preserve"> para</w:t>
      </w:r>
      <w:r w:rsidR="008C0F7F">
        <w:rPr>
          <w:rFonts w:ascii="Times New Roman" w:hAnsi="Times New Roman"/>
          <w:bCs/>
        </w:rPr>
        <w:t xml:space="preserve"> cerca de trescientas ochenta mil</w:t>
      </w:r>
      <w:r w:rsidR="00BF1B50" w:rsidRPr="00BF1B50">
        <w:rPr>
          <w:rFonts w:ascii="Times New Roman" w:hAnsi="Times New Roman"/>
          <w:bCs/>
        </w:rPr>
        <w:t xml:space="preserve"> personas.</w:t>
      </w:r>
    </w:p>
    <w:p w14:paraId="65B2600B" w14:textId="77777777" w:rsidR="00FA18A9" w:rsidRDefault="00FA18A9" w:rsidP="00BF1B50">
      <w:pPr>
        <w:pStyle w:val="PRIMERAPLANA"/>
        <w:spacing w:line="360" w:lineRule="auto"/>
        <w:rPr>
          <w:rFonts w:ascii="Times New Roman" w:hAnsi="Times New Roman"/>
          <w:bCs/>
        </w:rPr>
      </w:pPr>
    </w:p>
    <w:p w14:paraId="3AAB1639" w14:textId="09106EA6" w:rsidR="00BF1B50" w:rsidRDefault="00BF1B50" w:rsidP="00BF1B50">
      <w:pPr>
        <w:pStyle w:val="PRIMERAPLANA"/>
        <w:spacing w:line="360" w:lineRule="auto"/>
        <w:rPr>
          <w:rFonts w:ascii="Times New Roman" w:hAnsi="Times New Roman"/>
          <w:bCs/>
        </w:rPr>
      </w:pPr>
      <w:r w:rsidRPr="00BF1B50">
        <w:rPr>
          <w:rFonts w:ascii="Times New Roman" w:hAnsi="Times New Roman"/>
          <w:bCs/>
        </w:rPr>
        <w:t>E</w:t>
      </w:r>
      <w:r w:rsidR="008C0F7F">
        <w:rPr>
          <w:rFonts w:ascii="Times New Roman" w:hAnsi="Times New Roman"/>
          <w:bCs/>
        </w:rPr>
        <w:t xml:space="preserve">s de resaltar que </w:t>
      </w:r>
      <w:r w:rsidRPr="00BF1B50">
        <w:rPr>
          <w:rFonts w:ascii="Times New Roman" w:hAnsi="Times New Roman"/>
          <w:bCs/>
        </w:rPr>
        <w:t xml:space="preserve">más </w:t>
      </w:r>
      <w:r w:rsidR="000C3BA3">
        <w:rPr>
          <w:rFonts w:ascii="Times New Roman" w:hAnsi="Times New Roman"/>
          <w:bCs/>
        </w:rPr>
        <w:t xml:space="preserve">de </w:t>
      </w:r>
      <w:r w:rsidR="008C0F7F">
        <w:rPr>
          <w:rFonts w:ascii="Times New Roman" w:hAnsi="Times New Roman"/>
          <w:bCs/>
        </w:rPr>
        <w:t xml:space="preserve">un aproximado de </w:t>
      </w:r>
      <w:r w:rsidR="003271E4">
        <w:rPr>
          <w:rFonts w:ascii="Times New Roman" w:hAnsi="Times New Roman"/>
          <w:bCs/>
        </w:rPr>
        <w:t xml:space="preserve">siete mil negociaciones </w:t>
      </w:r>
      <w:r w:rsidRPr="00BF1B50">
        <w:rPr>
          <w:rFonts w:ascii="Times New Roman" w:hAnsi="Times New Roman"/>
          <w:bCs/>
        </w:rPr>
        <w:t>de reciente creación</w:t>
      </w:r>
      <w:r w:rsidR="003271E4">
        <w:rPr>
          <w:rFonts w:ascii="Times New Roman" w:hAnsi="Times New Roman"/>
          <w:bCs/>
        </w:rPr>
        <w:t>, observaron</w:t>
      </w:r>
      <w:r w:rsidRPr="00BF1B50">
        <w:rPr>
          <w:rFonts w:ascii="Times New Roman" w:hAnsi="Times New Roman"/>
          <w:bCs/>
        </w:rPr>
        <w:t xml:space="preserve"> una recuperación </w:t>
      </w:r>
      <w:r w:rsidR="003271E4">
        <w:rPr>
          <w:rFonts w:ascii="Times New Roman" w:hAnsi="Times New Roman"/>
          <w:bCs/>
        </w:rPr>
        <w:t xml:space="preserve">en sus actividades </w:t>
      </w:r>
      <w:r w:rsidRPr="00BF1B50">
        <w:rPr>
          <w:rFonts w:ascii="Times New Roman" w:hAnsi="Times New Roman"/>
          <w:bCs/>
        </w:rPr>
        <w:t>econ</w:t>
      </w:r>
      <w:r w:rsidR="003271E4">
        <w:rPr>
          <w:rFonts w:ascii="Times New Roman" w:hAnsi="Times New Roman"/>
          <w:bCs/>
        </w:rPr>
        <w:t>ó</w:t>
      </w:r>
      <w:r w:rsidRPr="00BF1B50">
        <w:rPr>
          <w:rFonts w:ascii="Times New Roman" w:hAnsi="Times New Roman"/>
          <w:bCs/>
        </w:rPr>
        <w:t>mica</w:t>
      </w:r>
      <w:r w:rsidR="003271E4">
        <w:rPr>
          <w:rFonts w:ascii="Times New Roman" w:hAnsi="Times New Roman"/>
          <w:bCs/>
        </w:rPr>
        <w:t>s</w:t>
      </w:r>
      <w:r w:rsidRPr="00BF1B50">
        <w:rPr>
          <w:rFonts w:ascii="Times New Roman" w:hAnsi="Times New Roman"/>
          <w:bCs/>
        </w:rPr>
        <w:t>.</w:t>
      </w:r>
      <w:r w:rsidR="003271E4">
        <w:rPr>
          <w:rFonts w:ascii="Times New Roman" w:hAnsi="Times New Roman"/>
          <w:bCs/>
        </w:rPr>
        <w:t xml:space="preserve"> Más del </w:t>
      </w:r>
      <w:r w:rsidR="00F65CDD">
        <w:rPr>
          <w:rFonts w:ascii="Times New Roman" w:hAnsi="Times New Roman"/>
          <w:bCs/>
        </w:rPr>
        <w:t>90%</w:t>
      </w:r>
      <w:r w:rsidR="003271E4">
        <w:rPr>
          <w:rFonts w:ascii="Times New Roman" w:hAnsi="Times New Roman"/>
          <w:bCs/>
        </w:rPr>
        <w:t xml:space="preserve"> de las unidades económicas en la Entidad son microempresas, mismas que </w:t>
      </w:r>
      <w:r w:rsidR="003271E4" w:rsidRPr="00BF1B50">
        <w:rPr>
          <w:rFonts w:ascii="Times New Roman" w:hAnsi="Times New Roman"/>
          <w:bCs/>
        </w:rPr>
        <w:t>generan el</w:t>
      </w:r>
      <w:r w:rsidR="003271E4">
        <w:rPr>
          <w:rFonts w:ascii="Times New Roman" w:hAnsi="Times New Roman"/>
          <w:bCs/>
        </w:rPr>
        <w:t xml:space="preserve"> sesenta y cuatro por ciento </w:t>
      </w:r>
      <w:r w:rsidR="003271E4" w:rsidRPr="00BF1B50">
        <w:rPr>
          <w:rFonts w:ascii="Times New Roman" w:hAnsi="Times New Roman"/>
          <w:bCs/>
        </w:rPr>
        <w:t>de</w:t>
      </w:r>
      <w:r w:rsidR="003271E4">
        <w:rPr>
          <w:rFonts w:ascii="Times New Roman" w:hAnsi="Times New Roman"/>
          <w:bCs/>
        </w:rPr>
        <w:t xml:space="preserve"> </w:t>
      </w:r>
      <w:r w:rsidR="003271E4" w:rsidRPr="00BF1B50">
        <w:rPr>
          <w:rFonts w:ascii="Times New Roman" w:hAnsi="Times New Roman"/>
          <w:bCs/>
        </w:rPr>
        <w:t>l</w:t>
      </w:r>
      <w:r w:rsidR="003271E4">
        <w:rPr>
          <w:rFonts w:ascii="Times New Roman" w:hAnsi="Times New Roman"/>
          <w:bCs/>
        </w:rPr>
        <w:t>os</w:t>
      </w:r>
      <w:r w:rsidR="003271E4" w:rsidRPr="00BF1B50">
        <w:rPr>
          <w:rFonts w:ascii="Times New Roman" w:hAnsi="Times New Roman"/>
          <w:bCs/>
        </w:rPr>
        <w:t xml:space="preserve"> empleo</w:t>
      </w:r>
      <w:r w:rsidR="003271E4">
        <w:rPr>
          <w:rFonts w:ascii="Times New Roman" w:hAnsi="Times New Roman"/>
          <w:bCs/>
        </w:rPr>
        <w:t>s</w:t>
      </w:r>
      <w:r w:rsidR="003271E4" w:rsidRPr="00BF1B50">
        <w:rPr>
          <w:rFonts w:ascii="Times New Roman" w:hAnsi="Times New Roman"/>
          <w:bCs/>
        </w:rPr>
        <w:t xml:space="preserve"> </w:t>
      </w:r>
      <w:r w:rsidR="003271E4">
        <w:rPr>
          <w:rFonts w:ascii="Times New Roman" w:hAnsi="Times New Roman"/>
          <w:bCs/>
        </w:rPr>
        <w:t xml:space="preserve">creados </w:t>
      </w:r>
      <w:r w:rsidR="003271E4" w:rsidRPr="00BF1B50">
        <w:rPr>
          <w:rFonts w:ascii="Times New Roman" w:hAnsi="Times New Roman"/>
          <w:bCs/>
        </w:rPr>
        <w:t>en el sector privado</w:t>
      </w:r>
      <w:r w:rsidR="003271E4">
        <w:rPr>
          <w:rFonts w:ascii="Times New Roman" w:hAnsi="Times New Roman"/>
          <w:bCs/>
        </w:rPr>
        <w:t xml:space="preserve">, demostrando avances significativos en la </w:t>
      </w:r>
      <w:r w:rsidR="003271E4" w:rsidRPr="00BF1B50">
        <w:rPr>
          <w:rFonts w:ascii="Times New Roman" w:hAnsi="Times New Roman"/>
          <w:bCs/>
        </w:rPr>
        <w:t>mejora regulatoria</w:t>
      </w:r>
      <w:r w:rsidR="003271E4">
        <w:rPr>
          <w:rFonts w:ascii="Times New Roman" w:hAnsi="Times New Roman"/>
          <w:bCs/>
        </w:rPr>
        <w:t xml:space="preserve"> para apoyar </w:t>
      </w:r>
      <w:r w:rsidR="003271E4" w:rsidRPr="00BF1B50">
        <w:rPr>
          <w:rFonts w:ascii="Times New Roman" w:hAnsi="Times New Roman"/>
          <w:bCs/>
        </w:rPr>
        <w:t>a</w:t>
      </w:r>
      <w:r w:rsidR="003271E4">
        <w:rPr>
          <w:rFonts w:ascii="Times New Roman" w:hAnsi="Times New Roman"/>
          <w:bCs/>
        </w:rPr>
        <w:t xml:space="preserve">l </w:t>
      </w:r>
      <w:r w:rsidR="003271E4" w:rsidRPr="00BF1B50">
        <w:rPr>
          <w:rFonts w:ascii="Times New Roman" w:hAnsi="Times New Roman"/>
          <w:bCs/>
        </w:rPr>
        <w:t>emprend</w:t>
      </w:r>
      <w:r w:rsidR="0069230A">
        <w:rPr>
          <w:rFonts w:ascii="Times New Roman" w:hAnsi="Times New Roman"/>
          <w:bCs/>
        </w:rPr>
        <w:t xml:space="preserve">imiento </w:t>
      </w:r>
      <w:r w:rsidR="003271E4">
        <w:rPr>
          <w:rFonts w:ascii="Times New Roman" w:hAnsi="Times New Roman"/>
          <w:bCs/>
        </w:rPr>
        <w:t>que redunda de forma directa en</w:t>
      </w:r>
      <w:r w:rsidR="003271E4" w:rsidRPr="00BF1B50">
        <w:rPr>
          <w:rFonts w:ascii="Times New Roman" w:hAnsi="Times New Roman"/>
          <w:bCs/>
        </w:rPr>
        <w:t xml:space="preserve"> el bienestar de </w:t>
      </w:r>
      <w:r w:rsidR="003271E4">
        <w:rPr>
          <w:rFonts w:ascii="Times New Roman" w:hAnsi="Times New Roman"/>
          <w:bCs/>
        </w:rPr>
        <w:t xml:space="preserve">las </w:t>
      </w:r>
      <w:r w:rsidR="003271E4" w:rsidRPr="00BF1B50">
        <w:rPr>
          <w:rFonts w:ascii="Times New Roman" w:hAnsi="Times New Roman"/>
          <w:bCs/>
        </w:rPr>
        <w:t>familias</w:t>
      </w:r>
      <w:r w:rsidR="003271E4">
        <w:rPr>
          <w:rFonts w:ascii="Times New Roman" w:hAnsi="Times New Roman"/>
          <w:bCs/>
        </w:rPr>
        <w:t xml:space="preserve"> tlaxcaltecas</w:t>
      </w:r>
      <w:r w:rsidR="003271E4" w:rsidRPr="00BF1B50">
        <w:rPr>
          <w:rFonts w:ascii="Times New Roman" w:hAnsi="Times New Roman"/>
          <w:bCs/>
        </w:rPr>
        <w:t>.</w:t>
      </w:r>
    </w:p>
    <w:p w14:paraId="11C81F66" w14:textId="77777777" w:rsidR="005F4A89" w:rsidRDefault="005F4A89" w:rsidP="00BF1B50">
      <w:pPr>
        <w:pStyle w:val="PRIMERAPLANA"/>
        <w:spacing w:line="360" w:lineRule="auto"/>
        <w:rPr>
          <w:rFonts w:ascii="Times New Roman" w:hAnsi="Times New Roman"/>
          <w:bCs/>
        </w:rPr>
      </w:pPr>
    </w:p>
    <w:p w14:paraId="4493255B" w14:textId="22E34707" w:rsidR="003271E4" w:rsidRDefault="003271E4" w:rsidP="00BF1B50">
      <w:pPr>
        <w:pStyle w:val="PRIMERAPLANA"/>
        <w:spacing w:line="360" w:lineRule="auto"/>
        <w:rPr>
          <w:rFonts w:ascii="Times New Roman" w:hAnsi="Times New Roman"/>
          <w:bCs/>
        </w:rPr>
      </w:pPr>
      <w:r>
        <w:rPr>
          <w:rFonts w:ascii="Times New Roman" w:hAnsi="Times New Roman"/>
          <w:bCs/>
        </w:rPr>
        <w:t>E</w:t>
      </w:r>
      <w:r w:rsidRPr="00BF1B50">
        <w:rPr>
          <w:rFonts w:ascii="Times New Roman" w:hAnsi="Times New Roman"/>
          <w:bCs/>
        </w:rPr>
        <w:t>l Sistema de Apertura Rápida de Empresas (SARE)</w:t>
      </w:r>
      <w:r>
        <w:rPr>
          <w:rFonts w:ascii="Times New Roman" w:hAnsi="Times New Roman"/>
          <w:bCs/>
        </w:rPr>
        <w:t>,</w:t>
      </w:r>
      <w:r w:rsidRPr="003271E4">
        <w:rPr>
          <w:rFonts w:ascii="Times New Roman" w:hAnsi="Times New Roman"/>
          <w:bCs/>
        </w:rPr>
        <w:t xml:space="preserve"> </w:t>
      </w:r>
      <w:r w:rsidR="00D3764E">
        <w:rPr>
          <w:rFonts w:ascii="Times New Roman" w:hAnsi="Times New Roman"/>
          <w:bCs/>
        </w:rPr>
        <w:t>promovido</w:t>
      </w:r>
      <w:r w:rsidRPr="00BF1B50">
        <w:rPr>
          <w:rFonts w:ascii="Times New Roman" w:hAnsi="Times New Roman"/>
          <w:bCs/>
        </w:rPr>
        <w:t xml:space="preserve"> </w:t>
      </w:r>
      <w:r>
        <w:rPr>
          <w:rFonts w:ascii="Times New Roman" w:hAnsi="Times New Roman"/>
          <w:bCs/>
        </w:rPr>
        <w:t>a través de</w:t>
      </w:r>
      <w:r w:rsidRPr="00BF1B50">
        <w:rPr>
          <w:rFonts w:ascii="Times New Roman" w:hAnsi="Times New Roman"/>
          <w:bCs/>
        </w:rPr>
        <w:t xml:space="preserve"> la</w:t>
      </w:r>
      <w:r>
        <w:rPr>
          <w:rFonts w:ascii="Times New Roman" w:hAnsi="Times New Roman"/>
          <w:bCs/>
        </w:rPr>
        <w:t xml:space="preserve"> </w:t>
      </w:r>
      <w:r w:rsidRPr="00BF1B50">
        <w:rPr>
          <w:rFonts w:ascii="Times New Roman" w:hAnsi="Times New Roman"/>
          <w:bCs/>
        </w:rPr>
        <w:t>Secretaría de Desarrollo Económico (SEDECO),</w:t>
      </w:r>
      <w:r>
        <w:rPr>
          <w:rFonts w:ascii="Times New Roman" w:hAnsi="Times New Roman"/>
          <w:bCs/>
        </w:rPr>
        <w:t xml:space="preserve"> </w:t>
      </w:r>
      <w:r w:rsidR="00D3764E">
        <w:rPr>
          <w:rFonts w:ascii="Times New Roman" w:hAnsi="Times New Roman"/>
          <w:bCs/>
        </w:rPr>
        <w:t>y que a la fecha cuenta con 22 ventanillas certificadas,</w:t>
      </w:r>
      <w:r w:rsidR="00D3764E" w:rsidRPr="00BF1B50">
        <w:rPr>
          <w:rFonts w:ascii="Times New Roman" w:hAnsi="Times New Roman"/>
          <w:bCs/>
        </w:rPr>
        <w:t xml:space="preserve"> </w:t>
      </w:r>
      <w:r w:rsidRPr="00BF1B50">
        <w:rPr>
          <w:rFonts w:ascii="Times New Roman" w:hAnsi="Times New Roman"/>
          <w:bCs/>
        </w:rPr>
        <w:t>facilit</w:t>
      </w:r>
      <w:r w:rsidR="00D3764E">
        <w:rPr>
          <w:rFonts w:ascii="Times New Roman" w:hAnsi="Times New Roman"/>
          <w:bCs/>
        </w:rPr>
        <w:t>ó</w:t>
      </w:r>
      <w:r w:rsidRPr="00BF1B50">
        <w:rPr>
          <w:rFonts w:ascii="Times New Roman" w:hAnsi="Times New Roman"/>
          <w:bCs/>
        </w:rPr>
        <w:t xml:space="preserve"> el </w:t>
      </w:r>
      <w:r>
        <w:rPr>
          <w:rFonts w:ascii="Times New Roman" w:hAnsi="Times New Roman"/>
          <w:bCs/>
        </w:rPr>
        <w:t>establecimiento</w:t>
      </w:r>
      <w:r w:rsidRPr="00BF1B50">
        <w:rPr>
          <w:rFonts w:ascii="Times New Roman" w:hAnsi="Times New Roman"/>
          <w:bCs/>
        </w:rPr>
        <w:t xml:space="preserve"> de negocios en </w:t>
      </w:r>
      <w:r>
        <w:rPr>
          <w:rFonts w:ascii="Times New Roman" w:hAnsi="Times New Roman"/>
          <w:bCs/>
        </w:rPr>
        <w:t xml:space="preserve">diversas comunidades de </w:t>
      </w:r>
      <w:r w:rsidRPr="00BF1B50">
        <w:rPr>
          <w:rFonts w:ascii="Times New Roman" w:hAnsi="Times New Roman"/>
          <w:bCs/>
        </w:rPr>
        <w:t>l</w:t>
      </w:r>
      <w:r>
        <w:rPr>
          <w:rFonts w:ascii="Times New Roman" w:hAnsi="Times New Roman"/>
          <w:bCs/>
        </w:rPr>
        <w:t>o</w:t>
      </w:r>
      <w:r w:rsidRPr="00BF1B50">
        <w:rPr>
          <w:rFonts w:ascii="Times New Roman" w:hAnsi="Times New Roman"/>
          <w:bCs/>
        </w:rPr>
        <w:t xml:space="preserve">s </w:t>
      </w:r>
      <w:r>
        <w:rPr>
          <w:rFonts w:ascii="Times New Roman" w:hAnsi="Times New Roman"/>
          <w:bCs/>
        </w:rPr>
        <w:t>municipios del Estado</w:t>
      </w:r>
      <w:r w:rsidRPr="00BF1B50">
        <w:rPr>
          <w:rFonts w:ascii="Times New Roman" w:hAnsi="Times New Roman"/>
          <w:bCs/>
        </w:rPr>
        <w:t>,</w:t>
      </w:r>
      <w:r w:rsidR="00D3764E">
        <w:rPr>
          <w:rFonts w:ascii="Times New Roman" w:hAnsi="Times New Roman"/>
          <w:bCs/>
        </w:rPr>
        <w:t xml:space="preserve"> </w:t>
      </w:r>
      <w:r>
        <w:rPr>
          <w:rFonts w:ascii="Times New Roman" w:hAnsi="Times New Roman"/>
          <w:bCs/>
        </w:rPr>
        <w:t xml:space="preserve">ya que ha disminuido la necesidad de </w:t>
      </w:r>
      <w:r w:rsidRPr="00BF1B50">
        <w:rPr>
          <w:rFonts w:ascii="Times New Roman" w:hAnsi="Times New Roman"/>
          <w:bCs/>
        </w:rPr>
        <w:t xml:space="preserve">traslados y </w:t>
      </w:r>
      <w:r>
        <w:rPr>
          <w:rFonts w:ascii="Times New Roman" w:hAnsi="Times New Roman"/>
          <w:bCs/>
        </w:rPr>
        <w:t xml:space="preserve">la eliminación de trámites </w:t>
      </w:r>
      <w:r w:rsidRPr="00BF1B50">
        <w:rPr>
          <w:rFonts w:ascii="Times New Roman" w:hAnsi="Times New Roman"/>
          <w:bCs/>
        </w:rPr>
        <w:t>burocr</w:t>
      </w:r>
      <w:r>
        <w:rPr>
          <w:rFonts w:ascii="Times New Roman" w:hAnsi="Times New Roman"/>
          <w:bCs/>
        </w:rPr>
        <w:t>áticos</w:t>
      </w:r>
      <w:r w:rsidRPr="00BF1B50">
        <w:rPr>
          <w:rFonts w:ascii="Times New Roman" w:hAnsi="Times New Roman"/>
          <w:bCs/>
        </w:rPr>
        <w:t xml:space="preserve">, </w:t>
      </w:r>
      <w:r>
        <w:rPr>
          <w:rFonts w:ascii="Times New Roman" w:hAnsi="Times New Roman"/>
          <w:bCs/>
        </w:rPr>
        <w:t xml:space="preserve">permitiendo </w:t>
      </w:r>
      <w:r w:rsidRPr="00BF1B50">
        <w:rPr>
          <w:rFonts w:ascii="Times New Roman" w:hAnsi="Times New Roman"/>
          <w:bCs/>
        </w:rPr>
        <w:t>posiciona</w:t>
      </w:r>
      <w:r>
        <w:rPr>
          <w:rFonts w:ascii="Times New Roman" w:hAnsi="Times New Roman"/>
          <w:bCs/>
        </w:rPr>
        <w:t>r</w:t>
      </w:r>
      <w:r w:rsidRPr="00BF1B50">
        <w:rPr>
          <w:rFonts w:ascii="Times New Roman" w:hAnsi="Times New Roman"/>
          <w:bCs/>
        </w:rPr>
        <w:t xml:space="preserve"> a Tlaxcala como un destino confiable para la inversión</w:t>
      </w:r>
      <w:r w:rsidR="00D3764E">
        <w:rPr>
          <w:rFonts w:ascii="Times New Roman" w:hAnsi="Times New Roman"/>
          <w:bCs/>
        </w:rPr>
        <w:t xml:space="preserve"> nacional y extranjera</w:t>
      </w:r>
      <w:r w:rsidRPr="00BF1B50">
        <w:rPr>
          <w:rFonts w:ascii="Times New Roman" w:hAnsi="Times New Roman"/>
          <w:bCs/>
        </w:rPr>
        <w:t>.</w:t>
      </w:r>
    </w:p>
    <w:p w14:paraId="2674F6BB" w14:textId="77777777" w:rsidR="003271E4" w:rsidRDefault="003271E4" w:rsidP="00BF1B50">
      <w:pPr>
        <w:pStyle w:val="PRIMERAPLANA"/>
        <w:spacing w:line="360" w:lineRule="auto"/>
        <w:rPr>
          <w:rFonts w:ascii="Times New Roman" w:hAnsi="Times New Roman"/>
          <w:bCs/>
        </w:rPr>
      </w:pPr>
    </w:p>
    <w:p w14:paraId="2D7C63BE" w14:textId="2342A357" w:rsidR="00D3764E" w:rsidRPr="009134B9" w:rsidRDefault="00D3764E" w:rsidP="00D3764E">
      <w:pPr>
        <w:pStyle w:val="PRIMERAPLANA"/>
        <w:spacing w:line="360" w:lineRule="auto"/>
        <w:rPr>
          <w:rFonts w:ascii="Times New Roman" w:hAnsi="Times New Roman"/>
          <w:bCs/>
        </w:rPr>
      </w:pPr>
      <w:r>
        <w:rPr>
          <w:rFonts w:ascii="Times New Roman" w:hAnsi="Times New Roman"/>
          <w:bCs/>
        </w:rPr>
        <w:t>A</w:t>
      </w:r>
      <w:r w:rsidRPr="00D3764E">
        <w:rPr>
          <w:rFonts w:ascii="Times New Roman" w:hAnsi="Times New Roman"/>
          <w:bCs/>
        </w:rPr>
        <w:t>ctualmente 22 países invierten en la entidad, lo que ha contribuido a la consolidación de 39 nuevas inversiones y 33 expansiones empresariales, lo que ha generado una derrama superior a 20 mil millones de pesos en capital privado.</w:t>
      </w:r>
      <w:r w:rsidRPr="009134B9">
        <w:rPr>
          <w:rFonts w:ascii="Times New Roman" w:hAnsi="Times New Roman"/>
          <w:bCs/>
        </w:rPr>
        <w:t xml:space="preserve"> En 2024, el estado captó 94.2 millones de dólares en Inversión Extranjera Directa (IED), lo que refleja la confianza de los inversionistas internacionales en el potencial económico de la entidad. Esta inversión proviene de diversos países, entre los que se incluyen Alemania, España, Estados Unidos, Argentina, Australia, Bélgica, Brasil, India, Japón, Países Bajos, Reino Unido y Suecia.</w:t>
      </w:r>
    </w:p>
    <w:p w14:paraId="020C8CC2" w14:textId="77777777" w:rsidR="00D3764E" w:rsidRPr="009134B9" w:rsidRDefault="00D3764E" w:rsidP="00D3764E">
      <w:pPr>
        <w:pStyle w:val="PRIMERAPLANA"/>
        <w:spacing w:line="360" w:lineRule="auto"/>
        <w:rPr>
          <w:rFonts w:ascii="Times New Roman" w:hAnsi="Times New Roman"/>
          <w:bCs/>
        </w:rPr>
      </w:pPr>
    </w:p>
    <w:p w14:paraId="46BBFCD3" w14:textId="2E1594E6" w:rsidR="00D3764E" w:rsidRDefault="00D3764E" w:rsidP="00BF1B50">
      <w:pPr>
        <w:pStyle w:val="PRIMERAPLANA"/>
        <w:spacing w:line="360" w:lineRule="auto"/>
        <w:rPr>
          <w:rFonts w:ascii="Times New Roman" w:hAnsi="Times New Roman"/>
          <w:bCs/>
        </w:rPr>
      </w:pPr>
      <w:r w:rsidRPr="009134B9">
        <w:rPr>
          <w:rFonts w:ascii="Times New Roman" w:hAnsi="Times New Roman"/>
          <w:bCs/>
        </w:rPr>
        <w:t>La participación de inversionistas extranjeros en la Entidad contribuye a la generación de nuevos empleos, al desarrollo local y a la captación de divisas que refuerzan la actividad económica de Tlaxcala</w:t>
      </w:r>
      <w:r w:rsidR="009134B9">
        <w:rPr>
          <w:rFonts w:ascii="Times New Roman" w:hAnsi="Times New Roman"/>
          <w:bCs/>
        </w:rPr>
        <w:t>;</w:t>
      </w:r>
      <w:r w:rsidR="009134B9" w:rsidRPr="009134B9">
        <w:rPr>
          <w:rFonts w:ascii="Times New Roman" w:hAnsi="Times New Roman"/>
          <w:bCs/>
        </w:rPr>
        <w:t xml:space="preserve"> </w:t>
      </w:r>
      <w:r w:rsidR="009134B9" w:rsidRPr="00BF1B50">
        <w:rPr>
          <w:rFonts w:ascii="Times New Roman" w:hAnsi="Times New Roman"/>
          <w:bCs/>
        </w:rPr>
        <w:t>alcanza</w:t>
      </w:r>
      <w:r w:rsidR="009134B9">
        <w:rPr>
          <w:rFonts w:ascii="Times New Roman" w:hAnsi="Times New Roman"/>
          <w:bCs/>
        </w:rPr>
        <w:t>n</w:t>
      </w:r>
      <w:r w:rsidR="009134B9" w:rsidRPr="00BF1B50">
        <w:rPr>
          <w:rFonts w:ascii="Times New Roman" w:hAnsi="Times New Roman"/>
          <w:bCs/>
        </w:rPr>
        <w:t>do la</w:t>
      </w:r>
      <w:r w:rsidR="009134B9">
        <w:rPr>
          <w:rFonts w:ascii="Times New Roman" w:hAnsi="Times New Roman"/>
          <w:bCs/>
        </w:rPr>
        <w:t xml:space="preserve"> </w:t>
      </w:r>
      <w:r w:rsidR="009134B9" w:rsidRPr="00BF1B50">
        <w:rPr>
          <w:rFonts w:ascii="Times New Roman" w:hAnsi="Times New Roman"/>
          <w:bCs/>
        </w:rPr>
        <w:t>cifra histórica de 118 mil 587 empleos formales</w:t>
      </w:r>
      <w:r w:rsidR="009134B9">
        <w:rPr>
          <w:rFonts w:ascii="Times New Roman" w:hAnsi="Times New Roman"/>
          <w:bCs/>
        </w:rPr>
        <w:t xml:space="preserve"> generados</w:t>
      </w:r>
      <w:r w:rsidR="009134B9" w:rsidRPr="00BF1B50">
        <w:rPr>
          <w:rFonts w:ascii="Times New Roman" w:hAnsi="Times New Roman"/>
          <w:bCs/>
        </w:rPr>
        <w:t>.</w:t>
      </w:r>
      <w:r w:rsidRPr="009134B9">
        <w:rPr>
          <w:rFonts w:ascii="Times New Roman" w:hAnsi="Times New Roman"/>
          <w:bCs/>
        </w:rPr>
        <w:t xml:space="preserve"> A pesar de los retos que aún enfrenta la industria de Tlaxcala, especialmente en sectores como la construcción y las industrias manufactureras, el </w:t>
      </w:r>
      <w:r w:rsidR="009134B9" w:rsidRPr="009134B9">
        <w:rPr>
          <w:rFonts w:ascii="Times New Roman" w:hAnsi="Times New Roman"/>
          <w:bCs/>
        </w:rPr>
        <w:t xml:space="preserve">incremento en la actividad </w:t>
      </w:r>
      <w:r w:rsidRPr="009134B9">
        <w:rPr>
          <w:rFonts w:ascii="Times New Roman" w:hAnsi="Times New Roman"/>
          <w:bCs/>
        </w:rPr>
        <w:t xml:space="preserve">industrial refleja una recuperación parcial y un entorno económico en </w:t>
      </w:r>
      <w:r w:rsidR="009134B9" w:rsidRPr="009134B9">
        <w:rPr>
          <w:rFonts w:ascii="Times New Roman" w:hAnsi="Times New Roman"/>
          <w:bCs/>
        </w:rPr>
        <w:t>avance</w:t>
      </w:r>
      <w:r w:rsidRPr="009134B9">
        <w:rPr>
          <w:rFonts w:ascii="Times New Roman" w:hAnsi="Times New Roman"/>
          <w:bCs/>
        </w:rPr>
        <w:t>.</w:t>
      </w:r>
      <w:r w:rsidR="00251D26">
        <w:rPr>
          <w:rFonts w:ascii="Times New Roman" w:hAnsi="Times New Roman"/>
          <w:bCs/>
        </w:rPr>
        <w:t xml:space="preserve"> </w:t>
      </w:r>
      <w:r w:rsidR="009134B9" w:rsidRPr="00BF1B50">
        <w:rPr>
          <w:rFonts w:ascii="Times New Roman" w:hAnsi="Times New Roman"/>
          <w:bCs/>
        </w:rPr>
        <w:t>Este impulso también ha mejorado las condiciones laborales</w:t>
      </w:r>
      <w:r w:rsidR="009134B9">
        <w:rPr>
          <w:rFonts w:ascii="Times New Roman" w:hAnsi="Times New Roman"/>
          <w:bCs/>
        </w:rPr>
        <w:t xml:space="preserve"> de los trabajadores, ya que la </w:t>
      </w:r>
      <w:r w:rsidR="009134B9" w:rsidRPr="00BF1B50">
        <w:rPr>
          <w:rFonts w:ascii="Times New Roman" w:hAnsi="Times New Roman"/>
          <w:bCs/>
        </w:rPr>
        <w:t>remuneración promedio anual</w:t>
      </w:r>
      <w:r w:rsidR="009134B9">
        <w:rPr>
          <w:rFonts w:ascii="Times New Roman" w:hAnsi="Times New Roman"/>
          <w:bCs/>
        </w:rPr>
        <w:t xml:space="preserve"> </w:t>
      </w:r>
      <w:r w:rsidR="009134B9" w:rsidRPr="00BF1B50">
        <w:rPr>
          <w:rFonts w:ascii="Times New Roman" w:hAnsi="Times New Roman"/>
          <w:bCs/>
        </w:rPr>
        <w:t>pasó de</w:t>
      </w:r>
      <w:r w:rsidR="009134B9">
        <w:rPr>
          <w:rFonts w:ascii="Times New Roman" w:hAnsi="Times New Roman"/>
          <w:bCs/>
        </w:rPr>
        <w:t xml:space="preserve"> </w:t>
      </w:r>
      <w:r w:rsidR="009134B9" w:rsidRPr="00BF1B50">
        <w:rPr>
          <w:rFonts w:ascii="Times New Roman" w:hAnsi="Times New Roman"/>
          <w:bCs/>
        </w:rPr>
        <w:t>124 mil 468 pesos en 2018</w:t>
      </w:r>
      <w:r w:rsidR="009134B9">
        <w:rPr>
          <w:rFonts w:ascii="Times New Roman" w:hAnsi="Times New Roman"/>
          <w:bCs/>
        </w:rPr>
        <w:t xml:space="preserve"> </w:t>
      </w:r>
      <w:r w:rsidR="009134B9" w:rsidRPr="00BF1B50">
        <w:rPr>
          <w:rFonts w:ascii="Times New Roman" w:hAnsi="Times New Roman"/>
          <w:bCs/>
        </w:rPr>
        <w:t>a</w:t>
      </w:r>
      <w:r w:rsidR="009134B9">
        <w:rPr>
          <w:rFonts w:ascii="Times New Roman" w:hAnsi="Times New Roman"/>
          <w:bCs/>
        </w:rPr>
        <w:t xml:space="preserve"> </w:t>
      </w:r>
      <w:r w:rsidR="009134B9" w:rsidRPr="00BF1B50">
        <w:rPr>
          <w:rFonts w:ascii="Times New Roman" w:hAnsi="Times New Roman"/>
          <w:bCs/>
        </w:rPr>
        <w:t>133 mil 738 pesos en 2023</w:t>
      </w:r>
      <w:r w:rsidR="009134B9">
        <w:rPr>
          <w:rFonts w:ascii="Times New Roman" w:hAnsi="Times New Roman"/>
          <w:bCs/>
        </w:rPr>
        <w:t>; a</w:t>
      </w:r>
      <w:r w:rsidR="009134B9" w:rsidRPr="00BF1B50">
        <w:rPr>
          <w:rFonts w:ascii="Times New Roman" w:hAnsi="Times New Roman"/>
          <w:bCs/>
        </w:rPr>
        <w:t>simismo, el</w:t>
      </w:r>
      <w:r w:rsidR="009134B9">
        <w:rPr>
          <w:rFonts w:ascii="Times New Roman" w:hAnsi="Times New Roman"/>
          <w:bCs/>
        </w:rPr>
        <w:t xml:space="preserve"> </w:t>
      </w:r>
      <w:r w:rsidR="009134B9" w:rsidRPr="00BF1B50">
        <w:rPr>
          <w:rFonts w:ascii="Times New Roman" w:hAnsi="Times New Roman"/>
          <w:bCs/>
        </w:rPr>
        <w:t>valor agregado censal bruto</w:t>
      </w:r>
      <w:r w:rsidR="009134B9">
        <w:rPr>
          <w:rFonts w:ascii="Times New Roman" w:hAnsi="Times New Roman"/>
          <w:bCs/>
        </w:rPr>
        <w:t xml:space="preserve"> </w:t>
      </w:r>
      <w:r w:rsidR="009134B9" w:rsidRPr="00BF1B50">
        <w:rPr>
          <w:rFonts w:ascii="Times New Roman" w:hAnsi="Times New Roman"/>
          <w:bCs/>
        </w:rPr>
        <w:t>creció</w:t>
      </w:r>
      <w:r w:rsidR="009134B9">
        <w:rPr>
          <w:rFonts w:ascii="Times New Roman" w:hAnsi="Times New Roman"/>
          <w:bCs/>
        </w:rPr>
        <w:t xml:space="preserve"> </w:t>
      </w:r>
      <w:r w:rsidR="009134B9" w:rsidRPr="00BF1B50">
        <w:rPr>
          <w:rFonts w:ascii="Times New Roman" w:hAnsi="Times New Roman"/>
          <w:bCs/>
        </w:rPr>
        <w:t xml:space="preserve">4.6%, </w:t>
      </w:r>
      <w:r w:rsidR="009134B9">
        <w:rPr>
          <w:rFonts w:ascii="Times New Roman" w:hAnsi="Times New Roman"/>
          <w:bCs/>
        </w:rPr>
        <w:t xml:space="preserve">para ubicarse en más de </w:t>
      </w:r>
      <w:r w:rsidR="009134B9" w:rsidRPr="00BF1B50">
        <w:rPr>
          <w:rFonts w:ascii="Times New Roman" w:hAnsi="Times New Roman"/>
          <w:bCs/>
        </w:rPr>
        <w:t>80 mil millones de pesos.</w:t>
      </w:r>
    </w:p>
    <w:p w14:paraId="6D542992" w14:textId="77777777" w:rsidR="00D3764E" w:rsidRDefault="00D3764E" w:rsidP="00BF1B50">
      <w:pPr>
        <w:pStyle w:val="PRIMERAPLANA"/>
        <w:spacing w:line="360" w:lineRule="auto"/>
        <w:rPr>
          <w:rFonts w:ascii="Times New Roman" w:hAnsi="Times New Roman"/>
          <w:bCs/>
        </w:rPr>
      </w:pPr>
    </w:p>
    <w:p w14:paraId="341D4E10" w14:textId="37A81710" w:rsidR="00251D26" w:rsidRPr="00BF1B50" w:rsidRDefault="00251D26" w:rsidP="00251D26">
      <w:pPr>
        <w:pStyle w:val="PRIMERAPLANA"/>
        <w:spacing w:line="360" w:lineRule="auto"/>
        <w:rPr>
          <w:rFonts w:ascii="Times New Roman" w:hAnsi="Times New Roman"/>
          <w:bCs/>
        </w:rPr>
      </w:pPr>
      <w:r w:rsidRPr="00BF1B50">
        <w:rPr>
          <w:rFonts w:ascii="Times New Roman" w:hAnsi="Times New Roman"/>
          <w:bCs/>
        </w:rPr>
        <w:t>E</w:t>
      </w:r>
      <w:r>
        <w:rPr>
          <w:rFonts w:ascii="Times New Roman" w:hAnsi="Times New Roman"/>
          <w:bCs/>
        </w:rPr>
        <w:t>s de resaltar que e</w:t>
      </w:r>
      <w:r w:rsidRPr="00BF1B50">
        <w:rPr>
          <w:rFonts w:ascii="Times New Roman" w:hAnsi="Times New Roman"/>
          <w:bCs/>
        </w:rPr>
        <w:t xml:space="preserve">l </w:t>
      </w:r>
      <w:r>
        <w:rPr>
          <w:rFonts w:ascii="Times New Roman" w:hAnsi="Times New Roman"/>
          <w:bCs/>
        </w:rPr>
        <w:t>E</w:t>
      </w:r>
      <w:r w:rsidRPr="00BF1B50">
        <w:rPr>
          <w:rFonts w:ascii="Times New Roman" w:hAnsi="Times New Roman"/>
          <w:bCs/>
        </w:rPr>
        <w:t>stado avanzó</w:t>
      </w:r>
      <w:r>
        <w:rPr>
          <w:rFonts w:ascii="Times New Roman" w:hAnsi="Times New Roman"/>
          <w:bCs/>
        </w:rPr>
        <w:t xml:space="preserve"> </w:t>
      </w:r>
      <w:r w:rsidRPr="00BF1B50">
        <w:rPr>
          <w:rFonts w:ascii="Times New Roman" w:hAnsi="Times New Roman"/>
          <w:bCs/>
        </w:rPr>
        <w:t>seis lugares en el Índice de Competitividad Estatal 2025, elaborado por el</w:t>
      </w:r>
      <w:r>
        <w:rPr>
          <w:rFonts w:ascii="Times New Roman" w:hAnsi="Times New Roman"/>
          <w:bCs/>
        </w:rPr>
        <w:t xml:space="preserve"> Instituto Mexicano para la Competitividad A.C. (</w:t>
      </w:r>
      <w:r w:rsidRPr="00BF1B50">
        <w:rPr>
          <w:rFonts w:ascii="Times New Roman" w:hAnsi="Times New Roman"/>
          <w:bCs/>
        </w:rPr>
        <w:t>IMCO</w:t>
      </w:r>
      <w:r>
        <w:rPr>
          <w:rFonts w:ascii="Times New Roman" w:hAnsi="Times New Roman"/>
          <w:bCs/>
        </w:rPr>
        <w:t>). Asimismo</w:t>
      </w:r>
      <w:r w:rsidRPr="00BF1B50">
        <w:rPr>
          <w:rFonts w:ascii="Times New Roman" w:hAnsi="Times New Roman"/>
          <w:bCs/>
        </w:rPr>
        <w:t>, se</w:t>
      </w:r>
      <w:r>
        <w:rPr>
          <w:rFonts w:ascii="Times New Roman" w:hAnsi="Times New Roman"/>
          <w:bCs/>
        </w:rPr>
        <w:t xml:space="preserve"> con</w:t>
      </w:r>
      <w:r w:rsidRPr="00BF1B50">
        <w:rPr>
          <w:rFonts w:ascii="Times New Roman" w:hAnsi="Times New Roman"/>
          <w:bCs/>
        </w:rPr>
        <w:t>solid</w:t>
      </w:r>
      <w:r>
        <w:rPr>
          <w:rFonts w:ascii="Times New Roman" w:hAnsi="Times New Roman"/>
          <w:bCs/>
        </w:rPr>
        <w:t>ó</w:t>
      </w:r>
      <w:r w:rsidRPr="00BF1B50">
        <w:rPr>
          <w:rFonts w:ascii="Times New Roman" w:hAnsi="Times New Roman"/>
          <w:bCs/>
        </w:rPr>
        <w:t xml:space="preserve"> la</w:t>
      </w:r>
      <w:r>
        <w:rPr>
          <w:rFonts w:ascii="Times New Roman" w:hAnsi="Times New Roman"/>
          <w:bCs/>
        </w:rPr>
        <w:t xml:space="preserve"> </w:t>
      </w:r>
      <w:r w:rsidRPr="00BF1B50">
        <w:rPr>
          <w:rFonts w:ascii="Times New Roman" w:hAnsi="Times New Roman"/>
          <w:bCs/>
        </w:rPr>
        <w:t xml:space="preserve">marca “Hecho en Tlaxcala”, </w:t>
      </w:r>
      <w:r>
        <w:rPr>
          <w:rFonts w:ascii="Times New Roman" w:hAnsi="Times New Roman"/>
          <w:bCs/>
        </w:rPr>
        <w:t>dando</w:t>
      </w:r>
      <w:r w:rsidRPr="00BF1B50">
        <w:rPr>
          <w:rFonts w:ascii="Times New Roman" w:hAnsi="Times New Roman"/>
          <w:bCs/>
        </w:rPr>
        <w:t xml:space="preserve"> proyección nacional a micro y pequeñas empresas locales, </w:t>
      </w:r>
      <w:r>
        <w:rPr>
          <w:rFonts w:ascii="Times New Roman" w:hAnsi="Times New Roman"/>
          <w:bCs/>
        </w:rPr>
        <w:t xml:space="preserve">permitiendo ubicar sus productos </w:t>
      </w:r>
      <w:r w:rsidRPr="00BF1B50">
        <w:rPr>
          <w:rFonts w:ascii="Times New Roman" w:hAnsi="Times New Roman"/>
          <w:bCs/>
        </w:rPr>
        <w:t>en tiendas de conveniencia y autoservicio.</w:t>
      </w:r>
    </w:p>
    <w:p w14:paraId="284986FB" w14:textId="77777777" w:rsidR="00251D26" w:rsidRDefault="00251D26" w:rsidP="00251D26">
      <w:pPr>
        <w:pStyle w:val="PRIMERAPLANA"/>
        <w:spacing w:line="360" w:lineRule="auto"/>
        <w:rPr>
          <w:rFonts w:ascii="Times New Roman" w:hAnsi="Times New Roman"/>
          <w:bCs/>
        </w:rPr>
      </w:pPr>
    </w:p>
    <w:p w14:paraId="63487BA6" w14:textId="7556A564" w:rsidR="00251D26" w:rsidRDefault="00251D26" w:rsidP="00251D26">
      <w:pPr>
        <w:pStyle w:val="PRIMERAPLANA"/>
        <w:spacing w:line="360" w:lineRule="auto"/>
        <w:rPr>
          <w:rFonts w:ascii="Times New Roman" w:hAnsi="Times New Roman"/>
          <w:bCs/>
        </w:rPr>
      </w:pPr>
      <w:r w:rsidRPr="00BF1B50">
        <w:rPr>
          <w:rFonts w:ascii="Times New Roman" w:hAnsi="Times New Roman"/>
          <w:bCs/>
        </w:rPr>
        <w:t>El</w:t>
      </w:r>
      <w:r>
        <w:rPr>
          <w:rFonts w:ascii="Times New Roman" w:hAnsi="Times New Roman"/>
          <w:bCs/>
        </w:rPr>
        <w:t xml:space="preserve"> </w:t>
      </w:r>
      <w:r w:rsidRPr="00BF1B50">
        <w:rPr>
          <w:rFonts w:ascii="Times New Roman" w:hAnsi="Times New Roman"/>
          <w:bCs/>
        </w:rPr>
        <w:t xml:space="preserve">apoyo </w:t>
      </w:r>
      <w:r>
        <w:rPr>
          <w:rFonts w:ascii="Times New Roman" w:hAnsi="Times New Roman"/>
          <w:bCs/>
        </w:rPr>
        <w:t xml:space="preserve">efectivo </w:t>
      </w:r>
      <w:r w:rsidRPr="00BF1B50">
        <w:rPr>
          <w:rFonts w:ascii="Times New Roman" w:hAnsi="Times New Roman"/>
          <w:bCs/>
        </w:rPr>
        <w:t>al emprend</w:t>
      </w:r>
      <w:r w:rsidR="0069230A">
        <w:rPr>
          <w:rFonts w:ascii="Times New Roman" w:hAnsi="Times New Roman"/>
          <w:bCs/>
        </w:rPr>
        <w:t>imiento</w:t>
      </w:r>
      <w:r>
        <w:rPr>
          <w:rFonts w:ascii="Times New Roman" w:hAnsi="Times New Roman"/>
          <w:bCs/>
        </w:rPr>
        <w:t xml:space="preserve"> por parte del</w:t>
      </w:r>
      <w:r w:rsidRPr="00BF1B50">
        <w:rPr>
          <w:rFonts w:ascii="Times New Roman" w:hAnsi="Times New Roman"/>
          <w:bCs/>
        </w:rPr>
        <w:t xml:space="preserve"> gobierno estatal</w:t>
      </w:r>
      <w:r>
        <w:rPr>
          <w:rFonts w:ascii="Times New Roman" w:hAnsi="Times New Roman"/>
          <w:bCs/>
        </w:rPr>
        <w:t xml:space="preserve">, se ha traducido en </w:t>
      </w:r>
      <w:r w:rsidRPr="00BF1B50">
        <w:rPr>
          <w:rFonts w:ascii="Times New Roman" w:hAnsi="Times New Roman"/>
          <w:bCs/>
        </w:rPr>
        <w:t>más de</w:t>
      </w:r>
      <w:r>
        <w:rPr>
          <w:rFonts w:ascii="Times New Roman" w:hAnsi="Times New Roman"/>
          <w:bCs/>
        </w:rPr>
        <w:t xml:space="preserve"> </w:t>
      </w:r>
      <w:r w:rsidRPr="00BF1B50">
        <w:rPr>
          <w:rFonts w:ascii="Times New Roman" w:hAnsi="Times New Roman"/>
          <w:bCs/>
        </w:rPr>
        <w:t>1,500 millones de pesos</w:t>
      </w:r>
      <w:r>
        <w:rPr>
          <w:rFonts w:ascii="Times New Roman" w:hAnsi="Times New Roman"/>
          <w:bCs/>
        </w:rPr>
        <w:t xml:space="preserve">, destinados a </w:t>
      </w:r>
      <w:r w:rsidRPr="00BF1B50">
        <w:rPr>
          <w:rFonts w:ascii="Times New Roman" w:hAnsi="Times New Roman"/>
          <w:bCs/>
        </w:rPr>
        <w:t>microcréditos, financiamiento</w:t>
      </w:r>
      <w:r>
        <w:rPr>
          <w:rFonts w:ascii="Times New Roman" w:hAnsi="Times New Roman"/>
          <w:bCs/>
        </w:rPr>
        <w:t>s</w:t>
      </w:r>
      <w:r w:rsidRPr="00BF1B50">
        <w:rPr>
          <w:rFonts w:ascii="Times New Roman" w:hAnsi="Times New Roman"/>
          <w:bCs/>
        </w:rPr>
        <w:t xml:space="preserve"> y subsidios</w:t>
      </w:r>
      <w:r>
        <w:rPr>
          <w:rFonts w:ascii="Times New Roman" w:hAnsi="Times New Roman"/>
          <w:bCs/>
        </w:rPr>
        <w:t xml:space="preserve">, </w:t>
      </w:r>
      <w:r w:rsidRPr="00BF1B50">
        <w:rPr>
          <w:rFonts w:ascii="Times New Roman" w:hAnsi="Times New Roman"/>
          <w:bCs/>
        </w:rPr>
        <w:t>a través de</w:t>
      </w:r>
      <w:r>
        <w:rPr>
          <w:rFonts w:ascii="Times New Roman" w:hAnsi="Times New Roman"/>
          <w:bCs/>
        </w:rPr>
        <w:t xml:space="preserve"> diferentes Secretarías, tales como de Desarrollo Económico, de Impulso Agropecuario, de Bienestar, del Fondo Macro para el Desarrollo Integral de Tlaxcala</w:t>
      </w:r>
      <w:r w:rsidRPr="00BF1B50">
        <w:rPr>
          <w:rFonts w:ascii="Times New Roman" w:hAnsi="Times New Roman"/>
          <w:bCs/>
        </w:rPr>
        <w:t xml:space="preserve"> </w:t>
      </w:r>
      <w:r w:rsidR="00961C48">
        <w:rPr>
          <w:rFonts w:ascii="Times New Roman" w:hAnsi="Times New Roman"/>
          <w:bCs/>
        </w:rPr>
        <w:t>y del Sistema Estatal para el Desarrollo Integral de la Familia.</w:t>
      </w:r>
    </w:p>
    <w:p w14:paraId="299A5D79" w14:textId="77777777" w:rsidR="00961C48" w:rsidRPr="00BF1B50" w:rsidRDefault="00961C48" w:rsidP="00251D26">
      <w:pPr>
        <w:pStyle w:val="PRIMERAPLANA"/>
        <w:spacing w:line="360" w:lineRule="auto"/>
        <w:rPr>
          <w:rFonts w:ascii="Times New Roman" w:hAnsi="Times New Roman"/>
          <w:bCs/>
        </w:rPr>
      </w:pPr>
    </w:p>
    <w:p w14:paraId="7A6C1733" w14:textId="2AC0FEFB" w:rsidR="00961C48" w:rsidRDefault="00961C48" w:rsidP="00961C48">
      <w:pPr>
        <w:pStyle w:val="PRIMERAPLANA"/>
        <w:spacing w:line="360" w:lineRule="auto"/>
        <w:rPr>
          <w:rFonts w:ascii="Times New Roman" w:hAnsi="Times New Roman"/>
          <w:bCs/>
        </w:rPr>
      </w:pPr>
      <w:r w:rsidRPr="00961C48">
        <w:rPr>
          <w:rFonts w:ascii="Times New Roman" w:hAnsi="Times New Roman"/>
          <w:bCs/>
        </w:rPr>
        <w:t xml:space="preserve">Asimismo, Tlaxcala es el primer Estado del país en contar con una guardería empresarial, </w:t>
      </w:r>
      <w:r w:rsidRPr="00BF1B50">
        <w:rPr>
          <w:rFonts w:ascii="Times New Roman" w:hAnsi="Times New Roman"/>
          <w:bCs/>
        </w:rPr>
        <w:t>que respalda directamente a</w:t>
      </w:r>
      <w:r>
        <w:rPr>
          <w:rFonts w:ascii="Times New Roman" w:hAnsi="Times New Roman"/>
          <w:bCs/>
        </w:rPr>
        <w:t xml:space="preserve"> </w:t>
      </w:r>
      <w:r w:rsidRPr="00BF1B50">
        <w:rPr>
          <w:rFonts w:ascii="Times New Roman" w:hAnsi="Times New Roman"/>
          <w:bCs/>
        </w:rPr>
        <w:t>mujeres trabajadoras y madres emprendedoras</w:t>
      </w:r>
      <w:r>
        <w:rPr>
          <w:rFonts w:ascii="Times New Roman" w:hAnsi="Times New Roman"/>
          <w:bCs/>
        </w:rPr>
        <w:t xml:space="preserve">, siendo una iniciativa </w:t>
      </w:r>
      <w:r w:rsidRPr="00BF1B50">
        <w:rPr>
          <w:rFonts w:ascii="Times New Roman" w:hAnsi="Times New Roman"/>
          <w:bCs/>
        </w:rPr>
        <w:t>inclusiva y generadora de bienestar para las familias tlaxcaltecas</w:t>
      </w:r>
      <w:r>
        <w:rPr>
          <w:rFonts w:ascii="Times New Roman" w:hAnsi="Times New Roman"/>
          <w:bCs/>
        </w:rPr>
        <w:t>.</w:t>
      </w:r>
    </w:p>
    <w:p w14:paraId="1CB21270" w14:textId="77777777" w:rsidR="00BF1B50" w:rsidRDefault="00BF1B50" w:rsidP="006011E9">
      <w:pPr>
        <w:pStyle w:val="PRIMERAPLANA"/>
        <w:spacing w:line="360" w:lineRule="auto"/>
        <w:rPr>
          <w:rFonts w:ascii="Times New Roman" w:hAnsi="Times New Roman"/>
          <w:bCs/>
        </w:rPr>
      </w:pPr>
    </w:p>
    <w:p w14:paraId="5FBA0889" w14:textId="7E34DB93"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lastRenderedPageBreak/>
        <w:t>La</w:t>
      </w:r>
      <w:r w:rsidR="00EA5FCA">
        <w:rPr>
          <w:rFonts w:ascii="Times New Roman" w:hAnsi="Times New Roman"/>
          <w:bCs/>
        </w:rPr>
        <w:t xml:space="preserve"> </w:t>
      </w:r>
      <w:r w:rsidRPr="00EA5FCA">
        <w:rPr>
          <w:rFonts w:ascii="Times New Roman" w:hAnsi="Times New Roman"/>
          <w:bCs/>
        </w:rPr>
        <w:t>actividad económica</w:t>
      </w:r>
      <w:r w:rsidR="00EA5FCA">
        <w:rPr>
          <w:rFonts w:ascii="Times New Roman" w:hAnsi="Times New Roman"/>
          <w:bCs/>
        </w:rPr>
        <w:t xml:space="preserve"> </w:t>
      </w:r>
      <w:r w:rsidRPr="00EA5FCA">
        <w:rPr>
          <w:rFonts w:ascii="Times New Roman" w:hAnsi="Times New Roman"/>
          <w:bCs/>
        </w:rPr>
        <w:t>de Tlaxcala creció en</w:t>
      </w:r>
      <w:r w:rsidR="00EA5FCA">
        <w:rPr>
          <w:rFonts w:ascii="Times New Roman" w:hAnsi="Times New Roman"/>
          <w:bCs/>
        </w:rPr>
        <w:t xml:space="preserve"> </w:t>
      </w:r>
      <w:r w:rsidRPr="00EA5FCA">
        <w:rPr>
          <w:rFonts w:ascii="Times New Roman" w:hAnsi="Times New Roman"/>
          <w:bCs/>
        </w:rPr>
        <w:t>1.1</w:t>
      </w:r>
      <w:r w:rsidR="0069230A">
        <w:rPr>
          <w:rFonts w:ascii="Times New Roman" w:hAnsi="Times New Roman"/>
          <w:bCs/>
        </w:rPr>
        <w:t>%</w:t>
      </w:r>
      <w:r w:rsidR="00EA5FCA">
        <w:rPr>
          <w:rFonts w:ascii="Times New Roman" w:hAnsi="Times New Roman"/>
          <w:bCs/>
        </w:rPr>
        <w:t xml:space="preserve"> </w:t>
      </w:r>
      <w:r w:rsidRPr="00EA5FCA">
        <w:rPr>
          <w:rFonts w:ascii="Times New Roman" w:hAnsi="Times New Roman"/>
          <w:bCs/>
        </w:rPr>
        <w:t>durante el primer trimestre de 2025 en comparación con el mismo periodo del año previo; principalmente</w:t>
      </w:r>
      <w:r w:rsidR="00EA5FCA">
        <w:rPr>
          <w:rFonts w:ascii="Times New Roman" w:hAnsi="Times New Roman"/>
          <w:bCs/>
        </w:rPr>
        <w:t xml:space="preserve"> </w:t>
      </w:r>
      <w:r w:rsidRPr="00EA5FCA">
        <w:rPr>
          <w:rFonts w:ascii="Times New Roman" w:hAnsi="Times New Roman"/>
          <w:bCs/>
        </w:rPr>
        <w:t xml:space="preserve">impulsada por las actividades primarias y terciarias, </w:t>
      </w:r>
      <w:r w:rsidR="00EA5FCA">
        <w:rPr>
          <w:rFonts w:ascii="Times New Roman" w:hAnsi="Times New Roman"/>
          <w:bCs/>
        </w:rPr>
        <w:t xml:space="preserve">de acuerdo a </w:t>
      </w:r>
      <w:r w:rsidRPr="00EA5FCA">
        <w:rPr>
          <w:rFonts w:ascii="Times New Roman" w:hAnsi="Times New Roman"/>
          <w:bCs/>
        </w:rPr>
        <w:t>l</w:t>
      </w:r>
      <w:r w:rsidR="00EA5FCA">
        <w:rPr>
          <w:rFonts w:ascii="Times New Roman" w:hAnsi="Times New Roman"/>
          <w:bCs/>
        </w:rPr>
        <w:t xml:space="preserve">os datos dados a conocer por el </w:t>
      </w:r>
      <w:r w:rsidRPr="00EA5FCA">
        <w:rPr>
          <w:rFonts w:ascii="Times New Roman" w:hAnsi="Times New Roman"/>
          <w:bCs/>
        </w:rPr>
        <w:t>INEGI.</w:t>
      </w:r>
    </w:p>
    <w:p w14:paraId="7EE653CC" w14:textId="77777777" w:rsidR="00BF1B50" w:rsidRDefault="00BF1B50" w:rsidP="00BF1B50">
      <w:pPr>
        <w:pStyle w:val="PRIMERAPLANA"/>
        <w:spacing w:line="360" w:lineRule="auto"/>
        <w:rPr>
          <w:rFonts w:ascii="Times New Roman" w:hAnsi="Times New Roman"/>
          <w:bCs/>
        </w:rPr>
      </w:pPr>
    </w:p>
    <w:p w14:paraId="7D006F82" w14:textId="77777777" w:rsidR="001970D5" w:rsidRPr="001970D5" w:rsidRDefault="001970D5" w:rsidP="001970D5">
      <w:pPr>
        <w:pStyle w:val="p02"/>
        <w:keepLines w:val="0"/>
        <w:widowControl w:val="0"/>
        <w:spacing w:before="0"/>
        <w:ind w:right="0"/>
        <w:jc w:val="center"/>
        <w:rPr>
          <w:rFonts w:ascii="Times New Roman" w:hAnsi="Times New Roman"/>
          <w:b/>
          <w:color w:val="auto"/>
          <w:sz w:val="20"/>
          <w:szCs w:val="18"/>
        </w:rPr>
      </w:pPr>
      <w:r w:rsidRPr="001970D5">
        <w:rPr>
          <w:rFonts w:ascii="Times New Roman" w:hAnsi="Times New Roman"/>
          <w:b/>
          <w:color w:val="auto"/>
          <w:sz w:val="20"/>
          <w:szCs w:val="18"/>
        </w:rPr>
        <w:t xml:space="preserve">Variación anual y contribución de la actividad económica estatal </w:t>
      </w:r>
    </w:p>
    <w:p w14:paraId="14C2CEA8" w14:textId="77777777" w:rsidR="001970D5" w:rsidRPr="001970D5" w:rsidRDefault="001970D5" w:rsidP="001970D5">
      <w:pPr>
        <w:pStyle w:val="p02"/>
        <w:keepLines w:val="0"/>
        <w:widowControl w:val="0"/>
        <w:spacing w:before="0"/>
        <w:ind w:right="0"/>
        <w:jc w:val="center"/>
        <w:rPr>
          <w:rFonts w:ascii="Times New Roman" w:hAnsi="Times New Roman"/>
          <w:b/>
          <w:color w:val="auto"/>
          <w:sz w:val="20"/>
        </w:rPr>
      </w:pPr>
      <w:r w:rsidRPr="001970D5">
        <w:rPr>
          <w:rFonts w:ascii="Times New Roman" w:hAnsi="Times New Roman"/>
          <w:b/>
          <w:color w:val="auto"/>
          <w:sz w:val="20"/>
          <w:szCs w:val="18"/>
        </w:rPr>
        <w:t xml:space="preserve">primer trimestre </w:t>
      </w:r>
      <w:r w:rsidRPr="001970D5">
        <w:rPr>
          <w:rFonts w:ascii="Times New Roman" w:hAnsi="Times New Roman"/>
          <w:b/>
          <w:color w:val="auto"/>
          <w:sz w:val="20"/>
        </w:rPr>
        <w:t>de 2025</w:t>
      </w:r>
      <w:r w:rsidRPr="001970D5">
        <w:rPr>
          <w:rFonts w:ascii="Times New Roman" w:hAnsi="Times New Roman"/>
          <w:b/>
          <w:color w:val="auto"/>
          <w:sz w:val="20"/>
          <w:vertAlign w:val="superscript"/>
        </w:rPr>
        <w:t>1/</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23"/>
        <w:gridCol w:w="146"/>
        <w:gridCol w:w="4231"/>
      </w:tblGrid>
      <w:tr w:rsidR="001970D5" w:rsidRPr="001970D5" w14:paraId="63A83F03" w14:textId="77777777" w:rsidTr="00E70066">
        <w:trPr>
          <w:trHeight w:hRule="exact" w:val="567"/>
        </w:trPr>
        <w:tc>
          <w:tcPr>
            <w:tcW w:w="4910" w:type="dxa"/>
            <w:vAlign w:val="center"/>
          </w:tcPr>
          <w:p w14:paraId="107EC366" w14:textId="77777777" w:rsidR="001970D5" w:rsidRPr="001970D5" w:rsidRDefault="001970D5" w:rsidP="00E70066">
            <w:pPr>
              <w:pStyle w:val="p0"/>
              <w:spacing w:before="0"/>
              <w:jc w:val="center"/>
              <w:rPr>
                <w:rFonts w:ascii="Times New Roman" w:hAnsi="Times New Roman" w:cs="Times New Roman"/>
                <w:b/>
                <w:color w:val="auto"/>
                <w:sz w:val="20"/>
                <w:szCs w:val="20"/>
                <w:lang w:val="es-MX"/>
              </w:rPr>
            </w:pPr>
            <w:r w:rsidRPr="001970D5">
              <w:rPr>
                <w:rFonts w:ascii="Times New Roman" w:hAnsi="Times New Roman" w:cs="Times New Roman"/>
                <w:b/>
                <w:color w:val="auto"/>
                <w:sz w:val="20"/>
                <w:szCs w:val="20"/>
              </w:rPr>
              <w:t xml:space="preserve">Variación porcentual real </w:t>
            </w:r>
            <w:r w:rsidRPr="001970D5">
              <w:rPr>
                <w:rFonts w:ascii="Times New Roman" w:hAnsi="Times New Roman" w:cs="Times New Roman"/>
                <w:b/>
                <w:color w:val="auto"/>
                <w:sz w:val="20"/>
                <w:szCs w:val="20"/>
              </w:rPr>
              <w:br/>
              <w:t>respecto al primer trimestre de 2024</w:t>
            </w:r>
          </w:p>
        </w:tc>
        <w:tc>
          <w:tcPr>
            <w:tcW w:w="148" w:type="dxa"/>
            <w:vAlign w:val="center"/>
          </w:tcPr>
          <w:p w14:paraId="6A1AD4A7" w14:textId="77777777" w:rsidR="001970D5" w:rsidRPr="001970D5" w:rsidRDefault="001970D5" w:rsidP="00E70066">
            <w:pPr>
              <w:pStyle w:val="p0"/>
              <w:spacing w:before="0"/>
              <w:jc w:val="center"/>
              <w:rPr>
                <w:rFonts w:ascii="Times New Roman" w:hAnsi="Times New Roman" w:cs="Times New Roman"/>
                <w:b/>
                <w:color w:val="auto"/>
                <w:sz w:val="20"/>
                <w:szCs w:val="20"/>
                <w:lang w:val="es-MX"/>
              </w:rPr>
            </w:pPr>
          </w:p>
        </w:tc>
        <w:tc>
          <w:tcPr>
            <w:tcW w:w="4916" w:type="dxa"/>
            <w:vAlign w:val="center"/>
          </w:tcPr>
          <w:p w14:paraId="225CF824" w14:textId="77777777" w:rsidR="001970D5" w:rsidRPr="001970D5" w:rsidRDefault="001970D5" w:rsidP="00E70066">
            <w:pPr>
              <w:pStyle w:val="p0"/>
              <w:spacing w:before="0"/>
              <w:jc w:val="center"/>
              <w:rPr>
                <w:rFonts w:ascii="Times New Roman" w:hAnsi="Times New Roman" w:cs="Times New Roman"/>
                <w:b/>
                <w:color w:val="auto"/>
                <w:sz w:val="20"/>
                <w:szCs w:val="20"/>
                <w:lang w:val="es-MX"/>
              </w:rPr>
            </w:pPr>
            <w:r w:rsidRPr="001970D5">
              <w:rPr>
                <w:rFonts w:ascii="Times New Roman" w:hAnsi="Times New Roman" w:cs="Times New Roman"/>
                <w:b/>
                <w:color w:val="auto"/>
                <w:sz w:val="20"/>
                <w:szCs w:val="20"/>
              </w:rPr>
              <w:t xml:space="preserve">Contribución a la variación real </w:t>
            </w:r>
            <w:r w:rsidRPr="001970D5">
              <w:rPr>
                <w:rFonts w:ascii="Times New Roman" w:hAnsi="Times New Roman" w:cs="Times New Roman"/>
                <w:b/>
                <w:color w:val="auto"/>
                <w:sz w:val="20"/>
                <w:szCs w:val="20"/>
              </w:rPr>
              <w:br/>
              <w:t>de la actividad económica nacional</w:t>
            </w:r>
            <w:r w:rsidRPr="001970D5">
              <w:rPr>
                <w:rFonts w:ascii="Times New Roman" w:hAnsi="Times New Roman" w:cs="Times New Roman"/>
                <w:b/>
                <w:color w:val="auto"/>
                <w:sz w:val="20"/>
                <w:szCs w:val="20"/>
                <w:vertAlign w:val="superscript"/>
              </w:rPr>
              <w:t>2/</w:t>
            </w:r>
          </w:p>
        </w:tc>
      </w:tr>
      <w:tr w:rsidR="001970D5" w:rsidRPr="00121E0C" w14:paraId="502F72D8" w14:textId="77777777" w:rsidTr="00E70066">
        <w:tblPrEx>
          <w:tblCellMar>
            <w:left w:w="70" w:type="dxa"/>
            <w:right w:w="70" w:type="dxa"/>
          </w:tblCellMar>
        </w:tblPrEx>
        <w:trPr>
          <w:trHeight w:val="8562"/>
        </w:trPr>
        <w:tc>
          <w:tcPr>
            <w:tcW w:w="4910" w:type="dxa"/>
            <w:vAlign w:val="center"/>
          </w:tcPr>
          <w:p w14:paraId="4886504C" w14:textId="77777777" w:rsidR="001970D5" w:rsidRPr="008F164F" w:rsidRDefault="001970D5" w:rsidP="00E70066">
            <w:pPr>
              <w:pStyle w:val="p0"/>
              <w:spacing w:before="0"/>
              <w:jc w:val="center"/>
              <w:rPr>
                <w:rFonts w:ascii="Arial" w:hAnsi="Arial"/>
                <w:color w:val="auto"/>
                <w:sz w:val="18"/>
                <w:szCs w:val="18"/>
                <w:lang w:val="es-MX"/>
              </w:rPr>
            </w:pPr>
            <w:r>
              <w:rPr>
                <w:noProof/>
              </w:rPr>
              <w:drawing>
                <wp:inline distT="0" distB="0" distL="0" distR="0" wp14:anchorId="75305CB5" wp14:editId="02B8EE77">
                  <wp:extent cx="2275027" cy="5399405"/>
                  <wp:effectExtent l="0" t="0" r="11430" b="10795"/>
                  <wp:docPr id="1991429127"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154" w:type="dxa"/>
            <w:vAlign w:val="center"/>
          </w:tcPr>
          <w:p w14:paraId="63C35743" w14:textId="77777777" w:rsidR="001970D5" w:rsidRPr="00121E0C" w:rsidRDefault="001970D5" w:rsidP="00E70066">
            <w:pPr>
              <w:pStyle w:val="p0"/>
              <w:spacing w:before="0"/>
              <w:jc w:val="center"/>
              <w:rPr>
                <w:rFonts w:ascii="Arial" w:hAnsi="Arial"/>
                <w:color w:val="auto"/>
                <w:sz w:val="16"/>
                <w:szCs w:val="16"/>
                <w:lang w:val="es-MX"/>
              </w:rPr>
            </w:pPr>
          </w:p>
        </w:tc>
        <w:tc>
          <w:tcPr>
            <w:tcW w:w="4910" w:type="dxa"/>
            <w:vAlign w:val="center"/>
          </w:tcPr>
          <w:p w14:paraId="57F79582" w14:textId="77777777" w:rsidR="001970D5" w:rsidRPr="00552E8A" w:rsidRDefault="001970D5" w:rsidP="00E70066">
            <w:pPr>
              <w:pStyle w:val="p0"/>
              <w:spacing w:before="0"/>
              <w:jc w:val="center"/>
              <w:rPr>
                <w:rFonts w:ascii="Arial" w:hAnsi="Arial"/>
                <w:color w:val="4D565E"/>
                <w:sz w:val="16"/>
                <w:szCs w:val="16"/>
                <w:lang w:val="es-MX"/>
              </w:rPr>
            </w:pPr>
            <w:r>
              <w:rPr>
                <w:noProof/>
              </w:rPr>
              <w:drawing>
                <wp:inline distT="0" distB="0" distL="0" distR="0" wp14:anchorId="46BC1957" wp14:editId="0DE9DE24">
                  <wp:extent cx="2604211" cy="5399405"/>
                  <wp:effectExtent l="0" t="0" r="5715" b="10795"/>
                  <wp:docPr id="375899583" name="Gráfico 1">
                    <a:extLst xmlns:a="http://schemas.openxmlformats.org/drawingml/2006/main">
                      <a:ext uri="{FF2B5EF4-FFF2-40B4-BE49-F238E27FC236}">
                        <a16:creationId xmlns:a16="http://schemas.microsoft.com/office/drawing/2014/main" id="{300AC4FA-BAE7-41FE-8BEC-9CD1A8154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4755A169" w14:textId="77777777" w:rsidR="001970D5" w:rsidRPr="001970D5" w:rsidRDefault="001970D5" w:rsidP="001970D5">
      <w:pPr>
        <w:pStyle w:val="Textoindependiente"/>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3B1E03EC" w14:textId="77777777" w:rsidR="001970D5" w:rsidRPr="001970D5" w:rsidRDefault="001970D5" w:rsidP="001970D5">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lastRenderedPageBreak/>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Las contribuciones se obtienen ponderando las tasas de crecimiento con la participación que cada estado tiene en la actividad económica nacional.</w:t>
      </w:r>
    </w:p>
    <w:p w14:paraId="09895938" w14:textId="77777777" w:rsidR="001970D5" w:rsidRPr="001970D5" w:rsidRDefault="001970D5" w:rsidP="001970D5">
      <w:pPr>
        <w:pStyle w:val="Textoindependiente"/>
        <w:ind w:left="742" w:right="91" w:hanging="630"/>
        <w:jc w:val="left"/>
        <w:rPr>
          <w:rFonts w:ascii="Times New Roman" w:hAnsi="Times New Roman" w:cs="Times New Roman"/>
          <w:sz w:val="14"/>
          <w:szCs w:val="14"/>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6529A5C1" w14:textId="3DA49FF1"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t>El</w:t>
      </w:r>
      <w:r w:rsidR="00EA5FCA">
        <w:rPr>
          <w:rFonts w:ascii="Times New Roman" w:hAnsi="Times New Roman"/>
          <w:bCs/>
        </w:rPr>
        <w:t xml:space="preserve"> </w:t>
      </w:r>
      <w:r w:rsidRPr="00EA5FCA">
        <w:rPr>
          <w:rFonts w:ascii="Times New Roman" w:hAnsi="Times New Roman"/>
          <w:bCs/>
        </w:rPr>
        <w:t>Indicador Trimestral de Actividad Económica Estatal</w:t>
      </w:r>
      <w:r w:rsidR="00EA5FCA">
        <w:rPr>
          <w:rFonts w:ascii="Times New Roman" w:hAnsi="Times New Roman"/>
          <w:bCs/>
        </w:rPr>
        <w:t xml:space="preserve"> </w:t>
      </w:r>
      <w:r w:rsidRPr="00EA5FCA">
        <w:rPr>
          <w:rFonts w:ascii="Times New Roman" w:hAnsi="Times New Roman"/>
          <w:bCs/>
        </w:rPr>
        <w:t>(ITAEE)</w:t>
      </w:r>
      <w:r w:rsidR="00EA5FCA">
        <w:rPr>
          <w:rFonts w:ascii="Times New Roman" w:hAnsi="Times New Roman"/>
          <w:bCs/>
        </w:rPr>
        <w:t>,</w:t>
      </w:r>
      <w:r w:rsidRPr="00EA5FCA">
        <w:rPr>
          <w:rFonts w:ascii="Times New Roman" w:hAnsi="Times New Roman"/>
          <w:bCs/>
        </w:rPr>
        <w:t xml:space="preserve"> ubica a la entidad en la</w:t>
      </w:r>
      <w:r w:rsidR="00EA5FCA">
        <w:rPr>
          <w:rFonts w:ascii="Times New Roman" w:hAnsi="Times New Roman"/>
          <w:bCs/>
        </w:rPr>
        <w:t xml:space="preserve"> </w:t>
      </w:r>
      <w:r w:rsidRPr="00EA5FCA">
        <w:rPr>
          <w:rFonts w:ascii="Times New Roman" w:hAnsi="Times New Roman"/>
          <w:bCs/>
        </w:rPr>
        <w:t>posición 20 respecto al resto</w:t>
      </w:r>
      <w:r w:rsidR="00EA5FCA">
        <w:rPr>
          <w:rFonts w:ascii="Times New Roman" w:hAnsi="Times New Roman"/>
          <w:bCs/>
        </w:rPr>
        <w:t xml:space="preserve"> </w:t>
      </w:r>
      <w:r w:rsidRPr="00EA5FCA">
        <w:rPr>
          <w:rFonts w:ascii="Times New Roman" w:hAnsi="Times New Roman"/>
          <w:bCs/>
        </w:rPr>
        <w:t xml:space="preserve">de los </w:t>
      </w:r>
      <w:r w:rsidR="0069230A">
        <w:rPr>
          <w:rFonts w:ascii="Times New Roman" w:hAnsi="Times New Roman"/>
          <w:bCs/>
        </w:rPr>
        <w:t>E</w:t>
      </w:r>
      <w:r w:rsidRPr="00EA5FCA">
        <w:rPr>
          <w:rFonts w:ascii="Times New Roman" w:hAnsi="Times New Roman"/>
          <w:bCs/>
        </w:rPr>
        <w:t>stados en cuanto al crecimiento de su actividad económica. De enero a marzo de este año, las entidades que registraron un mayor incremento en su actividad económica fueron Guerrero (6.8%), Oaxaca (5.6%) y Nayarit (4.7%), mientras que en el otro extremo están Quintana Roo (-9.4%), Tabasco (-12.8%), y Campeche (-16.7%) con pérdidas en su actividad.</w:t>
      </w:r>
    </w:p>
    <w:p w14:paraId="09C8C5A4" w14:textId="6488A92B" w:rsidR="00BF1B50" w:rsidRPr="00510A66" w:rsidRDefault="00BF1B50" w:rsidP="00510A66">
      <w:pPr>
        <w:pStyle w:val="PRIMERAPLANA"/>
        <w:spacing w:line="360" w:lineRule="auto"/>
        <w:jc w:val="center"/>
        <w:rPr>
          <w:rFonts w:ascii="Times New Roman" w:hAnsi="Times New Roman"/>
          <w:b/>
        </w:rPr>
      </w:pPr>
    </w:p>
    <w:p w14:paraId="3690D006" w14:textId="07E1C8A1" w:rsidR="00510A66" w:rsidRPr="00510A66" w:rsidRDefault="00510A66" w:rsidP="00510A66">
      <w:pPr>
        <w:pStyle w:val="PRIMERAPLANA"/>
        <w:spacing w:line="360" w:lineRule="auto"/>
        <w:jc w:val="center"/>
        <w:rPr>
          <w:rFonts w:ascii="Times New Roman" w:hAnsi="Times New Roman"/>
          <w:b/>
        </w:rPr>
      </w:pPr>
      <w:r w:rsidRPr="00510A66">
        <w:rPr>
          <w:rFonts w:ascii="Times New Roman" w:hAnsi="Times New Roman"/>
          <w:b/>
        </w:rPr>
        <w:t>VARIACIÓN DE LA ACTIVIDAD ECONÓMICA ESTATAL</w:t>
      </w:r>
    </w:p>
    <w:p w14:paraId="6890BB5A" w14:textId="40584514" w:rsidR="00510A66" w:rsidRPr="00510A66" w:rsidRDefault="00510A66" w:rsidP="00510A66">
      <w:pPr>
        <w:pStyle w:val="PRIMERAPLANA"/>
        <w:spacing w:line="360" w:lineRule="auto"/>
        <w:jc w:val="center"/>
        <w:rPr>
          <w:rFonts w:ascii="Times New Roman" w:hAnsi="Times New Roman"/>
          <w:b/>
        </w:rPr>
      </w:pPr>
      <w:r w:rsidRPr="00510A66">
        <w:rPr>
          <w:rFonts w:ascii="Times New Roman" w:hAnsi="Times New Roman"/>
          <w:b/>
        </w:rPr>
        <w:t>cifras desestacionalizadas</w:t>
      </w:r>
      <w:r>
        <w:rPr>
          <w:rFonts w:ascii="Times New Roman" w:hAnsi="Times New Roman"/>
          <w:b/>
        </w:rPr>
        <w:t xml:space="preserve">, </w:t>
      </w:r>
      <w:r w:rsidRPr="00510A66">
        <w:rPr>
          <w:rFonts w:ascii="Times New Roman" w:hAnsi="Times New Roman"/>
          <w:b/>
        </w:rPr>
        <w:t>primer trimestre de 2025</w:t>
      </w:r>
    </w:p>
    <w:p w14:paraId="137057D2" w14:textId="77777777" w:rsidR="00510A66" w:rsidRPr="00510A66" w:rsidRDefault="00510A66" w:rsidP="00510A66">
      <w:pPr>
        <w:pStyle w:val="PRIMERAPLANA"/>
        <w:spacing w:line="360" w:lineRule="auto"/>
        <w:jc w:val="center"/>
        <w:rPr>
          <w:rFonts w:ascii="Times New Roman" w:hAnsi="Times New Roman"/>
          <w:b/>
        </w:rPr>
      </w:pPr>
      <w:r w:rsidRPr="00510A66">
        <w:rPr>
          <w:rFonts w:ascii="Times New Roman" w:hAnsi="Times New Roman"/>
          <w:b/>
        </w:rPr>
        <w:t>(variación porcentual real trimestral y anual)</w:t>
      </w:r>
    </w:p>
    <w:tbl>
      <w:tblPr>
        <w:tblW w:w="5003" w:type="pct"/>
        <w:jc w:val="center"/>
        <w:tblLayout w:type="fixed"/>
        <w:tblCellMar>
          <w:left w:w="0" w:type="dxa"/>
          <w:right w:w="0" w:type="dxa"/>
        </w:tblCellMar>
        <w:tblLook w:val="04A0" w:firstRow="1" w:lastRow="0" w:firstColumn="1" w:lastColumn="0" w:noHBand="0" w:noVBand="1"/>
      </w:tblPr>
      <w:tblGrid>
        <w:gridCol w:w="1672"/>
        <w:gridCol w:w="1163"/>
        <w:gridCol w:w="1163"/>
        <w:gridCol w:w="145"/>
        <w:gridCol w:w="1626"/>
        <w:gridCol w:w="1163"/>
        <w:gridCol w:w="1163"/>
      </w:tblGrid>
      <w:tr w:rsidR="00510A66" w:rsidRPr="00510A66" w14:paraId="663D484F" w14:textId="77777777" w:rsidTr="005F4A89">
        <w:trPr>
          <w:trHeight w:hRule="exact" w:val="510"/>
          <w:jc w:val="center"/>
        </w:trPr>
        <w:tc>
          <w:tcPr>
            <w:tcW w:w="2062"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8EAADB" w:themeFill="accent5" w:themeFillTint="99"/>
            <w:noWrap/>
            <w:vAlign w:val="center"/>
          </w:tcPr>
          <w:p w14:paraId="57E5CAE2" w14:textId="77777777" w:rsidR="00510A66" w:rsidRPr="00510A66" w:rsidRDefault="00510A66" w:rsidP="00E70066">
            <w:pPr>
              <w:ind w:left="57"/>
              <w:jc w:val="center"/>
              <w:rPr>
                <w:rStyle w:val="Refdecomentario"/>
                <w:color w:val="FFFFFF" w:themeColor="background1"/>
              </w:rPr>
            </w:pPr>
            <w:r w:rsidRPr="00510A66">
              <w:rPr>
                <w:b/>
                <w:bCs/>
                <w:color w:val="FFFFFF" w:themeColor="background1"/>
                <w:sz w:val="16"/>
                <w:szCs w:val="16"/>
              </w:rPr>
              <w:t>Entidad federativa</w:t>
            </w:r>
          </w:p>
        </w:tc>
        <w:tc>
          <w:tcPr>
            <w:tcW w:w="286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EAADB" w:themeFill="accent5" w:themeFillTint="99"/>
            <w:vAlign w:val="center"/>
          </w:tcPr>
          <w:p w14:paraId="25A537C4" w14:textId="77777777" w:rsidR="00510A66" w:rsidRPr="00510A66" w:rsidRDefault="00510A66" w:rsidP="00E70066">
            <w:pPr>
              <w:tabs>
                <w:tab w:val="decimal" w:pos="526"/>
              </w:tabs>
              <w:jc w:val="center"/>
              <w:rPr>
                <w:color w:val="FFFFFF" w:themeColor="background1"/>
                <w:sz w:val="16"/>
                <w:szCs w:val="16"/>
              </w:rPr>
            </w:pPr>
            <w:r w:rsidRPr="00510A66">
              <w:rPr>
                <w:b/>
                <w:bCs/>
                <w:color w:val="FFFFFF" w:themeColor="background1"/>
                <w:sz w:val="16"/>
                <w:szCs w:val="16"/>
              </w:rPr>
              <w:t>Variación porcentual real respecto a:</w:t>
            </w:r>
          </w:p>
        </w:tc>
        <w:tc>
          <w:tcPr>
            <w:tcW w:w="172" w:type="dxa"/>
            <w:tcBorders>
              <w:left w:val="single" w:sz="4" w:space="0" w:color="F2F2F2" w:themeColor="background1" w:themeShade="F2"/>
              <w:right w:val="single" w:sz="4" w:space="0" w:color="F2F2F2" w:themeColor="background1" w:themeShade="F2"/>
            </w:tcBorders>
            <w:shd w:val="clear" w:color="auto" w:fill="8EAADB" w:themeFill="accent5" w:themeFillTint="99"/>
            <w:vAlign w:val="center"/>
          </w:tcPr>
          <w:p w14:paraId="4E5910C0" w14:textId="77777777" w:rsidR="00510A66" w:rsidRPr="00510A66" w:rsidRDefault="00510A66" w:rsidP="00E70066">
            <w:pPr>
              <w:jc w:val="center"/>
              <w:rPr>
                <w:color w:val="FFFFFF" w:themeColor="background1"/>
                <w:sz w:val="16"/>
                <w:szCs w:val="16"/>
              </w:rPr>
            </w:pPr>
          </w:p>
        </w:tc>
        <w:tc>
          <w:tcPr>
            <w:tcW w:w="2005"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8EAADB" w:themeFill="accent5" w:themeFillTint="99"/>
            <w:noWrap/>
            <w:vAlign w:val="center"/>
          </w:tcPr>
          <w:p w14:paraId="49E47895" w14:textId="77777777" w:rsidR="00510A66" w:rsidRPr="00510A66" w:rsidRDefault="00510A66" w:rsidP="00E70066">
            <w:pPr>
              <w:ind w:left="57" w:right="-38"/>
              <w:jc w:val="center"/>
              <w:rPr>
                <w:color w:val="FFFFFF" w:themeColor="background1"/>
                <w:sz w:val="16"/>
                <w:szCs w:val="16"/>
              </w:rPr>
            </w:pPr>
            <w:r w:rsidRPr="00510A66">
              <w:rPr>
                <w:b/>
                <w:bCs/>
                <w:color w:val="FFFFFF" w:themeColor="background1"/>
                <w:sz w:val="16"/>
                <w:szCs w:val="16"/>
              </w:rPr>
              <w:t>Entidad federativa</w:t>
            </w:r>
          </w:p>
        </w:tc>
        <w:tc>
          <w:tcPr>
            <w:tcW w:w="2866"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8EAADB" w:themeFill="accent5" w:themeFillTint="99"/>
            <w:vAlign w:val="center"/>
          </w:tcPr>
          <w:p w14:paraId="5CF2B602" w14:textId="77777777" w:rsidR="00510A66" w:rsidRPr="00510A66" w:rsidRDefault="00510A66" w:rsidP="00E70066">
            <w:pPr>
              <w:tabs>
                <w:tab w:val="decimal" w:pos="633"/>
              </w:tabs>
              <w:jc w:val="center"/>
              <w:rPr>
                <w:color w:val="FFFFFF" w:themeColor="background1"/>
                <w:sz w:val="16"/>
                <w:szCs w:val="16"/>
              </w:rPr>
            </w:pPr>
            <w:r w:rsidRPr="00510A66">
              <w:rPr>
                <w:b/>
                <w:bCs/>
                <w:color w:val="FFFFFF" w:themeColor="background1"/>
                <w:sz w:val="16"/>
                <w:szCs w:val="16"/>
              </w:rPr>
              <w:t>Variación porcentual real respecto a:</w:t>
            </w:r>
          </w:p>
        </w:tc>
      </w:tr>
      <w:tr w:rsidR="00510A66" w:rsidRPr="00510A66" w14:paraId="55D457A1" w14:textId="77777777" w:rsidTr="005F4A89">
        <w:trPr>
          <w:trHeight w:hRule="exact" w:val="510"/>
          <w:jc w:val="center"/>
        </w:trPr>
        <w:tc>
          <w:tcPr>
            <w:tcW w:w="2062"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80BF9E1" w14:textId="77777777" w:rsidR="00510A66" w:rsidRPr="00510A66" w:rsidRDefault="00510A66" w:rsidP="00E70066">
            <w:pPr>
              <w:ind w:left="57"/>
              <w:rPr>
                <w:rStyle w:val="Refdecomentario"/>
              </w:rPr>
            </w:pP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vAlign w:val="center"/>
          </w:tcPr>
          <w:p w14:paraId="5E7E1E41"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4.° trimestre</w:t>
            </w:r>
          </w:p>
          <w:p w14:paraId="275B8493"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de 2024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noWrap/>
            <w:vAlign w:val="center"/>
          </w:tcPr>
          <w:p w14:paraId="7CF9B086"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1.</w:t>
            </w:r>
            <w:r w:rsidRPr="005F4A89">
              <w:rPr>
                <w:b/>
                <w:bCs/>
                <w:color w:val="FFFFFF" w:themeColor="background1"/>
                <w:sz w:val="16"/>
                <w:szCs w:val="16"/>
                <w:vertAlign w:val="superscript"/>
              </w:rPr>
              <w:t>er</w:t>
            </w:r>
            <w:r w:rsidRPr="005F4A89">
              <w:rPr>
                <w:b/>
                <w:bCs/>
                <w:color w:val="FFFFFF" w:themeColor="background1"/>
                <w:sz w:val="16"/>
                <w:szCs w:val="16"/>
              </w:rPr>
              <w:t xml:space="preserve"> trimestre</w:t>
            </w:r>
          </w:p>
          <w:p w14:paraId="11F5FC91"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de 2024</w:t>
            </w:r>
          </w:p>
        </w:tc>
        <w:tc>
          <w:tcPr>
            <w:tcW w:w="172" w:type="dxa"/>
            <w:tcBorders>
              <w:left w:val="single" w:sz="4" w:space="0" w:color="F2F2F2" w:themeColor="background1" w:themeShade="F2"/>
              <w:right w:val="single" w:sz="4" w:space="0" w:color="F2F2F2" w:themeColor="background1" w:themeShade="F2"/>
            </w:tcBorders>
            <w:vAlign w:val="center"/>
          </w:tcPr>
          <w:p w14:paraId="24E71221" w14:textId="77777777" w:rsidR="00510A66" w:rsidRPr="00510A66" w:rsidRDefault="00510A66" w:rsidP="00E70066">
            <w:pPr>
              <w:jc w:val="center"/>
              <w:rPr>
                <w:color w:val="000000"/>
                <w:sz w:val="16"/>
                <w:szCs w:val="16"/>
              </w:rPr>
            </w:pPr>
          </w:p>
        </w:tc>
        <w:tc>
          <w:tcPr>
            <w:tcW w:w="2005"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4FAF5274" w14:textId="77777777" w:rsidR="00510A66" w:rsidRPr="00510A66" w:rsidRDefault="00510A66" w:rsidP="00E70066">
            <w:pPr>
              <w:ind w:left="57" w:right="-38"/>
              <w:rPr>
                <w:color w:val="000000"/>
                <w:sz w:val="16"/>
                <w:szCs w:val="16"/>
              </w:rPr>
            </w:pP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vAlign w:val="center"/>
          </w:tcPr>
          <w:p w14:paraId="13FB1D83"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4.° trimestre</w:t>
            </w:r>
          </w:p>
          <w:p w14:paraId="23A7D740" w14:textId="77777777" w:rsidR="00510A66" w:rsidRPr="005F4A89" w:rsidRDefault="00510A66" w:rsidP="00E70066">
            <w:pPr>
              <w:tabs>
                <w:tab w:val="decimal" w:pos="633"/>
              </w:tabs>
              <w:jc w:val="center"/>
              <w:rPr>
                <w:color w:val="FFFFFF" w:themeColor="background1"/>
                <w:sz w:val="16"/>
                <w:szCs w:val="16"/>
              </w:rPr>
            </w:pPr>
            <w:r w:rsidRPr="005F4A89">
              <w:rPr>
                <w:b/>
                <w:bCs/>
                <w:color w:val="FFFFFF" w:themeColor="background1"/>
                <w:sz w:val="16"/>
                <w:szCs w:val="16"/>
              </w:rPr>
              <w:t>de 2024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2E74B5" w:themeFill="accent1" w:themeFillShade="BF"/>
            <w:noWrap/>
            <w:vAlign w:val="center"/>
          </w:tcPr>
          <w:p w14:paraId="78F96F9D" w14:textId="77777777" w:rsidR="00510A66" w:rsidRPr="005F4A89" w:rsidRDefault="00510A66" w:rsidP="00E70066">
            <w:pPr>
              <w:jc w:val="center"/>
              <w:rPr>
                <w:b/>
                <w:bCs/>
                <w:color w:val="FFFFFF" w:themeColor="background1"/>
                <w:sz w:val="16"/>
                <w:szCs w:val="16"/>
              </w:rPr>
            </w:pPr>
            <w:r w:rsidRPr="005F4A89">
              <w:rPr>
                <w:b/>
                <w:bCs/>
                <w:color w:val="FFFFFF" w:themeColor="background1"/>
                <w:sz w:val="16"/>
                <w:szCs w:val="16"/>
              </w:rPr>
              <w:t>1.</w:t>
            </w:r>
            <w:r w:rsidRPr="005F4A89">
              <w:rPr>
                <w:b/>
                <w:bCs/>
                <w:color w:val="FFFFFF" w:themeColor="background1"/>
                <w:sz w:val="16"/>
                <w:szCs w:val="16"/>
                <w:vertAlign w:val="superscript"/>
              </w:rPr>
              <w:t>er</w:t>
            </w:r>
            <w:r w:rsidRPr="005F4A89">
              <w:rPr>
                <w:b/>
                <w:bCs/>
                <w:color w:val="FFFFFF" w:themeColor="background1"/>
                <w:sz w:val="16"/>
                <w:szCs w:val="16"/>
              </w:rPr>
              <w:t xml:space="preserve"> trimestre</w:t>
            </w:r>
          </w:p>
          <w:p w14:paraId="143BD12D" w14:textId="77777777" w:rsidR="00510A66" w:rsidRPr="005F4A89" w:rsidRDefault="00510A66" w:rsidP="00E70066">
            <w:pPr>
              <w:tabs>
                <w:tab w:val="decimal" w:pos="633"/>
              </w:tabs>
              <w:jc w:val="center"/>
              <w:rPr>
                <w:color w:val="FFFFFF" w:themeColor="background1"/>
                <w:sz w:val="16"/>
                <w:szCs w:val="16"/>
              </w:rPr>
            </w:pPr>
            <w:r w:rsidRPr="005F4A89">
              <w:rPr>
                <w:b/>
                <w:bCs/>
                <w:color w:val="FFFFFF" w:themeColor="background1"/>
                <w:sz w:val="16"/>
                <w:szCs w:val="16"/>
              </w:rPr>
              <w:t>de 2024</w:t>
            </w:r>
          </w:p>
        </w:tc>
      </w:tr>
      <w:tr w:rsidR="00510A66" w:rsidRPr="00510A66" w14:paraId="7A214287"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4E32A2BD" w14:textId="77777777" w:rsidR="00510A66" w:rsidRPr="00510A66" w:rsidRDefault="00510A66" w:rsidP="00E70066">
            <w:pPr>
              <w:ind w:left="57"/>
              <w:rPr>
                <w:color w:val="000000"/>
                <w:sz w:val="16"/>
                <w:szCs w:val="16"/>
              </w:rPr>
            </w:pPr>
            <w:r w:rsidRPr="00510A66">
              <w:rPr>
                <w:color w:val="000000"/>
                <w:sz w:val="16"/>
                <w:szCs w:val="16"/>
              </w:rPr>
              <w:t>Aguascalientes</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079A120B" w14:textId="77777777" w:rsidR="00510A66" w:rsidRPr="00510A66" w:rsidRDefault="00510A66" w:rsidP="00E70066">
            <w:pPr>
              <w:tabs>
                <w:tab w:val="decimal" w:pos="631"/>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CB2DA42" w14:textId="77777777" w:rsidR="00510A66" w:rsidRPr="00510A66" w:rsidRDefault="00510A66" w:rsidP="00E70066">
            <w:pPr>
              <w:tabs>
                <w:tab w:val="decimal" w:pos="608"/>
              </w:tabs>
              <w:rPr>
                <w:color w:val="000000"/>
                <w:sz w:val="16"/>
                <w:szCs w:val="16"/>
              </w:rPr>
            </w:pPr>
            <w:r w:rsidRPr="00510A66">
              <w:rPr>
                <w:color w:val="000000"/>
                <w:sz w:val="16"/>
                <w:szCs w:val="16"/>
              </w:rPr>
              <w:t>0.9</w:t>
            </w:r>
          </w:p>
        </w:tc>
        <w:tc>
          <w:tcPr>
            <w:tcW w:w="172" w:type="dxa"/>
            <w:tcBorders>
              <w:left w:val="single" w:sz="4" w:space="0" w:color="F2F2F2" w:themeColor="background1" w:themeShade="F2"/>
              <w:right w:val="single" w:sz="4" w:space="0" w:color="F2F2F2" w:themeColor="background1" w:themeShade="F2"/>
            </w:tcBorders>
            <w:vAlign w:val="center"/>
          </w:tcPr>
          <w:p w14:paraId="346BDA89"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8AB9B54" w14:textId="77777777" w:rsidR="00510A66" w:rsidRPr="00510A66" w:rsidRDefault="00510A66" w:rsidP="00E70066">
            <w:pPr>
              <w:ind w:left="57" w:right="-38"/>
              <w:rPr>
                <w:color w:val="000000"/>
                <w:sz w:val="16"/>
                <w:szCs w:val="16"/>
              </w:rPr>
            </w:pPr>
            <w:r w:rsidRPr="00510A66">
              <w:rPr>
                <w:color w:val="000000"/>
                <w:sz w:val="16"/>
                <w:szCs w:val="16"/>
              </w:rPr>
              <w:t>Morelos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A72AC06" w14:textId="77777777" w:rsidR="00510A66" w:rsidRPr="00510A66" w:rsidRDefault="00510A66" w:rsidP="00E70066">
            <w:pPr>
              <w:tabs>
                <w:tab w:val="decimal" w:pos="633"/>
              </w:tabs>
              <w:rPr>
                <w:color w:val="000000"/>
                <w:sz w:val="16"/>
                <w:szCs w:val="16"/>
              </w:rPr>
            </w:pPr>
            <w:r w:rsidRPr="00510A66">
              <w:rPr>
                <w:color w:val="000000"/>
                <w:sz w:val="16"/>
                <w:szCs w:val="16"/>
              </w:rPr>
              <w:t>1.9</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7C3E3918" w14:textId="77777777" w:rsidR="00510A66" w:rsidRPr="00510A66" w:rsidRDefault="00510A66" w:rsidP="00E70066">
            <w:pPr>
              <w:tabs>
                <w:tab w:val="decimal" w:pos="633"/>
              </w:tabs>
              <w:rPr>
                <w:color w:val="000000"/>
                <w:sz w:val="16"/>
                <w:szCs w:val="16"/>
              </w:rPr>
            </w:pPr>
            <w:r w:rsidRPr="00510A66">
              <w:rPr>
                <w:color w:val="000000"/>
                <w:sz w:val="16"/>
                <w:szCs w:val="16"/>
              </w:rPr>
              <w:t>2.1</w:t>
            </w:r>
          </w:p>
        </w:tc>
      </w:tr>
      <w:tr w:rsidR="00510A66" w:rsidRPr="00510A66" w14:paraId="6A026A3B"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69023C23" w14:textId="77777777" w:rsidR="00510A66" w:rsidRPr="00510A66" w:rsidRDefault="00510A66" w:rsidP="00E70066">
            <w:pPr>
              <w:ind w:left="57"/>
              <w:rPr>
                <w:color w:val="000000"/>
                <w:sz w:val="16"/>
                <w:szCs w:val="16"/>
              </w:rPr>
            </w:pPr>
            <w:r w:rsidRPr="00510A66">
              <w:rPr>
                <w:color w:val="000000"/>
                <w:sz w:val="16"/>
                <w:szCs w:val="16"/>
              </w:rPr>
              <w:t>Baja California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15C9F7BD" w14:textId="77777777" w:rsidR="00510A66" w:rsidRPr="00510A66" w:rsidRDefault="00510A66" w:rsidP="00E70066">
            <w:pPr>
              <w:tabs>
                <w:tab w:val="decimal" w:pos="631"/>
              </w:tabs>
              <w:rPr>
                <w:color w:val="000000"/>
                <w:sz w:val="16"/>
                <w:szCs w:val="16"/>
              </w:rPr>
            </w:pPr>
            <w:r w:rsidRPr="00510A66">
              <w:rPr>
                <w:color w:val="000000"/>
                <w:sz w:val="16"/>
                <w:szCs w:val="16"/>
              </w:rPr>
              <w:t>0.8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0031CC28" w14:textId="77777777" w:rsidR="00510A66" w:rsidRPr="00510A66" w:rsidRDefault="00510A66" w:rsidP="00E70066">
            <w:pPr>
              <w:tabs>
                <w:tab w:val="decimal" w:pos="608"/>
              </w:tabs>
              <w:rPr>
                <w:color w:val="000000"/>
                <w:sz w:val="16"/>
                <w:szCs w:val="16"/>
              </w:rPr>
            </w:pPr>
            <w:r w:rsidRPr="00510A66">
              <w:rPr>
                <w:color w:val="000000"/>
                <w:sz w:val="16"/>
                <w:szCs w:val="16"/>
              </w:rPr>
              <w:t>1.2</w:t>
            </w:r>
          </w:p>
        </w:tc>
        <w:tc>
          <w:tcPr>
            <w:tcW w:w="172" w:type="dxa"/>
            <w:tcBorders>
              <w:left w:val="single" w:sz="4" w:space="0" w:color="F2F2F2" w:themeColor="background1" w:themeShade="F2"/>
              <w:right w:val="single" w:sz="4" w:space="0" w:color="F2F2F2" w:themeColor="background1" w:themeShade="F2"/>
            </w:tcBorders>
            <w:vAlign w:val="center"/>
          </w:tcPr>
          <w:p w14:paraId="1171BA61"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307D648" w14:textId="77777777" w:rsidR="00510A66" w:rsidRPr="00510A66" w:rsidRDefault="00510A66" w:rsidP="00E70066">
            <w:pPr>
              <w:ind w:left="57" w:right="-38"/>
              <w:rPr>
                <w:color w:val="000000"/>
                <w:sz w:val="16"/>
                <w:szCs w:val="16"/>
              </w:rPr>
            </w:pPr>
            <w:r w:rsidRPr="00510A66">
              <w:rPr>
                <w:color w:val="000000"/>
                <w:sz w:val="16"/>
                <w:szCs w:val="16"/>
              </w:rPr>
              <w:t>Nayarit</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6EB47575" w14:textId="77777777" w:rsidR="00510A66" w:rsidRPr="00510A66" w:rsidRDefault="00510A66" w:rsidP="00E70066">
            <w:pPr>
              <w:tabs>
                <w:tab w:val="decimal" w:pos="633"/>
              </w:tabs>
              <w:rPr>
                <w:color w:val="000000"/>
                <w:sz w:val="16"/>
                <w:szCs w:val="16"/>
              </w:rPr>
            </w:pPr>
            <w:r w:rsidRPr="00510A66">
              <w:rPr>
                <w:color w:val="000000"/>
                <w:sz w:val="16"/>
                <w:szCs w:val="16"/>
              </w:rPr>
              <w:t>3.3</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1C0AEBBD" w14:textId="77777777" w:rsidR="00510A66" w:rsidRPr="00510A66" w:rsidRDefault="00510A66" w:rsidP="00E70066">
            <w:pPr>
              <w:tabs>
                <w:tab w:val="decimal" w:pos="633"/>
              </w:tabs>
              <w:rPr>
                <w:color w:val="000000"/>
                <w:sz w:val="16"/>
                <w:szCs w:val="16"/>
              </w:rPr>
            </w:pPr>
            <w:r w:rsidRPr="00510A66">
              <w:rPr>
                <w:color w:val="000000"/>
                <w:sz w:val="16"/>
                <w:szCs w:val="16"/>
              </w:rPr>
              <w:t>4.7</w:t>
            </w:r>
          </w:p>
        </w:tc>
      </w:tr>
      <w:tr w:rsidR="00510A66" w:rsidRPr="00510A66" w14:paraId="46203498"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9B23897" w14:textId="77777777" w:rsidR="00510A66" w:rsidRPr="00510A66" w:rsidRDefault="00510A66" w:rsidP="00E70066">
            <w:pPr>
              <w:ind w:left="57"/>
              <w:rPr>
                <w:color w:val="000000"/>
                <w:sz w:val="16"/>
                <w:szCs w:val="16"/>
              </w:rPr>
            </w:pPr>
            <w:r w:rsidRPr="00510A66">
              <w:rPr>
                <w:color w:val="000000"/>
                <w:sz w:val="16"/>
                <w:szCs w:val="16"/>
              </w:rPr>
              <w:t>Baja California Sur</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4531ECEB" w14:textId="77777777" w:rsidR="00510A66" w:rsidRPr="00510A66" w:rsidRDefault="00510A66" w:rsidP="00E70066">
            <w:pPr>
              <w:tabs>
                <w:tab w:val="decimal" w:pos="631"/>
              </w:tabs>
              <w:rPr>
                <w:color w:val="000000"/>
                <w:sz w:val="16"/>
                <w:szCs w:val="16"/>
              </w:rPr>
            </w:pPr>
            <w:r w:rsidRPr="00510A66">
              <w:rPr>
                <w:color w:val="000000"/>
                <w:sz w:val="16"/>
                <w:szCs w:val="16"/>
              </w:rPr>
              <w:t>1.8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75ADB26" w14:textId="77777777" w:rsidR="00510A66" w:rsidRPr="00510A66" w:rsidRDefault="00510A66" w:rsidP="00E70066">
            <w:pPr>
              <w:tabs>
                <w:tab w:val="decimal" w:pos="608"/>
              </w:tabs>
              <w:rPr>
                <w:color w:val="000000"/>
                <w:sz w:val="16"/>
                <w:szCs w:val="16"/>
              </w:rPr>
            </w:pPr>
            <w:r w:rsidRPr="00510A66">
              <w:rPr>
                <w:color w:val="000000"/>
                <w:sz w:val="16"/>
                <w:szCs w:val="16"/>
              </w:rPr>
              <w:t>3.9</w:t>
            </w:r>
          </w:p>
        </w:tc>
        <w:tc>
          <w:tcPr>
            <w:tcW w:w="172" w:type="dxa"/>
            <w:tcBorders>
              <w:left w:val="single" w:sz="4" w:space="0" w:color="F2F2F2" w:themeColor="background1" w:themeShade="F2"/>
              <w:right w:val="single" w:sz="4" w:space="0" w:color="F2F2F2" w:themeColor="background1" w:themeShade="F2"/>
            </w:tcBorders>
            <w:vAlign w:val="center"/>
          </w:tcPr>
          <w:p w14:paraId="63960A3C"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E1379F0" w14:textId="77777777" w:rsidR="00510A66" w:rsidRPr="00510A66" w:rsidRDefault="00510A66" w:rsidP="00E70066">
            <w:pPr>
              <w:ind w:left="57" w:right="-38"/>
              <w:rPr>
                <w:color w:val="000000"/>
                <w:sz w:val="16"/>
                <w:szCs w:val="16"/>
              </w:rPr>
            </w:pPr>
            <w:r w:rsidRPr="00510A66">
              <w:rPr>
                <w:color w:val="000000"/>
                <w:sz w:val="16"/>
                <w:szCs w:val="16"/>
              </w:rPr>
              <w:t>Nuevo León</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C39B35F" w14:textId="77777777" w:rsidR="00510A66" w:rsidRPr="00510A66" w:rsidRDefault="00510A66" w:rsidP="00E70066">
            <w:pPr>
              <w:tabs>
                <w:tab w:val="decimal" w:pos="633"/>
              </w:tabs>
              <w:rPr>
                <w:color w:val="000000"/>
                <w:sz w:val="16"/>
                <w:szCs w:val="16"/>
              </w:rPr>
            </w:pPr>
            <w:r w:rsidRPr="00510A66">
              <w:rPr>
                <w:color w:val="000000"/>
                <w:sz w:val="16"/>
                <w:szCs w:val="16"/>
              </w:rPr>
              <w:t>-1.1</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CA30C6A" w14:textId="77777777" w:rsidR="00510A66" w:rsidRPr="00510A66" w:rsidRDefault="00510A66" w:rsidP="00E70066">
            <w:pPr>
              <w:tabs>
                <w:tab w:val="decimal" w:pos="633"/>
              </w:tabs>
              <w:rPr>
                <w:color w:val="000000"/>
                <w:sz w:val="16"/>
                <w:szCs w:val="16"/>
              </w:rPr>
            </w:pPr>
            <w:r w:rsidRPr="00510A66">
              <w:rPr>
                <w:color w:val="000000"/>
                <w:sz w:val="16"/>
                <w:szCs w:val="16"/>
              </w:rPr>
              <w:t>1.3</w:t>
            </w:r>
          </w:p>
        </w:tc>
      </w:tr>
      <w:tr w:rsidR="00510A66" w:rsidRPr="00510A66" w14:paraId="3B849641"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5C8E8F3F" w14:textId="77777777" w:rsidR="00510A66" w:rsidRPr="00510A66" w:rsidRDefault="00510A66" w:rsidP="00E70066">
            <w:pPr>
              <w:ind w:left="57"/>
              <w:rPr>
                <w:color w:val="000000"/>
                <w:sz w:val="16"/>
                <w:szCs w:val="16"/>
              </w:rPr>
            </w:pPr>
            <w:r w:rsidRPr="00510A66">
              <w:rPr>
                <w:color w:val="000000"/>
                <w:sz w:val="16"/>
                <w:szCs w:val="16"/>
              </w:rPr>
              <w:t>Campeche</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641A5088" w14:textId="77777777" w:rsidR="00510A66" w:rsidRPr="00510A66" w:rsidRDefault="00510A66" w:rsidP="00E70066">
            <w:pPr>
              <w:tabs>
                <w:tab w:val="decimal" w:pos="631"/>
              </w:tabs>
              <w:rPr>
                <w:color w:val="000000"/>
                <w:sz w:val="16"/>
                <w:szCs w:val="16"/>
              </w:rPr>
            </w:pPr>
            <w:r w:rsidRPr="00510A66">
              <w:rPr>
                <w:color w:val="000000"/>
                <w:sz w:val="16"/>
                <w:szCs w:val="16"/>
              </w:rPr>
              <w:t>-6.4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609059C8" w14:textId="77777777" w:rsidR="00510A66" w:rsidRPr="00510A66" w:rsidRDefault="00510A66" w:rsidP="00E70066">
            <w:pPr>
              <w:tabs>
                <w:tab w:val="decimal" w:pos="608"/>
              </w:tabs>
              <w:rPr>
                <w:color w:val="000000"/>
                <w:sz w:val="16"/>
                <w:szCs w:val="16"/>
              </w:rPr>
            </w:pPr>
            <w:r w:rsidRPr="00510A66">
              <w:rPr>
                <w:color w:val="000000"/>
                <w:sz w:val="16"/>
                <w:szCs w:val="16"/>
              </w:rPr>
              <w:t>-16.8</w:t>
            </w:r>
          </w:p>
        </w:tc>
        <w:tc>
          <w:tcPr>
            <w:tcW w:w="172" w:type="dxa"/>
            <w:tcBorders>
              <w:left w:val="single" w:sz="4" w:space="0" w:color="F2F2F2" w:themeColor="background1" w:themeShade="F2"/>
              <w:right w:val="single" w:sz="4" w:space="0" w:color="F2F2F2" w:themeColor="background1" w:themeShade="F2"/>
            </w:tcBorders>
            <w:vAlign w:val="center"/>
          </w:tcPr>
          <w:p w14:paraId="1CD12879"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1F0A6321" w14:textId="77777777" w:rsidR="00510A66" w:rsidRPr="00510A66" w:rsidRDefault="00510A66" w:rsidP="00E70066">
            <w:pPr>
              <w:ind w:left="57" w:right="-38"/>
              <w:rPr>
                <w:color w:val="000000"/>
                <w:sz w:val="16"/>
                <w:szCs w:val="16"/>
              </w:rPr>
            </w:pPr>
            <w:r w:rsidRPr="00510A66">
              <w:rPr>
                <w:color w:val="000000"/>
                <w:sz w:val="16"/>
                <w:szCs w:val="16"/>
              </w:rPr>
              <w:t>Oaxaca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6C89B32A" w14:textId="77777777" w:rsidR="00510A66" w:rsidRPr="00510A66" w:rsidRDefault="00510A66" w:rsidP="00E70066">
            <w:pPr>
              <w:tabs>
                <w:tab w:val="decimal" w:pos="633"/>
              </w:tabs>
              <w:rPr>
                <w:color w:val="000000"/>
                <w:sz w:val="16"/>
                <w:szCs w:val="16"/>
              </w:rPr>
            </w:pPr>
            <w:r w:rsidRPr="00510A66">
              <w:rPr>
                <w:color w:val="000000"/>
                <w:sz w:val="16"/>
                <w:szCs w:val="16"/>
              </w:rPr>
              <w:t>1.6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79AB4BB7" w14:textId="77777777" w:rsidR="00510A66" w:rsidRPr="00510A66" w:rsidRDefault="00510A66" w:rsidP="00E70066">
            <w:pPr>
              <w:tabs>
                <w:tab w:val="decimal" w:pos="633"/>
              </w:tabs>
              <w:rPr>
                <w:color w:val="000000"/>
                <w:sz w:val="16"/>
                <w:szCs w:val="16"/>
              </w:rPr>
            </w:pPr>
            <w:r w:rsidRPr="00510A66">
              <w:rPr>
                <w:color w:val="000000"/>
                <w:sz w:val="16"/>
                <w:szCs w:val="16"/>
              </w:rPr>
              <w:t>5.7</w:t>
            </w:r>
          </w:p>
        </w:tc>
      </w:tr>
      <w:tr w:rsidR="00510A66" w:rsidRPr="00510A66" w14:paraId="4174583A"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8850F4E" w14:textId="77777777" w:rsidR="00510A66" w:rsidRPr="00510A66" w:rsidRDefault="00510A66" w:rsidP="00E70066">
            <w:pPr>
              <w:ind w:left="57"/>
              <w:rPr>
                <w:color w:val="000000"/>
                <w:sz w:val="16"/>
                <w:szCs w:val="16"/>
              </w:rPr>
            </w:pPr>
            <w:r w:rsidRPr="00510A66">
              <w:rPr>
                <w:color w:val="000000"/>
                <w:sz w:val="16"/>
                <w:szCs w:val="16"/>
              </w:rPr>
              <w:t>Coahuila de Zaragoza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53A91F6B" w14:textId="77777777" w:rsidR="00510A66" w:rsidRPr="00510A66" w:rsidRDefault="00510A66" w:rsidP="00E70066">
            <w:pPr>
              <w:tabs>
                <w:tab w:val="decimal" w:pos="631"/>
              </w:tabs>
              <w:rPr>
                <w:color w:val="000000"/>
                <w:sz w:val="16"/>
                <w:szCs w:val="16"/>
              </w:rPr>
            </w:pPr>
            <w:r w:rsidRPr="00510A66">
              <w:rPr>
                <w:color w:val="000000"/>
                <w:sz w:val="16"/>
                <w:szCs w:val="16"/>
              </w:rPr>
              <w:t>-1.4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A271DEC" w14:textId="77777777" w:rsidR="00510A66" w:rsidRPr="00510A66" w:rsidRDefault="00510A66" w:rsidP="00E70066">
            <w:pPr>
              <w:tabs>
                <w:tab w:val="decimal" w:pos="608"/>
              </w:tabs>
              <w:rPr>
                <w:color w:val="000000"/>
                <w:sz w:val="16"/>
                <w:szCs w:val="16"/>
              </w:rPr>
            </w:pPr>
            <w:r w:rsidRPr="00510A66">
              <w:rPr>
                <w:color w:val="000000"/>
                <w:sz w:val="16"/>
                <w:szCs w:val="16"/>
              </w:rPr>
              <w:t>0.7</w:t>
            </w:r>
          </w:p>
        </w:tc>
        <w:tc>
          <w:tcPr>
            <w:tcW w:w="172" w:type="dxa"/>
            <w:tcBorders>
              <w:left w:val="single" w:sz="4" w:space="0" w:color="F2F2F2" w:themeColor="background1" w:themeShade="F2"/>
              <w:right w:val="single" w:sz="4" w:space="0" w:color="F2F2F2" w:themeColor="background1" w:themeShade="F2"/>
            </w:tcBorders>
            <w:vAlign w:val="center"/>
          </w:tcPr>
          <w:p w14:paraId="69B3963D"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9978225" w14:textId="77777777" w:rsidR="00510A66" w:rsidRPr="00510A66" w:rsidRDefault="00510A66" w:rsidP="00E70066">
            <w:pPr>
              <w:ind w:left="57" w:right="-38"/>
              <w:rPr>
                <w:color w:val="000000"/>
                <w:sz w:val="16"/>
                <w:szCs w:val="16"/>
              </w:rPr>
            </w:pPr>
            <w:r w:rsidRPr="00510A66">
              <w:rPr>
                <w:color w:val="000000"/>
                <w:sz w:val="16"/>
                <w:szCs w:val="16"/>
              </w:rPr>
              <w:t>Puebla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4689311" w14:textId="77777777" w:rsidR="00510A66" w:rsidRPr="00510A66" w:rsidRDefault="00510A66" w:rsidP="00E70066">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ADED3E9" w14:textId="77777777" w:rsidR="00510A66" w:rsidRPr="00510A66" w:rsidRDefault="00510A66" w:rsidP="00E70066">
            <w:pPr>
              <w:tabs>
                <w:tab w:val="decimal" w:pos="633"/>
              </w:tabs>
              <w:rPr>
                <w:color w:val="000000"/>
                <w:sz w:val="16"/>
                <w:szCs w:val="16"/>
              </w:rPr>
            </w:pPr>
            <w:r w:rsidRPr="00510A66">
              <w:rPr>
                <w:color w:val="000000"/>
                <w:sz w:val="16"/>
                <w:szCs w:val="16"/>
              </w:rPr>
              <w:t>-0.7</w:t>
            </w:r>
          </w:p>
        </w:tc>
      </w:tr>
      <w:tr w:rsidR="00510A66" w:rsidRPr="00510A66" w14:paraId="3FCC4B5E"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276986F5" w14:textId="77777777" w:rsidR="00510A66" w:rsidRPr="00510A66" w:rsidRDefault="00510A66" w:rsidP="00E70066">
            <w:pPr>
              <w:ind w:left="57"/>
              <w:rPr>
                <w:color w:val="000000"/>
                <w:sz w:val="16"/>
                <w:szCs w:val="16"/>
              </w:rPr>
            </w:pPr>
            <w:r w:rsidRPr="00510A66">
              <w:rPr>
                <w:color w:val="000000"/>
                <w:sz w:val="16"/>
                <w:szCs w:val="16"/>
              </w:rPr>
              <w:t>Colima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166B2F56" w14:textId="77777777" w:rsidR="00510A66" w:rsidRPr="00510A66" w:rsidRDefault="00510A66" w:rsidP="00E70066">
            <w:pPr>
              <w:tabs>
                <w:tab w:val="decimal" w:pos="631"/>
              </w:tabs>
              <w:rPr>
                <w:color w:val="000000"/>
                <w:sz w:val="16"/>
                <w:szCs w:val="16"/>
              </w:rPr>
            </w:pPr>
            <w:r w:rsidRPr="00510A66">
              <w:rPr>
                <w:color w:val="000000"/>
                <w:sz w:val="16"/>
                <w:szCs w:val="16"/>
              </w:rPr>
              <w:t>1.6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2903B0EA" w14:textId="77777777" w:rsidR="00510A66" w:rsidRPr="00510A66" w:rsidRDefault="00510A66" w:rsidP="00E70066">
            <w:pPr>
              <w:tabs>
                <w:tab w:val="decimal" w:pos="608"/>
              </w:tabs>
              <w:rPr>
                <w:color w:val="000000"/>
                <w:sz w:val="16"/>
                <w:szCs w:val="16"/>
              </w:rPr>
            </w:pPr>
            <w:r w:rsidRPr="00510A66">
              <w:rPr>
                <w:color w:val="000000"/>
                <w:sz w:val="16"/>
                <w:szCs w:val="16"/>
              </w:rPr>
              <w:t>2.6</w:t>
            </w:r>
          </w:p>
        </w:tc>
        <w:tc>
          <w:tcPr>
            <w:tcW w:w="172" w:type="dxa"/>
            <w:tcBorders>
              <w:left w:val="single" w:sz="4" w:space="0" w:color="F2F2F2" w:themeColor="background1" w:themeShade="F2"/>
              <w:right w:val="single" w:sz="4" w:space="0" w:color="F2F2F2" w:themeColor="background1" w:themeShade="F2"/>
            </w:tcBorders>
            <w:vAlign w:val="center"/>
          </w:tcPr>
          <w:p w14:paraId="0DA6BD1B"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0B15BD8" w14:textId="77777777" w:rsidR="00510A66" w:rsidRPr="00510A66" w:rsidRDefault="00510A66" w:rsidP="00E70066">
            <w:pPr>
              <w:ind w:left="57" w:right="-38"/>
              <w:rPr>
                <w:color w:val="000000"/>
                <w:sz w:val="16"/>
                <w:szCs w:val="16"/>
              </w:rPr>
            </w:pPr>
            <w:r w:rsidRPr="00510A66">
              <w:rPr>
                <w:color w:val="000000"/>
                <w:sz w:val="16"/>
                <w:szCs w:val="16"/>
              </w:rPr>
              <w:t>Querétaro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3F1D5FA9" w14:textId="77777777" w:rsidR="00510A66" w:rsidRPr="00510A66" w:rsidRDefault="00510A66" w:rsidP="00E70066">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4EBA957" w14:textId="77777777" w:rsidR="00510A66" w:rsidRPr="00510A66" w:rsidRDefault="00510A66" w:rsidP="00E70066">
            <w:pPr>
              <w:tabs>
                <w:tab w:val="decimal" w:pos="633"/>
              </w:tabs>
              <w:rPr>
                <w:color w:val="000000"/>
                <w:sz w:val="16"/>
                <w:szCs w:val="16"/>
              </w:rPr>
            </w:pPr>
            <w:r w:rsidRPr="00510A66">
              <w:rPr>
                <w:color w:val="000000"/>
                <w:sz w:val="16"/>
                <w:szCs w:val="16"/>
              </w:rPr>
              <w:t>0.6</w:t>
            </w:r>
          </w:p>
        </w:tc>
      </w:tr>
      <w:tr w:rsidR="00510A66" w:rsidRPr="00510A66" w14:paraId="1E6D863D"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B742A0B" w14:textId="77777777" w:rsidR="00510A66" w:rsidRPr="00510A66" w:rsidRDefault="00510A66" w:rsidP="00E70066">
            <w:pPr>
              <w:ind w:left="57"/>
              <w:rPr>
                <w:color w:val="000000"/>
                <w:sz w:val="16"/>
                <w:szCs w:val="16"/>
              </w:rPr>
            </w:pPr>
            <w:r w:rsidRPr="00510A66">
              <w:rPr>
                <w:color w:val="000000"/>
                <w:sz w:val="16"/>
                <w:szCs w:val="16"/>
              </w:rPr>
              <w:t>Chiapas</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527DBA1E" w14:textId="77777777" w:rsidR="00510A66" w:rsidRPr="00510A66" w:rsidRDefault="00510A66" w:rsidP="00E70066">
            <w:pPr>
              <w:tabs>
                <w:tab w:val="decimal" w:pos="631"/>
              </w:tabs>
              <w:rPr>
                <w:color w:val="000000"/>
                <w:sz w:val="16"/>
                <w:szCs w:val="16"/>
              </w:rPr>
            </w:pPr>
            <w:r w:rsidRPr="00510A66">
              <w:rPr>
                <w:color w:val="000000"/>
                <w:sz w:val="16"/>
                <w:szCs w:val="16"/>
              </w:rPr>
              <w:t>-1.2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C59EDBC" w14:textId="77777777" w:rsidR="00510A66" w:rsidRPr="00510A66" w:rsidRDefault="00510A66" w:rsidP="00E70066">
            <w:pPr>
              <w:tabs>
                <w:tab w:val="decimal" w:pos="608"/>
              </w:tabs>
              <w:rPr>
                <w:color w:val="000000"/>
                <w:sz w:val="16"/>
                <w:szCs w:val="16"/>
              </w:rPr>
            </w:pPr>
            <w:r w:rsidRPr="00510A66">
              <w:rPr>
                <w:color w:val="000000"/>
                <w:sz w:val="16"/>
                <w:szCs w:val="16"/>
              </w:rPr>
              <w:t>0.0</w:t>
            </w:r>
          </w:p>
        </w:tc>
        <w:tc>
          <w:tcPr>
            <w:tcW w:w="172" w:type="dxa"/>
            <w:tcBorders>
              <w:left w:val="single" w:sz="4" w:space="0" w:color="F2F2F2" w:themeColor="background1" w:themeShade="F2"/>
              <w:right w:val="single" w:sz="4" w:space="0" w:color="F2F2F2" w:themeColor="background1" w:themeShade="F2"/>
            </w:tcBorders>
            <w:vAlign w:val="center"/>
          </w:tcPr>
          <w:p w14:paraId="61022128"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9BEEFE6" w14:textId="77777777" w:rsidR="00510A66" w:rsidRPr="00510A66" w:rsidRDefault="00510A66" w:rsidP="00E70066">
            <w:pPr>
              <w:ind w:left="57" w:right="-38"/>
              <w:rPr>
                <w:color w:val="000000"/>
                <w:sz w:val="16"/>
                <w:szCs w:val="16"/>
              </w:rPr>
            </w:pPr>
            <w:r w:rsidRPr="00510A66">
              <w:rPr>
                <w:color w:val="000000"/>
                <w:sz w:val="16"/>
                <w:szCs w:val="16"/>
              </w:rPr>
              <w:t>Quintana Roo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D060168" w14:textId="77777777" w:rsidR="00510A66" w:rsidRPr="00510A66" w:rsidRDefault="00510A66" w:rsidP="00E70066">
            <w:pPr>
              <w:tabs>
                <w:tab w:val="decimal" w:pos="633"/>
              </w:tabs>
              <w:rPr>
                <w:color w:val="000000"/>
                <w:sz w:val="16"/>
                <w:szCs w:val="16"/>
              </w:rPr>
            </w:pPr>
            <w:r w:rsidRPr="00510A66">
              <w:rPr>
                <w:color w:val="000000"/>
                <w:sz w:val="16"/>
                <w:szCs w:val="16"/>
              </w:rPr>
              <w:t>-4.2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A70A4C3" w14:textId="77777777" w:rsidR="00510A66" w:rsidRPr="00510A66" w:rsidRDefault="00510A66" w:rsidP="00E70066">
            <w:pPr>
              <w:tabs>
                <w:tab w:val="decimal" w:pos="633"/>
              </w:tabs>
              <w:rPr>
                <w:color w:val="000000"/>
                <w:sz w:val="16"/>
                <w:szCs w:val="16"/>
              </w:rPr>
            </w:pPr>
            <w:r w:rsidRPr="00510A66">
              <w:rPr>
                <w:color w:val="000000"/>
                <w:sz w:val="16"/>
                <w:szCs w:val="16"/>
              </w:rPr>
              <w:t>-9.2</w:t>
            </w:r>
          </w:p>
        </w:tc>
      </w:tr>
      <w:tr w:rsidR="00510A66" w:rsidRPr="00510A66" w14:paraId="6500B964"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6AC38AE1" w14:textId="77777777" w:rsidR="00510A66" w:rsidRPr="00510A66" w:rsidRDefault="00510A66" w:rsidP="00E70066">
            <w:pPr>
              <w:ind w:left="57"/>
              <w:rPr>
                <w:color w:val="000000"/>
                <w:sz w:val="16"/>
                <w:szCs w:val="16"/>
              </w:rPr>
            </w:pPr>
            <w:r w:rsidRPr="00510A66">
              <w:rPr>
                <w:color w:val="000000"/>
                <w:sz w:val="16"/>
                <w:szCs w:val="16"/>
              </w:rPr>
              <w:t>Chihuahua</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6AB3C6D5" w14:textId="77777777" w:rsidR="00510A66" w:rsidRPr="00510A66" w:rsidRDefault="00510A66" w:rsidP="00E70066">
            <w:pPr>
              <w:tabs>
                <w:tab w:val="decimal" w:pos="631"/>
              </w:tabs>
              <w:rPr>
                <w:color w:val="000000"/>
                <w:sz w:val="16"/>
                <w:szCs w:val="16"/>
              </w:rPr>
            </w:pPr>
            <w:r w:rsidRPr="00510A66">
              <w:rPr>
                <w:color w:val="000000"/>
                <w:sz w:val="16"/>
                <w:szCs w:val="16"/>
              </w:rPr>
              <w:t>-0.9</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0DDFC534" w14:textId="77777777" w:rsidR="00510A66" w:rsidRPr="00510A66" w:rsidRDefault="00510A66" w:rsidP="00E70066">
            <w:pPr>
              <w:tabs>
                <w:tab w:val="decimal" w:pos="608"/>
              </w:tabs>
              <w:rPr>
                <w:color w:val="000000"/>
                <w:sz w:val="16"/>
                <w:szCs w:val="16"/>
              </w:rPr>
            </w:pPr>
            <w:r w:rsidRPr="00510A66">
              <w:rPr>
                <w:color w:val="000000"/>
                <w:sz w:val="16"/>
                <w:szCs w:val="16"/>
              </w:rPr>
              <w:t>-1.3</w:t>
            </w:r>
          </w:p>
        </w:tc>
        <w:tc>
          <w:tcPr>
            <w:tcW w:w="172" w:type="dxa"/>
            <w:tcBorders>
              <w:left w:val="single" w:sz="4" w:space="0" w:color="F2F2F2" w:themeColor="background1" w:themeShade="F2"/>
              <w:right w:val="single" w:sz="4" w:space="0" w:color="F2F2F2" w:themeColor="background1" w:themeShade="F2"/>
            </w:tcBorders>
            <w:vAlign w:val="center"/>
          </w:tcPr>
          <w:p w14:paraId="5C9D1DFA"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1293E19B" w14:textId="77777777" w:rsidR="00510A66" w:rsidRPr="00510A66" w:rsidRDefault="00510A66" w:rsidP="00E70066">
            <w:pPr>
              <w:ind w:left="57" w:right="-38"/>
              <w:rPr>
                <w:color w:val="000000"/>
                <w:sz w:val="16"/>
                <w:szCs w:val="16"/>
              </w:rPr>
            </w:pPr>
            <w:r w:rsidRPr="00510A66">
              <w:rPr>
                <w:color w:val="000000"/>
                <w:sz w:val="16"/>
                <w:szCs w:val="16"/>
              </w:rPr>
              <w:t>San Luis Potosí</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4E42AC5B" w14:textId="77777777" w:rsidR="00510A66" w:rsidRPr="00510A66" w:rsidRDefault="00510A66" w:rsidP="00E70066">
            <w:pPr>
              <w:tabs>
                <w:tab w:val="decimal" w:pos="633"/>
              </w:tabs>
              <w:rPr>
                <w:color w:val="000000"/>
                <w:sz w:val="16"/>
                <w:szCs w:val="16"/>
              </w:rPr>
            </w:pPr>
            <w:r w:rsidRPr="00510A66">
              <w:rPr>
                <w:color w:val="000000"/>
                <w:sz w:val="16"/>
                <w:szCs w:val="16"/>
              </w:rPr>
              <w:t>2.3</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EDB0FF9" w14:textId="77777777" w:rsidR="00510A66" w:rsidRPr="00510A66" w:rsidRDefault="00510A66" w:rsidP="00E70066">
            <w:pPr>
              <w:tabs>
                <w:tab w:val="decimal" w:pos="633"/>
              </w:tabs>
              <w:rPr>
                <w:color w:val="000000"/>
                <w:sz w:val="16"/>
                <w:szCs w:val="16"/>
              </w:rPr>
            </w:pPr>
            <w:r w:rsidRPr="00510A66">
              <w:rPr>
                <w:color w:val="000000"/>
                <w:sz w:val="16"/>
                <w:szCs w:val="16"/>
              </w:rPr>
              <w:t>2.3</w:t>
            </w:r>
          </w:p>
        </w:tc>
      </w:tr>
      <w:tr w:rsidR="00510A66" w:rsidRPr="00510A66" w14:paraId="2A1FDCC6"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7D52DEF" w14:textId="77777777" w:rsidR="00510A66" w:rsidRPr="00510A66" w:rsidRDefault="00510A66" w:rsidP="00E70066">
            <w:pPr>
              <w:ind w:left="57"/>
              <w:rPr>
                <w:color w:val="000000"/>
                <w:sz w:val="16"/>
                <w:szCs w:val="16"/>
              </w:rPr>
            </w:pPr>
            <w:r w:rsidRPr="00510A66">
              <w:rPr>
                <w:color w:val="000000"/>
                <w:sz w:val="16"/>
                <w:szCs w:val="16"/>
              </w:rPr>
              <w:t>Ciudad de México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hideMark/>
          </w:tcPr>
          <w:p w14:paraId="78500648" w14:textId="77777777" w:rsidR="00510A66" w:rsidRPr="00510A66" w:rsidRDefault="00510A66" w:rsidP="00E70066">
            <w:pPr>
              <w:tabs>
                <w:tab w:val="decimal" w:pos="631"/>
              </w:tabs>
              <w:rPr>
                <w:color w:val="000000"/>
                <w:sz w:val="16"/>
                <w:szCs w:val="16"/>
              </w:rPr>
            </w:pPr>
            <w:r w:rsidRPr="00510A66">
              <w:rPr>
                <w:color w:val="000000"/>
                <w:sz w:val="16"/>
                <w:szCs w:val="16"/>
              </w:rPr>
              <w:t>-0.4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10DFDE8" w14:textId="77777777" w:rsidR="00510A66" w:rsidRPr="00510A66" w:rsidRDefault="00510A66" w:rsidP="00E70066">
            <w:pPr>
              <w:tabs>
                <w:tab w:val="decimal" w:pos="608"/>
              </w:tabs>
              <w:rPr>
                <w:color w:val="000000"/>
                <w:sz w:val="16"/>
                <w:szCs w:val="16"/>
              </w:rPr>
            </w:pPr>
            <w:r w:rsidRPr="00510A66">
              <w:rPr>
                <w:color w:val="000000"/>
                <w:sz w:val="16"/>
                <w:szCs w:val="16"/>
              </w:rPr>
              <w:t>1.5</w:t>
            </w:r>
          </w:p>
        </w:tc>
        <w:tc>
          <w:tcPr>
            <w:tcW w:w="172" w:type="dxa"/>
            <w:tcBorders>
              <w:left w:val="single" w:sz="4" w:space="0" w:color="F2F2F2" w:themeColor="background1" w:themeShade="F2"/>
              <w:right w:val="single" w:sz="4" w:space="0" w:color="F2F2F2" w:themeColor="background1" w:themeShade="F2"/>
            </w:tcBorders>
            <w:vAlign w:val="center"/>
          </w:tcPr>
          <w:p w14:paraId="00D2699A"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329F4E4" w14:textId="77777777" w:rsidR="00510A66" w:rsidRPr="00510A66" w:rsidRDefault="00510A66" w:rsidP="00E70066">
            <w:pPr>
              <w:ind w:left="57" w:right="-38"/>
              <w:rPr>
                <w:color w:val="000000"/>
                <w:sz w:val="16"/>
                <w:szCs w:val="16"/>
              </w:rPr>
            </w:pPr>
            <w:r w:rsidRPr="00510A66">
              <w:rPr>
                <w:color w:val="000000"/>
                <w:sz w:val="16"/>
                <w:szCs w:val="16"/>
              </w:rPr>
              <w:t>Sinaloa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BA48E4C" w14:textId="77777777" w:rsidR="00510A66" w:rsidRPr="00510A66" w:rsidRDefault="00510A66" w:rsidP="00E70066">
            <w:pPr>
              <w:tabs>
                <w:tab w:val="decimal" w:pos="633"/>
              </w:tabs>
              <w:rPr>
                <w:color w:val="000000"/>
                <w:sz w:val="16"/>
                <w:szCs w:val="16"/>
              </w:rPr>
            </w:pPr>
            <w:r w:rsidRPr="00510A66">
              <w:rPr>
                <w:color w:val="000000"/>
                <w:sz w:val="16"/>
                <w:szCs w:val="16"/>
              </w:rPr>
              <w:t>7.0</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12F3B2D2" w14:textId="77777777" w:rsidR="00510A66" w:rsidRPr="00510A66" w:rsidRDefault="00510A66" w:rsidP="00E70066">
            <w:pPr>
              <w:tabs>
                <w:tab w:val="decimal" w:pos="633"/>
              </w:tabs>
              <w:rPr>
                <w:color w:val="000000"/>
                <w:sz w:val="16"/>
                <w:szCs w:val="16"/>
              </w:rPr>
            </w:pPr>
            <w:r w:rsidRPr="00510A66">
              <w:rPr>
                <w:color w:val="000000"/>
                <w:sz w:val="16"/>
                <w:szCs w:val="16"/>
              </w:rPr>
              <w:t>2.0</w:t>
            </w:r>
          </w:p>
        </w:tc>
      </w:tr>
      <w:tr w:rsidR="00510A66" w:rsidRPr="00510A66" w14:paraId="75C199E9"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236555C9" w14:textId="77777777" w:rsidR="00510A66" w:rsidRPr="00510A66" w:rsidRDefault="00510A66" w:rsidP="00E70066">
            <w:pPr>
              <w:ind w:left="57"/>
              <w:rPr>
                <w:color w:val="000000"/>
                <w:sz w:val="16"/>
                <w:szCs w:val="16"/>
              </w:rPr>
            </w:pPr>
            <w:r w:rsidRPr="00510A66">
              <w:rPr>
                <w:color w:val="000000"/>
                <w:sz w:val="16"/>
                <w:szCs w:val="16"/>
              </w:rPr>
              <w:t>Durango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hideMark/>
          </w:tcPr>
          <w:p w14:paraId="0198C48C" w14:textId="77777777" w:rsidR="00510A66" w:rsidRPr="00510A66" w:rsidRDefault="00510A66" w:rsidP="00E70066">
            <w:pPr>
              <w:tabs>
                <w:tab w:val="decimal" w:pos="631"/>
              </w:tabs>
              <w:rPr>
                <w:color w:val="000000"/>
                <w:sz w:val="16"/>
                <w:szCs w:val="16"/>
              </w:rPr>
            </w:pPr>
            <w:r w:rsidRPr="00510A66">
              <w:rPr>
                <w:color w:val="000000"/>
                <w:sz w:val="16"/>
                <w:szCs w:val="16"/>
              </w:rPr>
              <w:t>1.2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hideMark/>
          </w:tcPr>
          <w:p w14:paraId="5CB8D363" w14:textId="77777777" w:rsidR="00510A66" w:rsidRPr="00510A66" w:rsidRDefault="00510A66" w:rsidP="00E70066">
            <w:pPr>
              <w:tabs>
                <w:tab w:val="decimal" w:pos="608"/>
              </w:tabs>
              <w:rPr>
                <w:color w:val="000000"/>
                <w:sz w:val="16"/>
                <w:szCs w:val="16"/>
              </w:rPr>
            </w:pPr>
            <w:r w:rsidRPr="00510A66">
              <w:rPr>
                <w:color w:val="000000"/>
                <w:sz w:val="16"/>
                <w:szCs w:val="16"/>
              </w:rPr>
              <w:t>-0.4</w:t>
            </w:r>
          </w:p>
        </w:tc>
        <w:tc>
          <w:tcPr>
            <w:tcW w:w="172" w:type="dxa"/>
            <w:tcBorders>
              <w:left w:val="single" w:sz="4" w:space="0" w:color="F2F2F2" w:themeColor="background1" w:themeShade="F2"/>
              <w:right w:val="single" w:sz="4" w:space="0" w:color="F2F2F2" w:themeColor="background1" w:themeShade="F2"/>
            </w:tcBorders>
            <w:vAlign w:val="center"/>
          </w:tcPr>
          <w:p w14:paraId="399258B7"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3E6246B6" w14:textId="77777777" w:rsidR="00510A66" w:rsidRPr="00510A66" w:rsidRDefault="00510A66" w:rsidP="00E70066">
            <w:pPr>
              <w:ind w:left="57" w:right="-38"/>
              <w:rPr>
                <w:color w:val="000000"/>
                <w:sz w:val="16"/>
                <w:szCs w:val="16"/>
              </w:rPr>
            </w:pPr>
            <w:r w:rsidRPr="00510A66">
              <w:rPr>
                <w:color w:val="000000"/>
                <w:sz w:val="16"/>
                <w:szCs w:val="16"/>
              </w:rPr>
              <w:t>Sonora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5B3F92FA" w14:textId="77777777" w:rsidR="00510A66" w:rsidRPr="00510A66" w:rsidRDefault="00510A66" w:rsidP="00E70066">
            <w:pPr>
              <w:tabs>
                <w:tab w:val="decimal" w:pos="633"/>
              </w:tabs>
              <w:rPr>
                <w:color w:val="000000"/>
                <w:sz w:val="16"/>
                <w:szCs w:val="16"/>
              </w:rPr>
            </w:pPr>
            <w:r w:rsidRPr="00510A66">
              <w:rPr>
                <w:color w:val="000000"/>
                <w:sz w:val="16"/>
                <w:szCs w:val="16"/>
              </w:rPr>
              <w:t>0.2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30F65903" w14:textId="77777777" w:rsidR="00510A66" w:rsidRPr="00510A66" w:rsidRDefault="00510A66" w:rsidP="00E70066">
            <w:pPr>
              <w:tabs>
                <w:tab w:val="decimal" w:pos="633"/>
              </w:tabs>
              <w:rPr>
                <w:color w:val="000000"/>
                <w:sz w:val="16"/>
                <w:szCs w:val="16"/>
              </w:rPr>
            </w:pPr>
            <w:r w:rsidRPr="00510A66">
              <w:rPr>
                <w:color w:val="000000"/>
                <w:sz w:val="16"/>
                <w:szCs w:val="16"/>
              </w:rPr>
              <w:t>0.4</w:t>
            </w:r>
          </w:p>
        </w:tc>
      </w:tr>
      <w:tr w:rsidR="00510A66" w:rsidRPr="00510A66" w14:paraId="47711EE4"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1F3A66F9" w14:textId="77777777" w:rsidR="00510A66" w:rsidRPr="00510A66" w:rsidRDefault="00510A66" w:rsidP="00E70066">
            <w:pPr>
              <w:ind w:left="57"/>
              <w:rPr>
                <w:color w:val="000000"/>
                <w:sz w:val="16"/>
                <w:szCs w:val="16"/>
              </w:rPr>
            </w:pPr>
            <w:r w:rsidRPr="00510A66">
              <w:rPr>
                <w:color w:val="000000"/>
                <w:sz w:val="16"/>
                <w:szCs w:val="16"/>
              </w:rPr>
              <w:t>Guanajuato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vAlign w:val="center"/>
          </w:tcPr>
          <w:p w14:paraId="1E8D2484" w14:textId="77777777" w:rsidR="00510A66" w:rsidRPr="00510A66" w:rsidRDefault="00510A66" w:rsidP="00E70066">
            <w:pPr>
              <w:tabs>
                <w:tab w:val="decimal" w:pos="631"/>
              </w:tabs>
              <w:rPr>
                <w:color w:val="000000"/>
                <w:sz w:val="16"/>
                <w:szCs w:val="16"/>
              </w:rPr>
            </w:pPr>
            <w:r w:rsidRPr="00510A66">
              <w:rPr>
                <w:color w:val="000000"/>
                <w:sz w:val="16"/>
                <w:szCs w:val="16"/>
              </w:rPr>
              <w:t>-1.5</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noWrap/>
            <w:vAlign w:val="center"/>
          </w:tcPr>
          <w:p w14:paraId="27BEAF6D" w14:textId="77777777" w:rsidR="00510A66" w:rsidRPr="00510A66" w:rsidRDefault="00510A66" w:rsidP="00E70066">
            <w:pPr>
              <w:tabs>
                <w:tab w:val="decimal" w:pos="608"/>
              </w:tabs>
              <w:rPr>
                <w:color w:val="000000"/>
                <w:sz w:val="16"/>
                <w:szCs w:val="16"/>
              </w:rPr>
            </w:pPr>
            <w:r w:rsidRPr="00510A66">
              <w:rPr>
                <w:color w:val="000000"/>
                <w:sz w:val="16"/>
                <w:szCs w:val="16"/>
              </w:rPr>
              <w:t>2.2</w:t>
            </w:r>
          </w:p>
        </w:tc>
        <w:tc>
          <w:tcPr>
            <w:tcW w:w="172" w:type="dxa"/>
            <w:tcBorders>
              <w:left w:val="single" w:sz="4" w:space="0" w:color="F2F2F2" w:themeColor="background1" w:themeShade="F2"/>
              <w:right w:val="single" w:sz="4" w:space="0" w:color="F2F2F2" w:themeColor="background1" w:themeShade="F2"/>
            </w:tcBorders>
            <w:vAlign w:val="center"/>
          </w:tcPr>
          <w:p w14:paraId="595CA969"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2DBFF8E" w14:textId="77777777" w:rsidR="00510A66" w:rsidRPr="00510A66" w:rsidRDefault="00510A66" w:rsidP="00E70066">
            <w:pPr>
              <w:ind w:left="57" w:right="-38"/>
              <w:rPr>
                <w:color w:val="000000"/>
                <w:sz w:val="16"/>
                <w:szCs w:val="16"/>
              </w:rPr>
            </w:pPr>
            <w:r w:rsidRPr="00510A66">
              <w:rPr>
                <w:color w:val="000000"/>
                <w:sz w:val="16"/>
                <w:szCs w:val="16"/>
              </w:rPr>
              <w:t>Tabasco</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CE7BF54" w14:textId="77777777" w:rsidR="00510A66" w:rsidRPr="00510A66" w:rsidRDefault="00510A66" w:rsidP="00E70066">
            <w:pPr>
              <w:tabs>
                <w:tab w:val="decimal" w:pos="633"/>
              </w:tabs>
              <w:rPr>
                <w:color w:val="000000"/>
                <w:sz w:val="16"/>
                <w:szCs w:val="16"/>
              </w:rPr>
            </w:pPr>
            <w:r w:rsidRPr="00510A66">
              <w:rPr>
                <w:color w:val="000000"/>
                <w:sz w:val="16"/>
                <w:szCs w:val="16"/>
              </w:rPr>
              <w:t>-2.7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41A3E410" w14:textId="77777777" w:rsidR="00510A66" w:rsidRPr="00510A66" w:rsidRDefault="00510A66" w:rsidP="00E70066">
            <w:pPr>
              <w:tabs>
                <w:tab w:val="decimal" w:pos="633"/>
              </w:tabs>
              <w:rPr>
                <w:color w:val="000000"/>
                <w:sz w:val="16"/>
                <w:szCs w:val="16"/>
              </w:rPr>
            </w:pPr>
            <w:r w:rsidRPr="00510A66">
              <w:rPr>
                <w:color w:val="000000"/>
                <w:sz w:val="16"/>
                <w:szCs w:val="16"/>
              </w:rPr>
              <w:t>-12.3</w:t>
            </w:r>
          </w:p>
        </w:tc>
      </w:tr>
      <w:tr w:rsidR="00510A66" w:rsidRPr="00510A66" w14:paraId="267C5CDE"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9BAEBF1" w14:textId="77777777" w:rsidR="00510A66" w:rsidRPr="00510A66" w:rsidRDefault="00510A66" w:rsidP="00E70066">
            <w:pPr>
              <w:ind w:left="57"/>
              <w:rPr>
                <w:color w:val="000000"/>
                <w:sz w:val="16"/>
                <w:szCs w:val="16"/>
              </w:rPr>
            </w:pPr>
            <w:r w:rsidRPr="00510A66">
              <w:rPr>
                <w:color w:val="000000"/>
                <w:sz w:val="16"/>
                <w:szCs w:val="16"/>
              </w:rPr>
              <w:t>Guerrero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72FA5197" w14:textId="77777777" w:rsidR="00510A66" w:rsidRPr="00510A66" w:rsidRDefault="00510A66" w:rsidP="00E70066">
            <w:pPr>
              <w:tabs>
                <w:tab w:val="decimal" w:pos="631"/>
              </w:tabs>
              <w:rPr>
                <w:color w:val="000000"/>
                <w:sz w:val="16"/>
                <w:szCs w:val="16"/>
              </w:rPr>
            </w:pPr>
            <w:r w:rsidRPr="00510A66">
              <w:rPr>
                <w:color w:val="000000"/>
                <w:sz w:val="16"/>
                <w:szCs w:val="16"/>
              </w:rPr>
              <w:t>2.4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8191448" w14:textId="77777777" w:rsidR="00510A66" w:rsidRPr="00510A66" w:rsidRDefault="00510A66" w:rsidP="00E70066">
            <w:pPr>
              <w:tabs>
                <w:tab w:val="decimal" w:pos="608"/>
              </w:tabs>
              <w:rPr>
                <w:color w:val="000000"/>
                <w:sz w:val="16"/>
                <w:szCs w:val="16"/>
              </w:rPr>
            </w:pPr>
            <w:r w:rsidRPr="00510A66">
              <w:rPr>
                <w:color w:val="000000"/>
                <w:sz w:val="16"/>
                <w:szCs w:val="16"/>
              </w:rPr>
              <w:t>8.0</w:t>
            </w:r>
          </w:p>
        </w:tc>
        <w:tc>
          <w:tcPr>
            <w:tcW w:w="172" w:type="dxa"/>
            <w:tcBorders>
              <w:left w:val="single" w:sz="4" w:space="0" w:color="F2F2F2" w:themeColor="background1" w:themeShade="F2"/>
              <w:right w:val="single" w:sz="4" w:space="0" w:color="F2F2F2" w:themeColor="background1" w:themeShade="F2"/>
            </w:tcBorders>
            <w:vAlign w:val="center"/>
          </w:tcPr>
          <w:p w14:paraId="452BBC89"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39ECBE51" w14:textId="77777777" w:rsidR="00510A66" w:rsidRPr="00510A66" w:rsidRDefault="00510A66" w:rsidP="00E70066">
            <w:pPr>
              <w:ind w:left="57" w:right="-38"/>
              <w:rPr>
                <w:color w:val="000000"/>
                <w:sz w:val="16"/>
                <w:szCs w:val="16"/>
              </w:rPr>
            </w:pPr>
            <w:r w:rsidRPr="00510A66">
              <w:rPr>
                <w:color w:val="000000"/>
                <w:sz w:val="16"/>
                <w:szCs w:val="16"/>
              </w:rPr>
              <w:t>Tamaulipas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4A4E0E81" w14:textId="77777777" w:rsidR="00510A66" w:rsidRPr="00510A66" w:rsidRDefault="00510A66" w:rsidP="00E70066">
            <w:pPr>
              <w:tabs>
                <w:tab w:val="decimal" w:pos="633"/>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2F8F45FA" w14:textId="77777777" w:rsidR="00510A66" w:rsidRPr="00510A66" w:rsidRDefault="00510A66" w:rsidP="00E70066">
            <w:pPr>
              <w:tabs>
                <w:tab w:val="decimal" w:pos="633"/>
              </w:tabs>
              <w:rPr>
                <w:color w:val="000000"/>
                <w:sz w:val="16"/>
                <w:szCs w:val="16"/>
              </w:rPr>
            </w:pPr>
            <w:r w:rsidRPr="00510A66">
              <w:rPr>
                <w:color w:val="000000"/>
                <w:sz w:val="16"/>
                <w:szCs w:val="16"/>
              </w:rPr>
              <w:t>2.9</w:t>
            </w:r>
          </w:p>
        </w:tc>
      </w:tr>
      <w:tr w:rsidR="00510A66" w:rsidRPr="00510A66" w14:paraId="683254A5"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C036A59" w14:textId="77777777" w:rsidR="00510A66" w:rsidRPr="00510A66" w:rsidRDefault="00510A66" w:rsidP="00E70066">
            <w:pPr>
              <w:ind w:left="57"/>
              <w:rPr>
                <w:color w:val="000000"/>
                <w:sz w:val="16"/>
                <w:szCs w:val="16"/>
              </w:rPr>
            </w:pPr>
            <w:r w:rsidRPr="00510A66">
              <w:rPr>
                <w:color w:val="000000"/>
                <w:sz w:val="16"/>
                <w:szCs w:val="16"/>
              </w:rPr>
              <w:t>Hidalgo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7A13868F" w14:textId="77777777" w:rsidR="00510A66" w:rsidRPr="00510A66" w:rsidRDefault="00510A66" w:rsidP="00E70066">
            <w:pPr>
              <w:tabs>
                <w:tab w:val="decimal" w:pos="631"/>
              </w:tabs>
              <w:rPr>
                <w:color w:val="000000"/>
                <w:sz w:val="16"/>
                <w:szCs w:val="16"/>
              </w:rPr>
            </w:pPr>
            <w:r w:rsidRPr="00510A66">
              <w:rPr>
                <w:color w:val="000000"/>
                <w:sz w:val="16"/>
                <w:szCs w:val="16"/>
              </w:rPr>
              <w:t>0.7</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A1E1EEC" w14:textId="77777777" w:rsidR="00510A66" w:rsidRPr="00510A66" w:rsidRDefault="00510A66" w:rsidP="00E70066">
            <w:pPr>
              <w:tabs>
                <w:tab w:val="decimal" w:pos="608"/>
              </w:tabs>
              <w:rPr>
                <w:color w:val="000000"/>
                <w:sz w:val="16"/>
                <w:szCs w:val="16"/>
              </w:rPr>
            </w:pPr>
            <w:r w:rsidRPr="00510A66">
              <w:rPr>
                <w:color w:val="000000"/>
                <w:sz w:val="16"/>
                <w:szCs w:val="16"/>
              </w:rPr>
              <w:t>0.5</w:t>
            </w:r>
          </w:p>
        </w:tc>
        <w:tc>
          <w:tcPr>
            <w:tcW w:w="172" w:type="dxa"/>
            <w:tcBorders>
              <w:left w:val="single" w:sz="4" w:space="0" w:color="F2F2F2" w:themeColor="background1" w:themeShade="F2"/>
              <w:right w:val="single" w:sz="4" w:space="0" w:color="F2F2F2" w:themeColor="background1" w:themeShade="F2"/>
            </w:tcBorders>
            <w:vAlign w:val="center"/>
          </w:tcPr>
          <w:p w14:paraId="5095310E"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687C074" w14:textId="77777777" w:rsidR="00510A66" w:rsidRPr="00510A66" w:rsidRDefault="00510A66" w:rsidP="00E70066">
            <w:pPr>
              <w:ind w:left="57" w:right="-38"/>
              <w:rPr>
                <w:color w:val="000000"/>
                <w:sz w:val="16"/>
                <w:szCs w:val="16"/>
              </w:rPr>
            </w:pPr>
            <w:r w:rsidRPr="00510A66">
              <w:rPr>
                <w:color w:val="000000"/>
                <w:sz w:val="16"/>
                <w:szCs w:val="16"/>
              </w:rPr>
              <w:t>Tlaxcala</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20EED7DE" w14:textId="77777777" w:rsidR="00510A66" w:rsidRPr="00510A66" w:rsidRDefault="00510A66" w:rsidP="00E70066">
            <w:pPr>
              <w:tabs>
                <w:tab w:val="decimal" w:pos="633"/>
              </w:tabs>
              <w:rPr>
                <w:color w:val="000000"/>
                <w:sz w:val="16"/>
                <w:szCs w:val="16"/>
              </w:rPr>
            </w:pPr>
            <w:r w:rsidRPr="00510A66">
              <w:rPr>
                <w:color w:val="000000"/>
                <w:sz w:val="16"/>
                <w:szCs w:val="16"/>
              </w:rPr>
              <w:t>1.4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5DC1C32" w14:textId="77777777" w:rsidR="00510A66" w:rsidRPr="00510A66" w:rsidRDefault="00510A66" w:rsidP="00E70066">
            <w:pPr>
              <w:tabs>
                <w:tab w:val="decimal" w:pos="633"/>
              </w:tabs>
              <w:rPr>
                <w:color w:val="000000"/>
                <w:sz w:val="16"/>
                <w:szCs w:val="16"/>
              </w:rPr>
            </w:pPr>
            <w:r w:rsidRPr="00510A66">
              <w:rPr>
                <w:color w:val="000000"/>
                <w:sz w:val="16"/>
                <w:szCs w:val="16"/>
              </w:rPr>
              <w:t>1.2</w:t>
            </w:r>
          </w:p>
        </w:tc>
      </w:tr>
      <w:tr w:rsidR="00510A66" w:rsidRPr="00510A66" w14:paraId="3B9893CF"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6DE63DC4" w14:textId="77777777" w:rsidR="00510A66" w:rsidRPr="00510A66" w:rsidRDefault="00510A66" w:rsidP="00E70066">
            <w:pPr>
              <w:ind w:left="57"/>
              <w:rPr>
                <w:color w:val="000000"/>
                <w:sz w:val="16"/>
                <w:szCs w:val="16"/>
              </w:rPr>
            </w:pPr>
            <w:r w:rsidRPr="00510A66">
              <w:rPr>
                <w:color w:val="000000"/>
                <w:sz w:val="16"/>
                <w:szCs w:val="16"/>
              </w:rPr>
              <w:t>Jalisco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34DC83C3" w14:textId="77777777" w:rsidR="00510A66" w:rsidRPr="00510A66" w:rsidRDefault="00510A66" w:rsidP="00E70066">
            <w:pPr>
              <w:tabs>
                <w:tab w:val="decimal" w:pos="631"/>
              </w:tabs>
              <w:rPr>
                <w:color w:val="000000"/>
                <w:sz w:val="16"/>
                <w:szCs w:val="16"/>
              </w:rPr>
            </w:pPr>
            <w:r w:rsidRPr="00510A66">
              <w:rPr>
                <w:color w:val="000000"/>
                <w:sz w:val="16"/>
                <w:szCs w:val="16"/>
              </w:rPr>
              <w:t>0.8</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AB7978D" w14:textId="77777777" w:rsidR="00510A66" w:rsidRPr="00510A66" w:rsidRDefault="00510A66" w:rsidP="00E70066">
            <w:pPr>
              <w:tabs>
                <w:tab w:val="decimal" w:pos="608"/>
              </w:tabs>
              <w:rPr>
                <w:color w:val="000000"/>
                <w:sz w:val="16"/>
                <w:szCs w:val="16"/>
              </w:rPr>
            </w:pPr>
            <w:r w:rsidRPr="00510A66">
              <w:rPr>
                <w:color w:val="000000"/>
                <w:sz w:val="16"/>
                <w:szCs w:val="16"/>
              </w:rPr>
              <w:t>0.6</w:t>
            </w:r>
          </w:p>
        </w:tc>
        <w:tc>
          <w:tcPr>
            <w:tcW w:w="172" w:type="dxa"/>
            <w:tcBorders>
              <w:left w:val="single" w:sz="4" w:space="0" w:color="F2F2F2" w:themeColor="background1" w:themeShade="F2"/>
              <w:right w:val="single" w:sz="4" w:space="0" w:color="F2F2F2" w:themeColor="background1" w:themeShade="F2"/>
            </w:tcBorders>
            <w:vAlign w:val="center"/>
          </w:tcPr>
          <w:p w14:paraId="403DA92E"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189022F4" w14:textId="77777777" w:rsidR="00510A66" w:rsidRPr="00510A66" w:rsidRDefault="00510A66" w:rsidP="00E70066">
            <w:pPr>
              <w:ind w:left="57" w:right="-38"/>
              <w:rPr>
                <w:color w:val="000000"/>
                <w:sz w:val="16"/>
                <w:szCs w:val="16"/>
              </w:rPr>
            </w:pPr>
            <w:r w:rsidRPr="00510A66">
              <w:rPr>
                <w:color w:val="000000"/>
                <w:sz w:val="16"/>
                <w:szCs w:val="16"/>
              </w:rPr>
              <w:t xml:space="preserve">Veracruz de Ignacio de la Llave </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6C99AAED" w14:textId="77777777" w:rsidR="00510A66" w:rsidRPr="00510A66" w:rsidRDefault="00510A66" w:rsidP="00E70066">
            <w:pPr>
              <w:tabs>
                <w:tab w:val="decimal" w:pos="633"/>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E3F4074" w14:textId="77777777" w:rsidR="00510A66" w:rsidRPr="00510A66" w:rsidRDefault="00510A66" w:rsidP="00E70066">
            <w:pPr>
              <w:tabs>
                <w:tab w:val="decimal" w:pos="633"/>
              </w:tabs>
              <w:rPr>
                <w:color w:val="000000"/>
                <w:sz w:val="16"/>
                <w:szCs w:val="16"/>
              </w:rPr>
            </w:pPr>
            <w:r w:rsidRPr="00510A66">
              <w:rPr>
                <w:color w:val="000000"/>
                <w:sz w:val="16"/>
                <w:szCs w:val="16"/>
              </w:rPr>
              <w:t>-0.4</w:t>
            </w:r>
          </w:p>
        </w:tc>
      </w:tr>
      <w:tr w:rsidR="00510A66" w:rsidRPr="00510A66" w14:paraId="5437D8DC"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76B34BA" w14:textId="77777777" w:rsidR="00510A66" w:rsidRPr="00510A66" w:rsidRDefault="00510A66" w:rsidP="00E70066">
            <w:pPr>
              <w:ind w:left="57"/>
              <w:rPr>
                <w:color w:val="000000"/>
                <w:sz w:val="16"/>
                <w:szCs w:val="16"/>
              </w:rPr>
            </w:pPr>
            <w:r w:rsidRPr="00510A66">
              <w:rPr>
                <w:color w:val="000000"/>
                <w:sz w:val="16"/>
                <w:szCs w:val="16"/>
              </w:rPr>
              <w:t>México</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6D2BD2F" w14:textId="77777777" w:rsidR="00510A66" w:rsidRPr="00510A66" w:rsidRDefault="00510A66" w:rsidP="00E70066">
            <w:pPr>
              <w:tabs>
                <w:tab w:val="decimal" w:pos="631"/>
              </w:tabs>
              <w:rPr>
                <w:color w:val="000000"/>
                <w:sz w:val="16"/>
                <w:szCs w:val="16"/>
              </w:rPr>
            </w:pPr>
            <w:r w:rsidRPr="00510A66">
              <w:rPr>
                <w:color w:val="000000"/>
                <w:sz w:val="16"/>
                <w:szCs w:val="16"/>
              </w:rPr>
              <w:t>0.4</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2DB05FFC" w14:textId="77777777" w:rsidR="00510A66" w:rsidRPr="00510A66" w:rsidRDefault="00510A66" w:rsidP="00E70066">
            <w:pPr>
              <w:tabs>
                <w:tab w:val="decimal" w:pos="608"/>
              </w:tabs>
              <w:rPr>
                <w:color w:val="000000"/>
                <w:sz w:val="16"/>
                <w:szCs w:val="16"/>
              </w:rPr>
            </w:pPr>
            <w:r w:rsidRPr="00510A66">
              <w:rPr>
                <w:color w:val="000000"/>
                <w:sz w:val="16"/>
                <w:szCs w:val="16"/>
              </w:rPr>
              <w:t>0.6</w:t>
            </w:r>
          </w:p>
        </w:tc>
        <w:tc>
          <w:tcPr>
            <w:tcW w:w="172" w:type="dxa"/>
            <w:tcBorders>
              <w:left w:val="single" w:sz="4" w:space="0" w:color="F2F2F2" w:themeColor="background1" w:themeShade="F2"/>
              <w:right w:val="single" w:sz="4" w:space="0" w:color="F2F2F2" w:themeColor="background1" w:themeShade="F2"/>
            </w:tcBorders>
            <w:vAlign w:val="center"/>
          </w:tcPr>
          <w:p w14:paraId="625F0AF4"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73342C9F" w14:textId="77777777" w:rsidR="00510A66" w:rsidRPr="00510A66" w:rsidRDefault="00510A66" w:rsidP="00E70066">
            <w:pPr>
              <w:ind w:left="57" w:right="-38"/>
              <w:rPr>
                <w:color w:val="000000"/>
                <w:sz w:val="16"/>
                <w:szCs w:val="16"/>
              </w:rPr>
            </w:pPr>
            <w:r w:rsidRPr="00510A66">
              <w:rPr>
                <w:color w:val="000000"/>
                <w:sz w:val="16"/>
                <w:szCs w:val="16"/>
              </w:rPr>
              <w:t>Yucatán</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3A0C4E0" w14:textId="77777777" w:rsidR="00510A66" w:rsidRPr="00510A66" w:rsidRDefault="00510A66" w:rsidP="00E70066">
            <w:pPr>
              <w:tabs>
                <w:tab w:val="decimal" w:pos="633"/>
              </w:tabs>
              <w:rPr>
                <w:color w:val="000000"/>
                <w:sz w:val="16"/>
                <w:szCs w:val="16"/>
              </w:rPr>
            </w:pPr>
            <w:r w:rsidRPr="00510A66">
              <w:rPr>
                <w:color w:val="000000"/>
                <w:sz w:val="16"/>
                <w:szCs w:val="16"/>
              </w:rPr>
              <w:t>0.6</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39AD9B9E" w14:textId="77777777" w:rsidR="00510A66" w:rsidRPr="00510A66" w:rsidRDefault="00510A66" w:rsidP="00E70066">
            <w:pPr>
              <w:tabs>
                <w:tab w:val="decimal" w:pos="633"/>
              </w:tabs>
              <w:rPr>
                <w:color w:val="000000"/>
                <w:sz w:val="16"/>
                <w:szCs w:val="16"/>
              </w:rPr>
            </w:pPr>
            <w:r w:rsidRPr="00510A66">
              <w:rPr>
                <w:color w:val="000000"/>
                <w:sz w:val="16"/>
                <w:szCs w:val="16"/>
              </w:rPr>
              <w:t>2.1</w:t>
            </w:r>
          </w:p>
        </w:tc>
      </w:tr>
      <w:tr w:rsidR="00510A66" w:rsidRPr="00510A66" w14:paraId="3B6D041E" w14:textId="77777777" w:rsidTr="00E70066">
        <w:trPr>
          <w:trHeight w:val="283"/>
          <w:jc w:val="center"/>
        </w:trPr>
        <w:tc>
          <w:tcPr>
            <w:tcW w:w="206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7D874F4D" w14:textId="77777777" w:rsidR="00510A66" w:rsidRPr="00510A66" w:rsidRDefault="00510A66" w:rsidP="00E70066">
            <w:pPr>
              <w:ind w:left="57"/>
              <w:rPr>
                <w:color w:val="000000"/>
                <w:sz w:val="16"/>
                <w:szCs w:val="16"/>
              </w:rPr>
            </w:pPr>
            <w:r w:rsidRPr="00510A66">
              <w:rPr>
                <w:color w:val="000000"/>
                <w:sz w:val="16"/>
                <w:szCs w:val="16"/>
              </w:rPr>
              <w:t xml:space="preserve">Michoacán de Ocampo </w:t>
            </w:r>
          </w:p>
        </w:tc>
        <w:tc>
          <w:tcPr>
            <w:tcW w:w="143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4AFA45F1" w14:textId="77777777" w:rsidR="00510A66" w:rsidRPr="00510A66" w:rsidRDefault="00510A66" w:rsidP="00E70066">
            <w:pPr>
              <w:tabs>
                <w:tab w:val="decimal" w:pos="631"/>
              </w:tabs>
              <w:rPr>
                <w:color w:val="000000"/>
                <w:sz w:val="16"/>
                <w:szCs w:val="16"/>
              </w:rPr>
            </w:pPr>
            <w:r w:rsidRPr="00510A66">
              <w:rPr>
                <w:color w:val="000000"/>
                <w:sz w:val="16"/>
                <w:szCs w:val="16"/>
              </w:rPr>
              <w:t>2.0</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7E5A09E3" w14:textId="77777777" w:rsidR="00510A66" w:rsidRPr="00510A66" w:rsidRDefault="00510A66" w:rsidP="00E70066">
            <w:pPr>
              <w:tabs>
                <w:tab w:val="decimal" w:pos="608"/>
              </w:tabs>
              <w:rPr>
                <w:color w:val="000000"/>
                <w:sz w:val="16"/>
                <w:szCs w:val="16"/>
              </w:rPr>
            </w:pPr>
            <w:r w:rsidRPr="00510A66">
              <w:rPr>
                <w:color w:val="000000"/>
                <w:sz w:val="16"/>
                <w:szCs w:val="16"/>
              </w:rPr>
              <w:t>1.3</w:t>
            </w:r>
          </w:p>
        </w:tc>
        <w:tc>
          <w:tcPr>
            <w:tcW w:w="172" w:type="dxa"/>
            <w:tcBorders>
              <w:left w:val="single" w:sz="4" w:space="0" w:color="F2F2F2" w:themeColor="background1" w:themeShade="F2"/>
              <w:right w:val="single" w:sz="4" w:space="0" w:color="F2F2F2" w:themeColor="background1" w:themeShade="F2"/>
            </w:tcBorders>
            <w:vAlign w:val="center"/>
          </w:tcPr>
          <w:p w14:paraId="5F3A3369" w14:textId="77777777" w:rsidR="00510A66" w:rsidRPr="00510A66" w:rsidRDefault="00510A66" w:rsidP="00E70066">
            <w:pPr>
              <w:jc w:val="center"/>
              <w:rPr>
                <w:color w:val="000000"/>
                <w:sz w:val="16"/>
                <w:szCs w:val="16"/>
              </w:rPr>
            </w:pPr>
          </w:p>
        </w:tc>
        <w:tc>
          <w:tcPr>
            <w:tcW w:w="200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56D33D5A" w14:textId="77777777" w:rsidR="00510A66" w:rsidRPr="00510A66" w:rsidRDefault="00510A66" w:rsidP="00E70066">
            <w:pPr>
              <w:ind w:left="57" w:right="-38"/>
              <w:rPr>
                <w:color w:val="000000"/>
                <w:sz w:val="16"/>
                <w:szCs w:val="16"/>
              </w:rPr>
            </w:pPr>
            <w:r w:rsidRPr="00510A66">
              <w:rPr>
                <w:color w:val="000000"/>
                <w:sz w:val="16"/>
                <w:szCs w:val="16"/>
              </w:rPr>
              <w:t>Zacatecas</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vAlign w:val="center"/>
          </w:tcPr>
          <w:p w14:paraId="00E5895B" w14:textId="77777777" w:rsidR="00510A66" w:rsidRPr="00510A66" w:rsidRDefault="00510A66" w:rsidP="00E70066">
            <w:pPr>
              <w:tabs>
                <w:tab w:val="decimal" w:pos="633"/>
              </w:tabs>
              <w:rPr>
                <w:color w:val="000000"/>
                <w:sz w:val="16"/>
                <w:szCs w:val="16"/>
              </w:rPr>
            </w:pPr>
            <w:r w:rsidRPr="00510A66">
              <w:rPr>
                <w:color w:val="000000"/>
                <w:sz w:val="16"/>
                <w:szCs w:val="16"/>
              </w:rPr>
              <w:t>2.2</w:t>
            </w:r>
          </w:p>
        </w:tc>
        <w:tc>
          <w:tcPr>
            <w:tcW w:w="143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noWrap/>
            <w:vAlign w:val="center"/>
          </w:tcPr>
          <w:p w14:paraId="00D30B81" w14:textId="77777777" w:rsidR="00510A66" w:rsidRPr="00510A66" w:rsidRDefault="00510A66" w:rsidP="00E70066">
            <w:pPr>
              <w:tabs>
                <w:tab w:val="decimal" w:pos="633"/>
              </w:tabs>
              <w:rPr>
                <w:color w:val="000000"/>
                <w:sz w:val="16"/>
                <w:szCs w:val="16"/>
              </w:rPr>
            </w:pPr>
            <w:r w:rsidRPr="00510A66">
              <w:rPr>
                <w:color w:val="000000"/>
                <w:sz w:val="16"/>
                <w:szCs w:val="16"/>
              </w:rPr>
              <w:t>3.6</w:t>
            </w:r>
          </w:p>
        </w:tc>
      </w:tr>
    </w:tbl>
    <w:p w14:paraId="6043D756" w14:textId="77777777" w:rsidR="00510A66" w:rsidRPr="00450AD2" w:rsidRDefault="00510A66" w:rsidP="00510A66">
      <w:pPr>
        <w:autoSpaceDE w:val="0"/>
        <w:autoSpaceDN w:val="0"/>
        <w:adjustRightInd w:val="0"/>
        <w:ind w:left="714" w:right="193" w:hanging="616"/>
        <w:rPr>
          <w:b/>
          <w:bCs/>
          <w:sz w:val="14"/>
          <w:szCs w:val="14"/>
          <w:lang w:val="es-ES"/>
        </w:rPr>
      </w:pPr>
      <w:r w:rsidRPr="00450AD2">
        <w:rPr>
          <w:b/>
          <w:bCs/>
          <w:sz w:val="14"/>
          <w:szCs w:val="14"/>
          <w:lang w:val="es-ES"/>
        </w:rPr>
        <w:t>Nota:</w:t>
      </w:r>
      <w:r w:rsidRPr="00450AD2">
        <w:rPr>
          <w:b/>
          <w:bCs/>
          <w:sz w:val="14"/>
          <w:szCs w:val="14"/>
          <w:lang w:val="es-ES"/>
        </w:rPr>
        <w:tab/>
      </w:r>
      <w:r w:rsidRPr="00450AD2">
        <w:rPr>
          <w:b/>
          <w:bCs/>
          <w:sz w:val="14"/>
          <w:szCs w:val="14"/>
        </w:rPr>
        <w:t>Cifras elaboradas mediante métodos econométricos.</w:t>
      </w:r>
    </w:p>
    <w:p w14:paraId="25A8E712" w14:textId="77777777" w:rsidR="00510A66" w:rsidRPr="00450AD2" w:rsidRDefault="00510A66" w:rsidP="00510A66">
      <w:pPr>
        <w:autoSpaceDE w:val="0"/>
        <w:autoSpaceDN w:val="0"/>
        <w:adjustRightInd w:val="0"/>
        <w:ind w:left="714" w:right="193" w:hanging="616"/>
        <w:rPr>
          <w:b/>
          <w:bCs/>
          <w:sz w:val="16"/>
          <w:szCs w:val="16"/>
        </w:rPr>
      </w:pPr>
      <w:r w:rsidRPr="00450AD2">
        <w:rPr>
          <w:b/>
          <w:bCs/>
          <w:sz w:val="14"/>
          <w:szCs w:val="14"/>
          <w:lang w:val="es-ES"/>
        </w:rPr>
        <w:t>Fuente:</w:t>
      </w:r>
      <w:r w:rsidRPr="00450AD2">
        <w:rPr>
          <w:b/>
          <w:bCs/>
          <w:sz w:val="22"/>
          <w:szCs w:val="22"/>
        </w:rPr>
        <w:tab/>
      </w:r>
      <w:proofErr w:type="spellStart"/>
      <w:r w:rsidRPr="00450AD2">
        <w:rPr>
          <w:b/>
          <w:bCs/>
          <w:smallCaps/>
          <w:sz w:val="14"/>
          <w:szCs w:val="14"/>
          <w:lang w:val="es-ES"/>
        </w:rPr>
        <w:t>inegi</w:t>
      </w:r>
      <w:proofErr w:type="spellEnd"/>
      <w:r w:rsidRPr="00450AD2">
        <w:rPr>
          <w:b/>
          <w:bCs/>
          <w:smallCaps/>
          <w:sz w:val="14"/>
          <w:szCs w:val="14"/>
          <w:lang w:val="es-ES"/>
        </w:rPr>
        <w:t xml:space="preserve">. </w:t>
      </w:r>
      <w:r w:rsidRPr="00450AD2">
        <w:rPr>
          <w:b/>
          <w:bCs/>
          <w:sz w:val="14"/>
          <w:szCs w:val="14"/>
          <w:lang w:val="es-ES"/>
        </w:rPr>
        <w:t>Sistema de Cuentas Nacionales de México (</w:t>
      </w:r>
      <w:proofErr w:type="spellStart"/>
      <w:r w:rsidRPr="00450AD2">
        <w:rPr>
          <w:b/>
          <w:bCs/>
          <w:smallCaps/>
          <w:sz w:val="14"/>
          <w:szCs w:val="14"/>
          <w:lang w:val="es-ES"/>
        </w:rPr>
        <w:t>scnm</w:t>
      </w:r>
      <w:proofErr w:type="spellEnd"/>
      <w:r w:rsidRPr="00450AD2">
        <w:rPr>
          <w:b/>
          <w:bCs/>
          <w:sz w:val="14"/>
          <w:szCs w:val="14"/>
          <w:lang w:val="es-ES"/>
        </w:rPr>
        <w:t xml:space="preserve">). </w:t>
      </w:r>
      <w:r w:rsidRPr="00450AD2">
        <w:rPr>
          <w:b/>
          <w:bCs/>
          <w:sz w:val="14"/>
          <w:szCs w:val="14"/>
        </w:rPr>
        <w:t>Indicador Trimestral de la Actividad Económica Estatal (</w:t>
      </w:r>
      <w:proofErr w:type="spellStart"/>
      <w:r w:rsidRPr="00450AD2">
        <w:rPr>
          <w:b/>
          <w:bCs/>
          <w:smallCaps/>
          <w:sz w:val="14"/>
          <w:szCs w:val="14"/>
        </w:rPr>
        <w:t>itaee</w:t>
      </w:r>
      <w:proofErr w:type="spellEnd"/>
      <w:r w:rsidRPr="00450AD2">
        <w:rPr>
          <w:b/>
          <w:bCs/>
          <w:sz w:val="14"/>
          <w:szCs w:val="14"/>
        </w:rPr>
        <w:t>), 2025.</w:t>
      </w:r>
      <w:r w:rsidRPr="00450AD2">
        <w:rPr>
          <w:b/>
          <w:bCs/>
          <w:sz w:val="14"/>
          <w:szCs w:val="14"/>
          <w:lang w:val="es-ES"/>
        </w:rPr>
        <w:t xml:space="preserve"> </w:t>
      </w:r>
    </w:p>
    <w:p w14:paraId="3A5724E6" w14:textId="77777777" w:rsidR="00EA5FCA" w:rsidRDefault="00EA5FCA" w:rsidP="00BF1B50">
      <w:pPr>
        <w:pStyle w:val="PRIMERAPLANA"/>
        <w:spacing w:line="360" w:lineRule="auto"/>
        <w:rPr>
          <w:rFonts w:ascii="Times New Roman" w:hAnsi="Times New Roman"/>
          <w:bCs/>
        </w:rPr>
      </w:pPr>
    </w:p>
    <w:p w14:paraId="7652E6F6" w14:textId="4EE05AC5"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lastRenderedPageBreak/>
        <w:t>En este periodo,</w:t>
      </w:r>
      <w:r w:rsidR="00510A66">
        <w:rPr>
          <w:rFonts w:ascii="Times New Roman" w:hAnsi="Times New Roman"/>
          <w:bCs/>
        </w:rPr>
        <w:t xml:space="preserve"> </w:t>
      </w:r>
      <w:r w:rsidRPr="00EA5FCA">
        <w:rPr>
          <w:rFonts w:ascii="Times New Roman" w:hAnsi="Times New Roman"/>
          <w:bCs/>
        </w:rPr>
        <w:t>las actividades terciarias</w:t>
      </w:r>
      <w:r w:rsidR="00510A66">
        <w:rPr>
          <w:rFonts w:ascii="Times New Roman" w:hAnsi="Times New Roman"/>
          <w:bCs/>
        </w:rPr>
        <w:t xml:space="preserve"> </w:t>
      </w:r>
      <w:r w:rsidRPr="00EA5FCA">
        <w:rPr>
          <w:rFonts w:ascii="Times New Roman" w:hAnsi="Times New Roman"/>
          <w:bCs/>
        </w:rPr>
        <w:t>(comercio, operaciones con información y servicios) fueron las que presentaron el</w:t>
      </w:r>
      <w:r w:rsidR="00510A66">
        <w:rPr>
          <w:rFonts w:ascii="Times New Roman" w:hAnsi="Times New Roman"/>
          <w:bCs/>
        </w:rPr>
        <w:t xml:space="preserve"> </w:t>
      </w:r>
      <w:r w:rsidRPr="00EA5FCA">
        <w:rPr>
          <w:rFonts w:ascii="Times New Roman" w:hAnsi="Times New Roman"/>
          <w:bCs/>
        </w:rPr>
        <w:t>mejor comportamiento</w:t>
      </w:r>
      <w:r w:rsidR="00510A66">
        <w:rPr>
          <w:rFonts w:ascii="Times New Roman" w:hAnsi="Times New Roman"/>
          <w:bCs/>
        </w:rPr>
        <w:t xml:space="preserve"> </w:t>
      </w:r>
      <w:r w:rsidRPr="00EA5FCA">
        <w:rPr>
          <w:rFonts w:ascii="Times New Roman" w:hAnsi="Times New Roman"/>
          <w:bCs/>
        </w:rPr>
        <w:t>al crecer en</w:t>
      </w:r>
      <w:r w:rsidR="00510A66">
        <w:rPr>
          <w:rFonts w:ascii="Times New Roman" w:hAnsi="Times New Roman"/>
          <w:bCs/>
        </w:rPr>
        <w:t xml:space="preserve"> </w:t>
      </w:r>
      <w:r w:rsidRPr="00EA5FCA">
        <w:rPr>
          <w:rFonts w:ascii="Times New Roman" w:hAnsi="Times New Roman"/>
          <w:bCs/>
        </w:rPr>
        <w:t>1.5</w:t>
      </w:r>
      <w:r w:rsidR="0069230A">
        <w:rPr>
          <w:rFonts w:ascii="Times New Roman" w:hAnsi="Times New Roman"/>
          <w:bCs/>
        </w:rPr>
        <w:t>%</w:t>
      </w:r>
      <w:r w:rsidRPr="00EA5FCA">
        <w:rPr>
          <w:rFonts w:ascii="Times New Roman" w:hAnsi="Times New Roman"/>
          <w:bCs/>
        </w:rPr>
        <w:t xml:space="preserve"> anual</w:t>
      </w:r>
      <w:r w:rsidR="00510A66">
        <w:rPr>
          <w:rFonts w:ascii="Times New Roman" w:hAnsi="Times New Roman"/>
          <w:bCs/>
        </w:rPr>
        <w:t xml:space="preserve"> </w:t>
      </w:r>
      <w:r w:rsidRPr="00EA5FCA">
        <w:rPr>
          <w:rFonts w:ascii="Times New Roman" w:hAnsi="Times New Roman"/>
          <w:bCs/>
        </w:rPr>
        <w:t>que ubicó a Tlaxcala en el lugar 11 respecto al resto de las entidades federativas. En los primeros lugares estuvieron Guerrero (8.8%), Baja California Sur (3.2%) y Yucatán (2.7%); mientras que las entidades con números negativos del periodo fueron Chiapas (1.9%), Baja California (0.6%), y Oaxaca (0.4%).</w:t>
      </w:r>
    </w:p>
    <w:p w14:paraId="65736905" w14:textId="1BF8D18D" w:rsidR="00BF1B50" w:rsidRPr="00510A66" w:rsidRDefault="00BF1B50" w:rsidP="00BF1B50">
      <w:pPr>
        <w:pStyle w:val="PRIMERAPLANA"/>
        <w:spacing w:line="360" w:lineRule="auto"/>
        <w:rPr>
          <w:rFonts w:ascii="Times New Roman" w:hAnsi="Times New Roman"/>
          <w:bCs/>
        </w:rPr>
      </w:pPr>
    </w:p>
    <w:p w14:paraId="61786D58" w14:textId="77777777" w:rsidR="00510A66" w:rsidRPr="00450AD2" w:rsidRDefault="00510A66" w:rsidP="00510A66">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 xml:space="preserve">Variación anual y contribución de las actividades terciarias </w:t>
      </w:r>
    </w:p>
    <w:p w14:paraId="6407B863" w14:textId="77777777" w:rsidR="00510A66" w:rsidRPr="00450AD2" w:rsidRDefault="00510A66" w:rsidP="00510A66">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primer trimestre de 2025</w:t>
      </w:r>
      <w:r w:rsidRPr="00450AD2">
        <w:rPr>
          <w:rFonts w:ascii="Times New Roman" w:hAnsi="Times New Roman"/>
          <w:b/>
          <w:color w:val="auto"/>
          <w:sz w:val="18"/>
          <w:szCs w:val="18"/>
          <w:vertAlign w:val="superscript"/>
        </w:rPr>
        <w:t>1/</w:t>
      </w:r>
    </w:p>
    <w:tbl>
      <w:tblPr>
        <w:tblStyle w:val="Tablaconcuadrcula"/>
        <w:tblW w:w="50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0"/>
        <w:gridCol w:w="136"/>
        <w:gridCol w:w="10"/>
        <w:gridCol w:w="4220"/>
      </w:tblGrid>
      <w:tr w:rsidR="00034E31" w:rsidRPr="00450AD2" w14:paraId="7B63CCF6" w14:textId="77777777" w:rsidTr="00034E31">
        <w:trPr>
          <w:trHeight w:hRule="exact" w:val="525"/>
        </w:trPr>
        <w:tc>
          <w:tcPr>
            <w:tcW w:w="3753" w:type="dxa"/>
            <w:vAlign w:val="center"/>
          </w:tcPr>
          <w:p w14:paraId="17398BA1" w14:textId="77777777" w:rsidR="00510A66" w:rsidRPr="00450AD2" w:rsidRDefault="00510A66" w:rsidP="00E70066">
            <w:pPr>
              <w:pStyle w:val="p0"/>
              <w:spacing w:before="0"/>
              <w:jc w:val="center"/>
              <w:rPr>
                <w:rFonts w:ascii="Times New Roman" w:hAnsi="Times New Roman" w:cs="Times New Roman"/>
                <w:b/>
                <w:color w:val="auto"/>
                <w:sz w:val="18"/>
                <w:szCs w:val="18"/>
                <w:lang w:val="es-MX"/>
              </w:rPr>
            </w:pPr>
            <w:r w:rsidRPr="00450AD2">
              <w:rPr>
                <w:rFonts w:ascii="Times New Roman" w:hAnsi="Times New Roman" w:cs="Times New Roman"/>
                <w:b/>
                <w:color w:val="auto"/>
                <w:sz w:val="18"/>
                <w:szCs w:val="18"/>
              </w:rPr>
              <w:t xml:space="preserve">Variación porcentual real </w:t>
            </w:r>
            <w:r w:rsidRPr="00450AD2">
              <w:rPr>
                <w:rFonts w:ascii="Times New Roman" w:hAnsi="Times New Roman" w:cs="Times New Roman"/>
                <w:b/>
                <w:color w:val="auto"/>
                <w:sz w:val="18"/>
                <w:szCs w:val="18"/>
              </w:rPr>
              <w:br/>
              <w:t>respecto al primer trimestre de 2024</w:t>
            </w:r>
          </w:p>
        </w:tc>
        <w:tc>
          <w:tcPr>
            <w:tcW w:w="146" w:type="dxa"/>
            <w:vAlign w:val="center"/>
          </w:tcPr>
          <w:p w14:paraId="15AE54EA" w14:textId="77777777" w:rsidR="00510A66" w:rsidRPr="00450AD2" w:rsidRDefault="00510A66" w:rsidP="00E70066">
            <w:pPr>
              <w:pStyle w:val="p0"/>
              <w:spacing w:before="0"/>
              <w:jc w:val="center"/>
              <w:rPr>
                <w:rFonts w:ascii="Times New Roman" w:hAnsi="Times New Roman" w:cs="Times New Roman"/>
                <w:b/>
                <w:color w:val="auto"/>
                <w:sz w:val="18"/>
                <w:szCs w:val="18"/>
                <w:lang w:val="es-MX"/>
              </w:rPr>
            </w:pPr>
          </w:p>
        </w:tc>
        <w:tc>
          <w:tcPr>
            <w:tcW w:w="4211" w:type="dxa"/>
            <w:gridSpan w:val="2"/>
            <w:vAlign w:val="center"/>
          </w:tcPr>
          <w:p w14:paraId="5BFC5C0A" w14:textId="77777777" w:rsidR="00510A66" w:rsidRPr="00450AD2" w:rsidRDefault="00510A66" w:rsidP="00E70066">
            <w:pPr>
              <w:pStyle w:val="p0"/>
              <w:spacing w:before="0"/>
              <w:jc w:val="center"/>
              <w:rPr>
                <w:rFonts w:ascii="Times New Roman" w:hAnsi="Times New Roman" w:cs="Times New Roman"/>
                <w:b/>
                <w:color w:val="auto"/>
                <w:sz w:val="18"/>
                <w:szCs w:val="18"/>
                <w:lang w:val="es-MX"/>
              </w:rPr>
            </w:pPr>
            <w:r w:rsidRPr="00450AD2">
              <w:rPr>
                <w:rFonts w:ascii="Times New Roman" w:hAnsi="Times New Roman" w:cs="Times New Roman"/>
                <w:b/>
                <w:color w:val="auto"/>
                <w:sz w:val="18"/>
                <w:szCs w:val="18"/>
              </w:rPr>
              <w:t xml:space="preserve">Contribución a la variación total real </w:t>
            </w:r>
            <w:r w:rsidRPr="00450AD2">
              <w:rPr>
                <w:rFonts w:ascii="Times New Roman" w:hAnsi="Times New Roman" w:cs="Times New Roman"/>
                <w:b/>
                <w:color w:val="auto"/>
                <w:sz w:val="18"/>
                <w:szCs w:val="18"/>
              </w:rPr>
              <w:br/>
              <w:t>de las actividades terciarias</w:t>
            </w:r>
            <w:r w:rsidRPr="00450AD2">
              <w:rPr>
                <w:rFonts w:ascii="Times New Roman" w:hAnsi="Times New Roman" w:cs="Times New Roman"/>
                <w:b/>
                <w:color w:val="auto"/>
                <w:sz w:val="18"/>
                <w:szCs w:val="18"/>
                <w:vertAlign w:val="superscript"/>
              </w:rPr>
              <w:t>2/</w:t>
            </w:r>
          </w:p>
        </w:tc>
      </w:tr>
      <w:tr w:rsidR="00034E31" w:rsidRPr="00121E0C" w14:paraId="383D2A2A" w14:textId="77777777" w:rsidTr="00034E31">
        <w:tblPrEx>
          <w:tblCellMar>
            <w:left w:w="70" w:type="dxa"/>
            <w:right w:w="70" w:type="dxa"/>
          </w:tblCellMar>
        </w:tblPrEx>
        <w:trPr>
          <w:trHeight w:val="7933"/>
        </w:trPr>
        <w:tc>
          <w:tcPr>
            <w:tcW w:w="3753" w:type="dxa"/>
            <w:vAlign w:val="center"/>
          </w:tcPr>
          <w:p w14:paraId="3EBAF7B2" w14:textId="77777777" w:rsidR="00510A66" w:rsidRPr="00121E0C" w:rsidRDefault="00510A66" w:rsidP="00E70066">
            <w:pPr>
              <w:pStyle w:val="p0"/>
              <w:spacing w:before="0"/>
              <w:jc w:val="center"/>
              <w:rPr>
                <w:rFonts w:ascii="Arial" w:hAnsi="Arial"/>
                <w:color w:val="auto"/>
                <w:sz w:val="16"/>
                <w:szCs w:val="16"/>
                <w:lang w:val="es-MX"/>
              </w:rPr>
            </w:pPr>
            <w:r>
              <w:rPr>
                <w:noProof/>
              </w:rPr>
              <w:drawing>
                <wp:inline distT="0" distB="0" distL="0" distR="0" wp14:anchorId="7EEC51C3" wp14:editId="7ECD057B">
                  <wp:extent cx="2479675" cy="4678878"/>
                  <wp:effectExtent l="0" t="0" r="15875" b="7620"/>
                  <wp:docPr id="1641551537" name="Gráfico 1">
                    <a:extLst xmlns:a="http://schemas.openxmlformats.org/drawingml/2006/main">
                      <a:ext uri="{FF2B5EF4-FFF2-40B4-BE49-F238E27FC236}">
                        <a16:creationId xmlns:a16="http://schemas.microsoft.com/office/drawing/2014/main" id="{87C407B7-785D-4F6B-8708-4A906AE81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60" w:type="dxa"/>
            <w:gridSpan w:val="2"/>
            <w:vAlign w:val="center"/>
          </w:tcPr>
          <w:p w14:paraId="25BD4B19" w14:textId="77777777" w:rsidR="00510A66" w:rsidRPr="00121E0C" w:rsidRDefault="00510A66" w:rsidP="00E70066">
            <w:pPr>
              <w:pStyle w:val="p0"/>
              <w:spacing w:before="0"/>
              <w:jc w:val="center"/>
              <w:rPr>
                <w:rFonts w:ascii="Arial" w:hAnsi="Arial"/>
                <w:color w:val="auto"/>
                <w:sz w:val="16"/>
                <w:szCs w:val="16"/>
                <w:lang w:val="es-MX"/>
              </w:rPr>
            </w:pPr>
          </w:p>
        </w:tc>
        <w:tc>
          <w:tcPr>
            <w:tcW w:w="4201" w:type="dxa"/>
            <w:vAlign w:val="center"/>
          </w:tcPr>
          <w:p w14:paraId="69F6B2FB" w14:textId="77777777" w:rsidR="00510A66" w:rsidRPr="00121E0C" w:rsidRDefault="00510A66" w:rsidP="00E70066">
            <w:pPr>
              <w:pStyle w:val="p0"/>
              <w:spacing w:before="0"/>
              <w:jc w:val="center"/>
              <w:rPr>
                <w:rFonts w:ascii="Arial" w:hAnsi="Arial"/>
                <w:color w:val="auto"/>
                <w:sz w:val="16"/>
                <w:szCs w:val="16"/>
                <w:lang w:val="es-MX"/>
              </w:rPr>
            </w:pPr>
            <w:r>
              <w:rPr>
                <w:noProof/>
              </w:rPr>
              <w:drawing>
                <wp:inline distT="0" distB="0" distL="0" distR="0" wp14:anchorId="492E889B" wp14:editId="580B7086">
                  <wp:extent cx="2588895" cy="4672940"/>
                  <wp:effectExtent l="0" t="0" r="1905" b="13970"/>
                  <wp:docPr id="324933151" name="Gráfico 1">
                    <a:extLst xmlns:a="http://schemas.openxmlformats.org/drawingml/2006/main">
                      <a:ext uri="{FF2B5EF4-FFF2-40B4-BE49-F238E27FC236}">
                        <a16:creationId xmlns:a16="http://schemas.microsoft.com/office/drawing/2014/main" id="{04F8A0A2-B27D-42AD-9134-6757F6548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1D876514" w14:textId="77777777" w:rsidR="00510A66" w:rsidRPr="00034E31" w:rsidRDefault="00510A66" w:rsidP="00450AD2">
      <w:pPr>
        <w:pStyle w:val="Textoindependiente"/>
        <w:spacing w:line="240" w:lineRule="auto"/>
        <w:ind w:left="742" w:right="91" w:hanging="630"/>
        <w:rPr>
          <w:rFonts w:ascii="Times New Roman" w:hAnsi="Times New Roman" w:cs="Times New Roman"/>
          <w:sz w:val="14"/>
          <w:szCs w:val="14"/>
          <w:vertAlign w:val="superscript"/>
        </w:rPr>
      </w:pPr>
      <w:r w:rsidRPr="00034E31">
        <w:rPr>
          <w:rFonts w:ascii="Times New Roman" w:hAnsi="Times New Roman" w:cs="Times New Roman"/>
          <w:sz w:val="14"/>
          <w:szCs w:val="14"/>
          <w:vertAlign w:val="superscript"/>
        </w:rPr>
        <w:t>1/</w:t>
      </w:r>
      <w:r w:rsidRPr="00034E31">
        <w:rPr>
          <w:rFonts w:ascii="Times New Roman" w:hAnsi="Times New Roman" w:cs="Times New Roman"/>
          <w:sz w:val="14"/>
          <w:szCs w:val="14"/>
          <w:vertAlign w:val="superscript"/>
        </w:rPr>
        <w:tab/>
      </w:r>
      <w:r w:rsidRPr="00034E31">
        <w:rPr>
          <w:rFonts w:ascii="Times New Roman" w:hAnsi="Times New Roman" w:cs="Times New Roman"/>
          <w:sz w:val="14"/>
          <w:szCs w:val="14"/>
        </w:rPr>
        <w:t>Cifras preliminares.</w:t>
      </w:r>
    </w:p>
    <w:p w14:paraId="6E3D5F3E" w14:textId="77777777" w:rsidR="00510A66" w:rsidRPr="00034E31" w:rsidRDefault="00510A66" w:rsidP="00450AD2">
      <w:pPr>
        <w:pStyle w:val="Textoindependiente"/>
        <w:spacing w:line="240" w:lineRule="auto"/>
        <w:ind w:left="742" w:right="91" w:hanging="630"/>
        <w:rPr>
          <w:rFonts w:ascii="Times New Roman" w:hAnsi="Times New Roman" w:cs="Times New Roman"/>
          <w:sz w:val="14"/>
          <w:szCs w:val="14"/>
        </w:rPr>
      </w:pPr>
      <w:r w:rsidRPr="00034E31">
        <w:rPr>
          <w:rFonts w:ascii="Times New Roman" w:hAnsi="Times New Roman" w:cs="Times New Roman"/>
          <w:sz w:val="14"/>
          <w:szCs w:val="14"/>
          <w:vertAlign w:val="superscript"/>
        </w:rPr>
        <w:lastRenderedPageBreak/>
        <w:t>2/</w:t>
      </w:r>
      <w:r w:rsidRPr="00034E31">
        <w:rPr>
          <w:rFonts w:ascii="Times New Roman" w:hAnsi="Times New Roman" w:cs="Times New Roman"/>
          <w:sz w:val="14"/>
          <w:szCs w:val="14"/>
          <w:vertAlign w:val="superscript"/>
        </w:rPr>
        <w:tab/>
      </w:r>
      <w:r w:rsidRPr="00034E31">
        <w:rPr>
          <w:rFonts w:ascii="Times New Roman" w:hAnsi="Times New Roman" w:cs="Times New Roman"/>
          <w:sz w:val="14"/>
          <w:szCs w:val="14"/>
        </w:rPr>
        <w:t>Las contribuciones se obtienen ponderando las tasas de crecimiento con la participación que cada estado tiene en las actividades terciarias.</w:t>
      </w:r>
    </w:p>
    <w:p w14:paraId="437BC974" w14:textId="77777777" w:rsidR="00510A66" w:rsidRPr="00034E31" w:rsidRDefault="00510A66" w:rsidP="00450AD2">
      <w:pPr>
        <w:pStyle w:val="Textoindependiente"/>
        <w:spacing w:line="240" w:lineRule="auto"/>
        <w:ind w:left="742" w:right="91" w:hanging="630"/>
        <w:rPr>
          <w:rFonts w:ascii="Times New Roman" w:hAnsi="Times New Roman" w:cs="Times New Roman"/>
          <w:snapToGrid w:val="0"/>
          <w:sz w:val="18"/>
          <w:szCs w:val="22"/>
        </w:rPr>
      </w:pPr>
      <w:r w:rsidRPr="00034E31">
        <w:rPr>
          <w:rFonts w:ascii="Times New Roman" w:hAnsi="Times New Roman" w:cs="Times New Roman"/>
          <w:sz w:val="14"/>
          <w:szCs w:val="14"/>
        </w:rPr>
        <w:t>Fuente:</w:t>
      </w:r>
      <w:r w:rsidRPr="00034E31">
        <w:rPr>
          <w:rFonts w:ascii="Times New Roman" w:hAnsi="Times New Roman" w:cs="Times New Roman"/>
          <w:sz w:val="14"/>
          <w:szCs w:val="14"/>
        </w:rPr>
        <w:tab/>
      </w:r>
      <w:proofErr w:type="spellStart"/>
      <w:r w:rsidRPr="00034E31">
        <w:rPr>
          <w:rFonts w:ascii="Times New Roman" w:hAnsi="Times New Roman" w:cs="Times New Roman"/>
          <w:smallCaps/>
          <w:sz w:val="14"/>
          <w:szCs w:val="14"/>
        </w:rPr>
        <w:t>inegi</w:t>
      </w:r>
      <w:proofErr w:type="spellEnd"/>
      <w:r w:rsidRPr="00034E31">
        <w:rPr>
          <w:rFonts w:ascii="Times New Roman" w:hAnsi="Times New Roman" w:cs="Times New Roman"/>
          <w:smallCaps/>
          <w:sz w:val="14"/>
          <w:szCs w:val="14"/>
        </w:rPr>
        <w:t>.</w:t>
      </w:r>
      <w:r w:rsidRPr="00034E31">
        <w:rPr>
          <w:rFonts w:ascii="Times New Roman" w:hAnsi="Times New Roman" w:cs="Times New Roman"/>
          <w:sz w:val="14"/>
          <w:szCs w:val="14"/>
        </w:rPr>
        <w:t xml:space="preserve"> Sistema de Cuentas Nacionales de México</w:t>
      </w:r>
      <w:r w:rsidRPr="00034E31">
        <w:rPr>
          <w:rFonts w:ascii="Times New Roman" w:hAnsi="Times New Roman" w:cs="Times New Roman"/>
          <w:smallCaps/>
          <w:sz w:val="14"/>
          <w:szCs w:val="14"/>
        </w:rPr>
        <w:t xml:space="preserve"> (</w:t>
      </w:r>
      <w:proofErr w:type="spellStart"/>
      <w:r w:rsidRPr="00034E31">
        <w:rPr>
          <w:rFonts w:ascii="Times New Roman" w:hAnsi="Times New Roman" w:cs="Times New Roman"/>
          <w:smallCaps/>
          <w:sz w:val="14"/>
          <w:szCs w:val="14"/>
        </w:rPr>
        <w:t>scnm</w:t>
      </w:r>
      <w:proofErr w:type="spellEnd"/>
      <w:r w:rsidRPr="00034E31">
        <w:rPr>
          <w:rFonts w:ascii="Times New Roman" w:hAnsi="Times New Roman" w:cs="Times New Roman"/>
          <w:smallCaps/>
          <w:sz w:val="14"/>
          <w:szCs w:val="14"/>
        </w:rPr>
        <w:t xml:space="preserve">). </w:t>
      </w:r>
      <w:r w:rsidRPr="00034E31">
        <w:rPr>
          <w:rFonts w:ascii="Times New Roman" w:hAnsi="Times New Roman" w:cs="Times New Roman"/>
          <w:sz w:val="14"/>
          <w:szCs w:val="14"/>
        </w:rPr>
        <w:t>Indicador Trimestral de la Actividad Económica Estatal (</w:t>
      </w:r>
      <w:proofErr w:type="spellStart"/>
      <w:r w:rsidRPr="00034E31">
        <w:rPr>
          <w:rFonts w:ascii="Times New Roman" w:hAnsi="Times New Roman" w:cs="Times New Roman"/>
          <w:smallCaps/>
          <w:sz w:val="14"/>
          <w:szCs w:val="14"/>
        </w:rPr>
        <w:t>itaee</w:t>
      </w:r>
      <w:proofErr w:type="spellEnd"/>
      <w:r w:rsidRPr="00034E31">
        <w:rPr>
          <w:rFonts w:ascii="Times New Roman" w:hAnsi="Times New Roman" w:cs="Times New Roman"/>
          <w:sz w:val="14"/>
          <w:szCs w:val="14"/>
        </w:rPr>
        <w:t>), 2025.</w:t>
      </w:r>
    </w:p>
    <w:p w14:paraId="68DE2759" w14:textId="77777777" w:rsidR="00510A66" w:rsidRPr="00EA5FCA" w:rsidRDefault="00510A66" w:rsidP="00BF1B50">
      <w:pPr>
        <w:pStyle w:val="PRIMERAPLANA"/>
        <w:spacing w:line="360" w:lineRule="auto"/>
        <w:rPr>
          <w:rFonts w:ascii="Times New Roman" w:hAnsi="Times New Roman"/>
          <w:bCs/>
        </w:rPr>
      </w:pPr>
    </w:p>
    <w:p w14:paraId="1790D630" w14:textId="5E68FC30"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t xml:space="preserve">A </w:t>
      </w:r>
      <w:proofErr w:type="gramStart"/>
      <w:r w:rsidRPr="00EA5FCA">
        <w:rPr>
          <w:rFonts w:ascii="Times New Roman" w:hAnsi="Times New Roman"/>
          <w:bCs/>
        </w:rPr>
        <w:t>continuación</w:t>
      </w:r>
      <w:proofErr w:type="gramEnd"/>
      <w:r w:rsidRPr="00EA5FCA">
        <w:rPr>
          <w:rFonts w:ascii="Times New Roman" w:hAnsi="Times New Roman"/>
          <w:bCs/>
        </w:rPr>
        <w:t xml:space="preserve"> se colocaron</w:t>
      </w:r>
      <w:r w:rsidR="00034E31">
        <w:rPr>
          <w:rFonts w:ascii="Times New Roman" w:hAnsi="Times New Roman"/>
          <w:bCs/>
        </w:rPr>
        <w:t xml:space="preserve"> </w:t>
      </w:r>
      <w:r w:rsidRPr="00EA5FCA">
        <w:rPr>
          <w:rFonts w:ascii="Times New Roman" w:hAnsi="Times New Roman"/>
          <w:bCs/>
        </w:rPr>
        <w:t>las actividades primarias</w:t>
      </w:r>
      <w:r w:rsidR="00034E31">
        <w:rPr>
          <w:rFonts w:ascii="Times New Roman" w:hAnsi="Times New Roman"/>
          <w:bCs/>
        </w:rPr>
        <w:t xml:space="preserve"> </w:t>
      </w:r>
      <w:r w:rsidRPr="00EA5FCA">
        <w:rPr>
          <w:rFonts w:ascii="Times New Roman" w:hAnsi="Times New Roman"/>
          <w:bCs/>
        </w:rPr>
        <w:t>(agricultura, cría y explo</w:t>
      </w:r>
      <w:r w:rsidR="000C3BA3">
        <w:rPr>
          <w:rFonts w:ascii="Times New Roman" w:hAnsi="Times New Roman"/>
          <w:bCs/>
        </w:rPr>
        <w:t>t</w:t>
      </w:r>
      <w:r w:rsidRPr="00EA5FCA">
        <w:rPr>
          <w:rFonts w:ascii="Times New Roman" w:hAnsi="Times New Roman"/>
          <w:bCs/>
        </w:rPr>
        <w:t>ación de animales, aprovechamiento forestal, caza y pesca) que registraron un</w:t>
      </w:r>
      <w:r w:rsidR="00034E31">
        <w:rPr>
          <w:rFonts w:ascii="Times New Roman" w:hAnsi="Times New Roman"/>
          <w:bCs/>
        </w:rPr>
        <w:t xml:space="preserve"> </w:t>
      </w:r>
      <w:r w:rsidRPr="00EA5FCA">
        <w:rPr>
          <w:rFonts w:ascii="Times New Roman" w:hAnsi="Times New Roman"/>
          <w:bCs/>
        </w:rPr>
        <w:t>crecimiento de 1.3</w:t>
      </w:r>
      <w:r w:rsidR="0069230A">
        <w:rPr>
          <w:rFonts w:ascii="Times New Roman" w:hAnsi="Times New Roman"/>
          <w:bCs/>
        </w:rPr>
        <w:t>%</w:t>
      </w:r>
      <w:r w:rsidR="00034E31">
        <w:rPr>
          <w:rFonts w:ascii="Times New Roman" w:hAnsi="Times New Roman"/>
          <w:bCs/>
        </w:rPr>
        <w:t xml:space="preserve"> </w:t>
      </w:r>
      <w:r w:rsidRPr="00EA5FCA">
        <w:rPr>
          <w:rFonts w:ascii="Times New Roman" w:hAnsi="Times New Roman"/>
          <w:bCs/>
        </w:rPr>
        <w:t>en comparación con el primer trimestre de 2024. En este caso, Tlaxcala obtuvo el lugar 22 a nivel nacional, mientras que los primeros los ocuparon Tamaulipas (24.3%), Baja California (23%) y Zacatecas (23%).</w:t>
      </w:r>
    </w:p>
    <w:p w14:paraId="2A759C19" w14:textId="6F2494A8" w:rsidR="00BF1B50" w:rsidRPr="00034E31" w:rsidRDefault="00BF1B50" w:rsidP="00BF1B50">
      <w:pPr>
        <w:pStyle w:val="PRIMERAPLANA"/>
        <w:spacing w:line="360" w:lineRule="auto"/>
        <w:rPr>
          <w:rFonts w:ascii="Times New Roman" w:hAnsi="Times New Roman"/>
          <w:bCs/>
        </w:rPr>
      </w:pPr>
    </w:p>
    <w:p w14:paraId="5E69C598" w14:textId="77777777" w:rsidR="00034E31" w:rsidRPr="00450AD2" w:rsidRDefault="00034E31" w:rsidP="00034E31">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 xml:space="preserve">Variación anual y contribución de las actividades primarias </w:t>
      </w:r>
    </w:p>
    <w:p w14:paraId="1ACE489D" w14:textId="77777777" w:rsidR="00034E31" w:rsidRPr="00450AD2" w:rsidRDefault="00034E31" w:rsidP="00034E31">
      <w:pPr>
        <w:pStyle w:val="p02"/>
        <w:keepLines w:val="0"/>
        <w:widowControl w:val="0"/>
        <w:spacing w:before="0"/>
        <w:ind w:right="0"/>
        <w:jc w:val="center"/>
        <w:rPr>
          <w:rFonts w:ascii="Times New Roman" w:hAnsi="Times New Roman"/>
          <w:b/>
          <w:color w:val="auto"/>
          <w:sz w:val="18"/>
          <w:szCs w:val="18"/>
        </w:rPr>
      </w:pPr>
      <w:r w:rsidRPr="00450AD2">
        <w:rPr>
          <w:rFonts w:ascii="Times New Roman" w:hAnsi="Times New Roman"/>
          <w:b/>
          <w:color w:val="auto"/>
          <w:sz w:val="18"/>
          <w:szCs w:val="18"/>
        </w:rPr>
        <w:t>primer trimestre de 2025</w:t>
      </w:r>
      <w:r w:rsidRPr="00450AD2">
        <w:rPr>
          <w:rFonts w:ascii="Times New Roman" w:hAnsi="Times New Roman"/>
          <w:b/>
          <w:color w:val="auto"/>
          <w:sz w:val="18"/>
          <w:szCs w:val="18"/>
          <w:vertAlign w:val="superscript"/>
        </w:rPr>
        <w:t>1/</w:t>
      </w:r>
    </w:p>
    <w:tbl>
      <w:tblPr>
        <w:tblStyle w:val="Tablaconcuadrcula"/>
        <w:tblW w:w="44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6"/>
        <w:gridCol w:w="146"/>
        <w:gridCol w:w="3918"/>
      </w:tblGrid>
      <w:tr w:rsidR="005E1DC0" w:rsidRPr="00450AD2" w14:paraId="75522FC0" w14:textId="77777777" w:rsidTr="00450AD2">
        <w:trPr>
          <w:trHeight w:hRule="exact" w:val="414"/>
        </w:trPr>
        <w:tc>
          <w:tcPr>
            <w:tcW w:w="3561" w:type="dxa"/>
            <w:vAlign w:val="center"/>
          </w:tcPr>
          <w:p w14:paraId="76C47431" w14:textId="77777777" w:rsidR="00034E31" w:rsidRPr="00450AD2" w:rsidRDefault="00034E31" w:rsidP="00E70066">
            <w:pPr>
              <w:pStyle w:val="p0"/>
              <w:spacing w:before="0"/>
              <w:jc w:val="center"/>
              <w:rPr>
                <w:rFonts w:ascii="Times New Roman" w:hAnsi="Times New Roman" w:cs="Times New Roman"/>
                <w:b/>
                <w:bCs/>
                <w:color w:val="auto"/>
                <w:sz w:val="18"/>
                <w:szCs w:val="18"/>
                <w:lang w:val="es-MX"/>
              </w:rPr>
            </w:pPr>
            <w:r w:rsidRPr="00450AD2">
              <w:rPr>
                <w:rFonts w:ascii="Times New Roman" w:hAnsi="Times New Roman" w:cs="Times New Roman"/>
                <w:b/>
                <w:bCs/>
                <w:color w:val="auto"/>
                <w:sz w:val="18"/>
                <w:szCs w:val="18"/>
              </w:rPr>
              <w:t xml:space="preserve">Variación porcentual real </w:t>
            </w:r>
            <w:r w:rsidRPr="00450AD2">
              <w:rPr>
                <w:rFonts w:ascii="Times New Roman" w:hAnsi="Times New Roman" w:cs="Times New Roman"/>
                <w:b/>
                <w:bCs/>
                <w:color w:val="auto"/>
                <w:sz w:val="18"/>
                <w:szCs w:val="18"/>
              </w:rPr>
              <w:br/>
              <w:t>respecto al primer trimestre de 2024</w:t>
            </w:r>
          </w:p>
        </w:tc>
        <w:tc>
          <w:tcPr>
            <w:tcW w:w="128" w:type="dxa"/>
            <w:vAlign w:val="center"/>
          </w:tcPr>
          <w:p w14:paraId="69AA6EBD" w14:textId="77777777" w:rsidR="00034E31" w:rsidRPr="00450AD2" w:rsidRDefault="00034E31" w:rsidP="00E70066">
            <w:pPr>
              <w:pStyle w:val="p0"/>
              <w:spacing w:before="0"/>
              <w:jc w:val="center"/>
              <w:rPr>
                <w:rFonts w:ascii="Times New Roman" w:hAnsi="Times New Roman" w:cs="Times New Roman"/>
                <w:b/>
                <w:bCs/>
                <w:color w:val="auto"/>
                <w:sz w:val="18"/>
                <w:szCs w:val="18"/>
                <w:lang w:val="es-MX"/>
              </w:rPr>
            </w:pPr>
          </w:p>
        </w:tc>
        <w:tc>
          <w:tcPr>
            <w:tcW w:w="3456" w:type="dxa"/>
            <w:vAlign w:val="center"/>
          </w:tcPr>
          <w:p w14:paraId="4A673B13" w14:textId="77777777" w:rsidR="00034E31" w:rsidRPr="00450AD2" w:rsidRDefault="00034E31" w:rsidP="00E70066">
            <w:pPr>
              <w:pStyle w:val="p0"/>
              <w:spacing w:before="0"/>
              <w:jc w:val="center"/>
              <w:rPr>
                <w:rFonts w:ascii="Times New Roman" w:hAnsi="Times New Roman" w:cs="Times New Roman"/>
                <w:b/>
                <w:bCs/>
                <w:color w:val="auto"/>
                <w:sz w:val="18"/>
                <w:szCs w:val="18"/>
                <w:lang w:val="es-MX"/>
              </w:rPr>
            </w:pPr>
            <w:r w:rsidRPr="00450AD2">
              <w:rPr>
                <w:rFonts w:ascii="Times New Roman" w:hAnsi="Times New Roman" w:cs="Times New Roman"/>
                <w:b/>
                <w:bCs/>
                <w:color w:val="auto"/>
                <w:sz w:val="18"/>
                <w:szCs w:val="18"/>
              </w:rPr>
              <w:t xml:space="preserve">Contribución a la variación total real </w:t>
            </w:r>
            <w:r w:rsidRPr="00450AD2">
              <w:rPr>
                <w:rFonts w:ascii="Times New Roman" w:hAnsi="Times New Roman" w:cs="Times New Roman"/>
                <w:b/>
                <w:bCs/>
                <w:color w:val="auto"/>
                <w:sz w:val="18"/>
                <w:szCs w:val="18"/>
              </w:rPr>
              <w:br/>
              <w:t>de las actividades primarias</w:t>
            </w:r>
            <w:r w:rsidRPr="00450AD2">
              <w:rPr>
                <w:rFonts w:ascii="Times New Roman" w:hAnsi="Times New Roman" w:cs="Times New Roman"/>
                <w:b/>
                <w:bCs/>
                <w:color w:val="auto"/>
                <w:sz w:val="18"/>
                <w:szCs w:val="18"/>
                <w:vertAlign w:val="superscript"/>
              </w:rPr>
              <w:t>2/</w:t>
            </w:r>
          </w:p>
        </w:tc>
      </w:tr>
      <w:tr w:rsidR="005E1DC0" w:rsidRPr="00121E0C" w14:paraId="207BE895" w14:textId="77777777" w:rsidTr="00450AD2">
        <w:tblPrEx>
          <w:tblCellMar>
            <w:left w:w="70" w:type="dxa"/>
            <w:right w:w="70" w:type="dxa"/>
          </w:tblCellMar>
        </w:tblPrEx>
        <w:trPr>
          <w:trHeight w:val="6274"/>
        </w:trPr>
        <w:tc>
          <w:tcPr>
            <w:tcW w:w="3561" w:type="dxa"/>
            <w:vAlign w:val="center"/>
          </w:tcPr>
          <w:p w14:paraId="6CFECF82" w14:textId="77777777" w:rsidR="00034E31" w:rsidRPr="00121E0C" w:rsidRDefault="00034E31" w:rsidP="00E70066">
            <w:pPr>
              <w:pStyle w:val="p0"/>
              <w:spacing w:before="0"/>
              <w:jc w:val="center"/>
              <w:rPr>
                <w:rFonts w:ascii="Arial" w:hAnsi="Arial"/>
                <w:color w:val="auto"/>
                <w:sz w:val="16"/>
                <w:szCs w:val="16"/>
                <w:lang w:val="es-MX"/>
              </w:rPr>
            </w:pPr>
            <w:r>
              <w:rPr>
                <w:noProof/>
              </w:rPr>
              <w:drawing>
                <wp:inline distT="0" distB="0" distL="0" distR="0" wp14:anchorId="4F8F2C2C" wp14:editId="4438A040">
                  <wp:extent cx="2494280" cy="4436828"/>
                  <wp:effectExtent l="0" t="0" r="1270" b="1905"/>
                  <wp:docPr id="527116628"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28" w:type="dxa"/>
            <w:vAlign w:val="center"/>
          </w:tcPr>
          <w:p w14:paraId="066BAAB0" w14:textId="77777777" w:rsidR="00034E31" w:rsidRPr="00121E0C" w:rsidRDefault="00034E31" w:rsidP="00E70066">
            <w:pPr>
              <w:pStyle w:val="p0"/>
              <w:spacing w:before="0"/>
              <w:jc w:val="center"/>
              <w:rPr>
                <w:rFonts w:ascii="Arial" w:hAnsi="Arial"/>
                <w:color w:val="auto"/>
                <w:sz w:val="16"/>
                <w:szCs w:val="16"/>
                <w:lang w:val="es-MX"/>
              </w:rPr>
            </w:pPr>
          </w:p>
        </w:tc>
        <w:tc>
          <w:tcPr>
            <w:tcW w:w="3456" w:type="dxa"/>
            <w:vAlign w:val="center"/>
          </w:tcPr>
          <w:p w14:paraId="6B7FCA2C" w14:textId="77777777" w:rsidR="00034E31" w:rsidRPr="00121E0C" w:rsidRDefault="00034E31" w:rsidP="00E70066">
            <w:pPr>
              <w:pStyle w:val="p0"/>
              <w:spacing w:before="0"/>
              <w:jc w:val="center"/>
              <w:rPr>
                <w:rFonts w:ascii="Arial" w:hAnsi="Arial"/>
                <w:color w:val="auto"/>
                <w:sz w:val="16"/>
                <w:szCs w:val="16"/>
                <w:lang w:val="es-MX"/>
              </w:rPr>
            </w:pPr>
            <w:r>
              <w:rPr>
                <w:noProof/>
              </w:rPr>
              <w:drawing>
                <wp:inline distT="0" distB="0" distL="0" distR="0" wp14:anchorId="521912A3" wp14:editId="75977929">
                  <wp:extent cx="2406650" cy="4460682"/>
                  <wp:effectExtent l="0" t="0" r="12700" b="16510"/>
                  <wp:docPr id="1248112392" name="Gráfico 1">
                    <a:extLst xmlns:a="http://schemas.openxmlformats.org/drawingml/2006/main">
                      <a:ext uri="{FF2B5EF4-FFF2-40B4-BE49-F238E27FC236}">
                        <a16:creationId xmlns:a16="http://schemas.microsoft.com/office/drawing/2014/main" id="{354D1881-021D-42B8-BB4A-190F3F2D3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C965380" w14:textId="77777777" w:rsidR="00034E31" w:rsidRPr="001970D5" w:rsidRDefault="00034E31" w:rsidP="00450AD2">
      <w:pPr>
        <w:pStyle w:val="Textoindependiente"/>
        <w:spacing w:line="240" w:lineRule="auto"/>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3E0E3842" w14:textId="77777777" w:rsidR="00034E31" w:rsidRPr="001970D5" w:rsidRDefault="00034E31" w:rsidP="00450AD2">
      <w:pPr>
        <w:pStyle w:val="Textoindependiente"/>
        <w:spacing w:line="240" w:lineRule="auto"/>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lastRenderedPageBreak/>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Las contribuciones se obtienen ponderando las tasas de crecimiento con la participación que cada estado tiene en las actividades primarias.</w:t>
      </w:r>
    </w:p>
    <w:p w14:paraId="4290FEE3" w14:textId="77777777" w:rsidR="00034E31" w:rsidRPr="001970D5" w:rsidRDefault="00034E31" w:rsidP="00450AD2">
      <w:pPr>
        <w:pStyle w:val="Textoindependiente"/>
        <w:spacing w:line="240" w:lineRule="auto"/>
        <w:ind w:left="742" w:right="91" w:hanging="630"/>
        <w:rPr>
          <w:rFonts w:ascii="Times New Roman" w:hAnsi="Times New Roman" w:cs="Times New Roman"/>
          <w:snapToGrid w:val="0"/>
          <w:sz w:val="14"/>
          <w:szCs w:val="22"/>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2DA5C90F" w14:textId="77777777" w:rsidR="00034E31" w:rsidRPr="00EA5FCA" w:rsidRDefault="00034E31" w:rsidP="00BF1B50">
      <w:pPr>
        <w:pStyle w:val="PRIMERAPLANA"/>
        <w:spacing w:line="360" w:lineRule="auto"/>
        <w:rPr>
          <w:rFonts w:ascii="Times New Roman" w:hAnsi="Times New Roman"/>
          <w:bCs/>
        </w:rPr>
      </w:pPr>
    </w:p>
    <w:p w14:paraId="7106948C" w14:textId="64159F91" w:rsidR="00BF1B50" w:rsidRDefault="00BF1B50" w:rsidP="00BF1B50">
      <w:pPr>
        <w:pStyle w:val="PRIMERAPLANA"/>
        <w:spacing w:line="360" w:lineRule="auto"/>
        <w:rPr>
          <w:rFonts w:ascii="Times New Roman" w:hAnsi="Times New Roman"/>
          <w:bCs/>
        </w:rPr>
      </w:pPr>
      <w:r w:rsidRPr="00EA5FCA">
        <w:rPr>
          <w:rFonts w:ascii="Times New Roman" w:hAnsi="Times New Roman"/>
          <w:bCs/>
        </w:rPr>
        <w:t>Las</w:t>
      </w:r>
      <w:r w:rsidR="005E1DC0">
        <w:rPr>
          <w:rFonts w:ascii="Times New Roman" w:hAnsi="Times New Roman"/>
          <w:bCs/>
        </w:rPr>
        <w:t xml:space="preserve"> </w:t>
      </w:r>
      <w:r w:rsidRPr="00EA5FCA">
        <w:rPr>
          <w:rFonts w:ascii="Times New Roman" w:hAnsi="Times New Roman"/>
          <w:bCs/>
        </w:rPr>
        <w:t>actividades secundarias</w:t>
      </w:r>
      <w:r w:rsidR="005E1DC0">
        <w:rPr>
          <w:rFonts w:ascii="Times New Roman" w:hAnsi="Times New Roman"/>
          <w:bCs/>
        </w:rPr>
        <w:t xml:space="preserve"> </w:t>
      </w:r>
      <w:r w:rsidRPr="00EA5FCA">
        <w:rPr>
          <w:rFonts w:ascii="Times New Roman" w:hAnsi="Times New Roman"/>
          <w:bCs/>
        </w:rPr>
        <w:t>(minería, manufacturas, construcción y electricidad) fueron el sector con menor crecimiento en los primeros tres meses de este año con</w:t>
      </w:r>
      <w:r w:rsidR="005E1DC0">
        <w:rPr>
          <w:rFonts w:ascii="Times New Roman" w:hAnsi="Times New Roman"/>
          <w:bCs/>
        </w:rPr>
        <w:t xml:space="preserve"> </w:t>
      </w:r>
      <w:r w:rsidRPr="00EA5FCA">
        <w:rPr>
          <w:rFonts w:ascii="Times New Roman" w:hAnsi="Times New Roman"/>
          <w:bCs/>
        </w:rPr>
        <w:t>apenas 0.4</w:t>
      </w:r>
      <w:r w:rsidR="0069230A">
        <w:rPr>
          <w:rFonts w:ascii="Times New Roman" w:hAnsi="Times New Roman"/>
          <w:bCs/>
        </w:rPr>
        <w:t>%</w:t>
      </w:r>
      <w:r w:rsidR="005E1DC0">
        <w:rPr>
          <w:rFonts w:ascii="Times New Roman" w:hAnsi="Times New Roman"/>
          <w:bCs/>
        </w:rPr>
        <w:t xml:space="preserve"> </w:t>
      </w:r>
      <w:r w:rsidRPr="00EA5FCA">
        <w:rPr>
          <w:rFonts w:ascii="Times New Roman" w:hAnsi="Times New Roman"/>
          <w:bCs/>
        </w:rPr>
        <w:t xml:space="preserve">que le </w:t>
      </w:r>
      <w:proofErr w:type="spellStart"/>
      <w:r w:rsidRPr="00EA5FCA">
        <w:rPr>
          <w:rFonts w:ascii="Times New Roman" w:hAnsi="Times New Roman"/>
          <w:bCs/>
        </w:rPr>
        <w:t>dió</w:t>
      </w:r>
      <w:proofErr w:type="spellEnd"/>
      <w:r w:rsidRPr="00EA5FCA">
        <w:rPr>
          <w:rFonts w:ascii="Times New Roman" w:hAnsi="Times New Roman"/>
          <w:bCs/>
        </w:rPr>
        <w:t xml:space="preserve"> a la entidad la posición 19 respecto al resto del país. En tanto que las actividades de este rubro en Oaxaca (15%), Nayarit (12.6%) y la Ciudad de México (8.9%) tuvieron el mejor comportamiento del periodo.</w:t>
      </w:r>
    </w:p>
    <w:p w14:paraId="70CC0248" w14:textId="77777777" w:rsidR="005E1DC0" w:rsidRDefault="005E1DC0" w:rsidP="00BF1B50">
      <w:pPr>
        <w:pStyle w:val="PRIMERAPLANA"/>
        <w:spacing w:line="360" w:lineRule="auto"/>
        <w:rPr>
          <w:rFonts w:ascii="Times New Roman" w:hAnsi="Times New Roman"/>
          <w:bCs/>
        </w:rPr>
      </w:pPr>
    </w:p>
    <w:p w14:paraId="7F9BAFB0" w14:textId="77777777" w:rsidR="000C41DD" w:rsidRPr="00450AD2" w:rsidRDefault="000C41DD" w:rsidP="000C41DD">
      <w:pPr>
        <w:pStyle w:val="p02"/>
        <w:keepLines w:val="0"/>
        <w:widowControl w:val="0"/>
        <w:spacing w:before="0"/>
        <w:ind w:right="0"/>
        <w:jc w:val="center"/>
        <w:rPr>
          <w:rFonts w:ascii="Times New Roman" w:hAnsi="Times New Roman"/>
          <w:b/>
          <w:color w:val="auto"/>
          <w:sz w:val="18"/>
          <w:szCs w:val="16"/>
        </w:rPr>
      </w:pPr>
      <w:r w:rsidRPr="00450AD2">
        <w:rPr>
          <w:rFonts w:ascii="Times New Roman" w:hAnsi="Times New Roman"/>
          <w:b/>
          <w:color w:val="auto"/>
          <w:sz w:val="18"/>
          <w:szCs w:val="16"/>
        </w:rPr>
        <w:t xml:space="preserve">Variación anual y contribución de las actividades secundarias </w:t>
      </w:r>
    </w:p>
    <w:p w14:paraId="12AFF252" w14:textId="77777777" w:rsidR="000C41DD" w:rsidRPr="00450AD2" w:rsidRDefault="000C41DD" w:rsidP="000C41DD">
      <w:pPr>
        <w:pStyle w:val="p02"/>
        <w:keepLines w:val="0"/>
        <w:widowControl w:val="0"/>
        <w:spacing w:before="0"/>
        <w:ind w:right="0"/>
        <w:jc w:val="center"/>
        <w:rPr>
          <w:rFonts w:ascii="Times New Roman" w:hAnsi="Times New Roman"/>
          <w:b/>
          <w:color w:val="auto"/>
          <w:sz w:val="16"/>
          <w:szCs w:val="16"/>
        </w:rPr>
      </w:pPr>
      <w:r w:rsidRPr="00450AD2">
        <w:rPr>
          <w:rFonts w:ascii="Times New Roman" w:hAnsi="Times New Roman"/>
          <w:b/>
          <w:color w:val="auto"/>
          <w:sz w:val="16"/>
          <w:szCs w:val="14"/>
        </w:rPr>
        <w:t xml:space="preserve">primer trimestre </w:t>
      </w:r>
      <w:r w:rsidRPr="00450AD2">
        <w:rPr>
          <w:rFonts w:ascii="Times New Roman" w:hAnsi="Times New Roman"/>
          <w:b/>
          <w:color w:val="auto"/>
          <w:sz w:val="16"/>
          <w:szCs w:val="16"/>
        </w:rPr>
        <w:t>de 2025</w:t>
      </w:r>
      <w:r w:rsidRPr="00450AD2">
        <w:rPr>
          <w:rFonts w:ascii="Times New Roman" w:hAnsi="Times New Roman"/>
          <w:b/>
          <w:color w:val="auto"/>
          <w:sz w:val="16"/>
          <w:szCs w:val="16"/>
          <w:vertAlign w:val="superscript"/>
        </w:rPr>
        <w:t>1/</w:t>
      </w:r>
    </w:p>
    <w:tbl>
      <w:tblPr>
        <w:tblStyle w:val="Tablaconcuadrcula"/>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96"/>
        <w:gridCol w:w="146"/>
        <w:gridCol w:w="3858"/>
      </w:tblGrid>
      <w:tr w:rsidR="000C41DD" w:rsidRPr="00450AD2" w14:paraId="3A642108" w14:textId="77777777" w:rsidTr="00450AD2">
        <w:trPr>
          <w:trHeight w:hRule="exact" w:val="367"/>
        </w:trPr>
        <w:tc>
          <w:tcPr>
            <w:tcW w:w="4058" w:type="dxa"/>
            <w:vAlign w:val="center"/>
          </w:tcPr>
          <w:p w14:paraId="02EFDF2D" w14:textId="77777777" w:rsidR="000C41DD" w:rsidRPr="00450AD2" w:rsidRDefault="000C41DD" w:rsidP="00E70066">
            <w:pPr>
              <w:pStyle w:val="p0"/>
              <w:spacing w:before="0"/>
              <w:jc w:val="center"/>
              <w:rPr>
                <w:rFonts w:ascii="Times New Roman" w:hAnsi="Times New Roman" w:cs="Times New Roman"/>
                <w:b/>
                <w:bCs/>
                <w:color w:val="auto"/>
                <w:sz w:val="16"/>
                <w:szCs w:val="16"/>
                <w:lang w:val="es-MX"/>
              </w:rPr>
            </w:pPr>
            <w:r w:rsidRPr="00450AD2">
              <w:rPr>
                <w:rFonts w:ascii="Times New Roman" w:hAnsi="Times New Roman" w:cs="Times New Roman"/>
                <w:b/>
                <w:bCs/>
                <w:color w:val="auto"/>
                <w:sz w:val="16"/>
                <w:szCs w:val="16"/>
              </w:rPr>
              <w:t xml:space="preserve">Variación porcentual real </w:t>
            </w:r>
            <w:r w:rsidRPr="00450AD2">
              <w:rPr>
                <w:rFonts w:ascii="Times New Roman" w:hAnsi="Times New Roman" w:cs="Times New Roman"/>
                <w:b/>
                <w:bCs/>
                <w:color w:val="auto"/>
                <w:sz w:val="16"/>
                <w:szCs w:val="16"/>
              </w:rPr>
              <w:br/>
              <w:t>respecto al primer trimestre de 2024</w:t>
            </w:r>
          </w:p>
        </w:tc>
        <w:tc>
          <w:tcPr>
            <w:tcW w:w="144" w:type="dxa"/>
            <w:vAlign w:val="center"/>
          </w:tcPr>
          <w:p w14:paraId="47517B58" w14:textId="77777777" w:rsidR="000C41DD" w:rsidRPr="00450AD2" w:rsidRDefault="000C41DD" w:rsidP="00E70066">
            <w:pPr>
              <w:pStyle w:val="p0"/>
              <w:spacing w:before="0"/>
              <w:jc w:val="center"/>
              <w:rPr>
                <w:rFonts w:ascii="Times New Roman" w:hAnsi="Times New Roman" w:cs="Times New Roman"/>
                <w:b/>
                <w:bCs/>
                <w:color w:val="auto"/>
                <w:sz w:val="16"/>
                <w:szCs w:val="16"/>
                <w:lang w:val="es-MX"/>
              </w:rPr>
            </w:pPr>
          </w:p>
        </w:tc>
        <w:tc>
          <w:tcPr>
            <w:tcW w:w="3822" w:type="dxa"/>
            <w:vAlign w:val="center"/>
          </w:tcPr>
          <w:p w14:paraId="1BF5A914" w14:textId="77777777" w:rsidR="000C41DD" w:rsidRPr="00450AD2" w:rsidRDefault="000C41DD" w:rsidP="00E70066">
            <w:pPr>
              <w:pStyle w:val="p0"/>
              <w:spacing w:before="0"/>
              <w:jc w:val="center"/>
              <w:rPr>
                <w:rFonts w:ascii="Times New Roman" w:hAnsi="Times New Roman" w:cs="Times New Roman"/>
                <w:b/>
                <w:bCs/>
                <w:color w:val="auto"/>
                <w:sz w:val="16"/>
                <w:szCs w:val="16"/>
                <w:lang w:val="es-MX"/>
              </w:rPr>
            </w:pPr>
            <w:r w:rsidRPr="00450AD2">
              <w:rPr>
                <w:rFonts w:ascii="Times New Roman" w:hAnsi="Times New Roman" w:cs="Times New Roman"/>
                <w:b/>
                <w:bCs/>
                <w:color w:val="auto"/>
                <w:sz w:val="16"/>
                <w:szCs w:val="16"/>
              </w:rPr>
              <w:t xml:space="preserve">Contribución a la variación total real </w:t>
            </w:r>
            <w:r w:rsidRPr="00450AD2">
              <w:rPr>
                <w:rFonts w:ascii="Times New Roman" w:hAnsi="Times New Roman" w:cs="Times New Roman"/>
                <w:b/>
                <w:bCs/>
                <w:color w:val="auto"/>
                <w:sz w:val="16"/>
                <w:szCs w:val="16"/>
              </w:rPr>
              <w:br/>
              <w:t>de las actividades secundarias</w:t>
            </w:r>
            <w:r w:rsidRPr="00450AD2">
              <w:rPr>
                <w:rFonts w:ascii="Times New Roman" w:hAnsi="Times New Roman" w:cs="Times New Roman"/>
                <w:b/>
                <w:bCs/>
                <w:color w:val="auto"/>
                <w:sz w:val="16"/>
                <w:szCs w:val="16"/>
                <w:vertAlign w:val="superscript"/>
              </w:rPr>
              <w:t>2/</w:t>
            </w:r>
          </w:p>
        </w:tc>
      </w:tr>
      <w:tr w:rsidR="000C41DD" w:rsidRPr="00450AD2" w14:paraId="6E417491" w14:textId="77777777" w:rsidTr="00450AD2">
        <w:tblPrEx>
          <w:tblCellMar>
            <w:left w:w="70" w:type="dxa"/>
            <w:right w:w="70" w:type="dxa"/>
          </w:tblCellMar>
        </w:tblPrEx>
        <w:trPr>
          <w:trHeight w:val="5568"/>
        </w:trPr>
        <w:tc>
          <w:tcPr>
            <w:tcW w:w="4058" w:type="dxa"/>
            <w:vAlign w:val="center"/>
          </w:tcPr>
          <w:p w14:paraId="2E5415A9" w14:textId="77777777" w:rsidR="000C41DD" w:rsidRPr="00450AD2" w:rsidRDefault="000C41DD" w:rsidP="00E70066">
            <w:pPr>
              <w:pStyle w:val="p0"/>
              <w:spacing w:before="0"/>
              <w:jc w:val="center"/>
              <w:rPr>
                <w:rFonts w:ascii="Arial" w:hAnsi="Arial"/>
                <w:b/>
                <w:bCs/>
                <w:color w:val="4D565E"/>
                <w:sz w:val="16"/>
                <w:szCs w:val="16"/>
                <w:lang w:val="es-MX"/>
              </w:rPr>
            </w:pPr>
            <w:r w:rsidRPr="00450AD2">
              <w:rPr>
                <w:noProof/>
                <w:sz w:val="16"/>
                <w:szCs w:val="16"/>
              </w:rPr>
              <w:drawing>
                <wp:inline distT="0" distB="0" distL="0" distR="0" wp14:anchorId="07A025A2" wp14:editId="4B4DD95E">
                  <wp:extent cx="2523490" cy="4595854"/>
                  <wp:effectExtent l="0" t="0" r="10160" b="14605"/>
                  <wp:docPr id="1031353204" name="Gráfico 1">
                    <a:extLst xmlns:a="http://schemas.openxmlformats.org/drawingml/2006/main">
                      <a:ext uri="{FF2B5EF4-FFF2-40B4-BE49-F238E27FC236}">
                        <a16:creationId xmlns:a16="http://schemas.microsoft.com/office/drawing/2014/main" id="{3BE532D4-0D08-43CE-B144-47EA4546F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44" w:type="dxa"/>
            <w:vAlign w:val="center"/>
          </w:tcPr>
          <w:p w14:paraId="6ACFC17E" w14:textId="77777777" w:rsidR="000C41DD" w:rsidRPr="00450AD2" w:rsidRDefault="000C41DD" w:rsidP="00E70066">
            <w:pPr>
              <w:pStyle w:val="p0"/>
              <w:spacing w:before="0"/>
              <w:jc w:val="center"/>
              <w:rPr>
                <w:rFonts w:ascii="Arial" w:hAnsi="Arial"/>
                <w:color w:val="auto"/>
                <w:sz w:val="16"/>
                <w:szCs w:val="16"/>
                <w:lang w:val="es-MX"/>
              </w:rPr>
            </w:pPr>
          </w:p>
        </w:tc>
        <w:tc>
          <w:tcPr>
            <w:tcW w:w="3822" w:type="dxa"/>
            <w:vAlign w:val="center"/>
          </w:tcPr>
          <w:p w14:paraId="3F3EFB74" w14:textId="77777777" w:rsidR="000C41DD" w:rsidRPr="00450AD2" w:rsidRDefault="000C41DD" w:rsidP="00E70066">
            <w:pPr>
              <w:pStyle w:val="p0"/>
              <w:spacing w:before="0"/>
              <w:jc w:val="center"/>
              <w:rPr>
                <w:rFonts w:ascii="Arial" w:hAnsi="Arial"/>
                <w:color w:val="auto"/>
                <w:sz w:val="16"/>
                <w:szCs w:val="16"/>
                <w:lang w:val="es-MX"/>
              </w:rPr>
            </w:pPr>
            <w:r w:rsidRPr="00450AD2">
              <w:rPr>
                <w:noProof/>
                <w:sz w:val="16"/>
                <w:szCs w:val="16"/>
              </w:rPr>
              <w:drawing>
                <wp:inline distT="0" distB="0" distL="0" distR="0" wp14:anchorId="472B2D44" wp14:editId="5A6CE1E6">
                  <wp:extent cx="2377440" cy="4587903"/>
                  <wp:effectExtent l="0" t="0" r="3810" b="3175"/>
                  <wp:docPr id="424019486" name="Gráfico 1">
                    <a:extLst xmlns:a="http://schemas.openxmlformats.org/drawingml/2006/main">
                      <a:ext uri="{FF2B5EF4-FFF2-40B4-BE49-F238E27FC236}">
                        <a16:creationId xmlns:a16="http://schemas.microsoft.com/office/drawing/2014/main" id="{FBAEC800-1CAC-4BE0-B60D-B9BA7770F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021E04D" w14:textId="77777777" w:rsidR="000C41DD" w:rsidRPr="001970D5" w:rsidRDefault="000C41DD" w:rsidP="000C41DD">
      <w:pPr>
        <w:pStyle w:val="Textoindependiente"/>
        <w:ind w:left="742" w:right="91" w:hanging="630"/>
        <w:rPr>
          <w:rFonts w:ascii="Times New Roman" w:hAnsi="Times New Roman" w:cs="Times New Roman"/>
          <w:sz w:val="14"/>
          <w:szCs w:val="14"/>
          <w:vertAlign w:val="superscript"/>
        </w:rPr>
      </w:pPr>
      <w:r w:rsidRPr="001970D5">
        <w:rPr>
          <w:rFonts w:ascii="Times New Roman" w:hAnsi="Times New Roman" w:cs="Times New Roman"/>
          <w:sz w:val="14"/>
          <w:szCs w:val="14"/>
          <w:vertAlign w:val="superscript"/>
        </w:rPr>
        <w:t>1/</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Cifras preliminares.</w:t>
      </w:r>
    </w:p>
    <w:p w14:paraId="0EA6CD1B" w14:textId="77777777" w:rsidR="000C41DD" w:rsidRPr="001970D5" w:rsidRDefault="000C41DD" w:rsidP="000C41DD">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vertAlign w:val="superscript"/>
        </w:rPr>
        <w:lastRenderedPageBreak/>
        <w:t>2/</w:t>
      </w:r>
      <w:r w:rsidRPr="001970D5">
        <w:rPr>
          <w:rFonts w:ascii="Times New Roman" w:hAnsi="Times New Roman" w:cs="Times New Roman"/>
          <w:sz w:val="14"/>
          <w:szCs w:val="14"/>
          <w:vertAlign w:val="superscript"/>
        </w:rPr>
        <w:tab/>
      </w:r>
      <w:r w:rsidRPr="001970D5">
        <w:rPr>
          <w:rFonts w:ascii="Times New Roman" w:hAnsi="Times New Roman" w:cs="Times New Roman"/>
          <w:sz w:val="14"/>
          <w:szCs w:val="14"/>
        </w:rPr>
        <w:t xml:space="preserve">Las contribuciones se obtienen ponderando las tasas de crecimiento con la participación que cada estado tiene en las actividades secundarias. </w:t>
      </w:r>
    </w:p>
    <w:p w14:paraId="30174433" w14:textId="77777777" w:rsidR="000C41DD" w:rsidRPr="001970D5" w:rsidRDefault="000C41DD" w:rsidP="000C41DD">
      <w:pPr>
        <w:pStyle w:val="Textoindependiente"/>
        <w:ind w:left="742" w:right="91" w:hanging="630"/>
        <w:rPr>
          <w:rFonts w:ascii="Times New Roman" w:hAnsi="Times New Roman" w:cs="Times New Roman"/>
          <w:sz w:val="14"/>
          <w:szCs w:val="14"/>
        </w:rPr>
      </w:pPr>
      <w:r w:rsidRPr="001970D5">
        <w:rPr>
          <w:rFonts w:ascii="Times New Roman" w:hAnsi="Times New Roman" w:cs="Times New Roman"/>
          <w:sz w:val="14"/>
          <w:szCs w:val="14"/>
        </w:rPr>
        <w:t>Fuente:</w:t>
      </w:r>
      <w:r w:rsidRPr="001970D5">
        <w:rPr>
          <w:rFonts w:ascii="Times New Roman" w:hAnsi="Times New Roman" w:cs="Times New Roman"/>
          <w:sz w:val="14"/>
          <w:szCs w:val="14"/>
        </w:rPr>
        <w:tab/>
      </w:r>
      <w:proofErr w:type="spellStart"/>
      <w:r w:rsidRPr="001970D5">
        <w:rPr>
          <w:rFonts w:ascii="Times New Roman" w:hAnsi="Times New Roman" w:cs="Times New Roman"/>
          <w:smallCaps/>
          <w:sz w:val="14"/>
          <w:szCs w:val="14"/>
        </w:rPr>
        <w:t>inegi</w:t>
      </w:r>
      <w:proofErr w:type="spellEnd"/>
      <w:r w:rsidRPr="001970D5">
        <w:rPr>
          <w:rFonts w:ascii="Times New Roman" w:hAnsi="Times New Roman" w:cs="Times New Roman"/>
          <w:smallCaps/>
          <w:sz w:val="14"/>
          <w:szCs w:val="14"/>
        </w:rPr>
        <w:t>.</w:t>
      </w:r>
      <w:r w:rsidRPr="001970D5">
        <w:rPr>
          <w:rFonts w:ascii="Times New Roman" w:hAnsi="Times New Roman" w:cs="Times New Roman"/>
          <w:sz w:val="14"/>
          <w:szCs w:val="14"/>
        </w:rPr>
        <w:t xml:space="preserve"> Sistema de Cuentas Nacionales de México</w:t>
      </w:r>
      <w:r w:rsidRPr="001970D5">
        <w:rPr>
          <w:rFonts w:ascii="Times New Roman" w:hAnsi="Times New Roman" w:cs="Times New Roman"/>
          <w:smallCaps/>
          <w:sz w:val="14"/>
          <w:szCs w:val="14"/>
        </w:rPr>
        <w:t xml:space="preserve"> (</w:t>
      </w:r>
      <w:proofErr w:type="spellStart"/>
      <w:r w:rsidRPr="001970D5">
        <w:rPr>
          <w:rFonts w:ascii="Times New Roman" w:hAnsi="Times New Roman" w:cs="Times New Roman"/>
          <w:smallCaps/>
          <w:sz w:val="14"/>
          <w:szCs w:val="14"/>
        </w:rPr>
        <w:t>scnm</w:t>
      </w:r>
      <w:proofErr w:type="spellEnd"/>
      <w:r w:rsidRPr="001970D5">
        <w:rPr>
          <w:rFonts w:ascii="Times New Roman" w:hAnsi="Times New Roman" w:cs="Times New Roman"/>
          <w:smallCaps/>
          <w:sz w:val="14"/>
          <w:szCs w:val="14"/>
        </w:rPr>
        <w:t xml:space="preserve">). </w:t>
      </w:r>
      <w:r w:rsidRPr="001970D5">
        <w:rPr>
          <w:rFonts w:ascii="Times New Roman" w:hAnsi="Times New Roman" w:cs="Times New Roman"/>
          <w:sz w:val="14"/>
          <w:szCs w:val="14"/>
        </w:rPr>
        <w:t>Indicador Trimestral de la Actividad Económica Estatal (</w:t>
      </w:r>
      <w:proofErr w:type="spellStart"/>
      <w:r w:rsidRPr="001970D5">
        <w:rPr>
          <w:rFonts w:ascii="Times New Roman" w:hAnsi="Times New Roman" w:cs="Times New Roman"/>
          <w:smallCaps/>
          <w:sz w:val="14"/>
          <w:szCs w:val="14"/>
        </w:rPr>
        <w:t>itaee</w:t>
      </w:r>
      <w:proofErr w:type="spellEnd"/>
      <w:r w:rsidRPr="001970D5">
        <w:rPr>
          <w:rFonts w:ascii="Times New Roman" w:hAnsi="Times New Roman" w:cs="Times New Roman"/>
          <w:sz w:val="14"/>
          <w:szCs w:val="14"/>
        </w:rPr>
        <w:t>), 2025.</w:t>
      </w:r>
    </w:p>
    <w:p w14:paraId="247DB7DF" w14:textId="696688AC"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t>Tlaxcala</w:t>
      </w:r>
      <w:r w:rsidR="00E756B5">
        <w:rPr>
          <w:rFonts w:ascii="Times New Roman" w:hAnsi="Times New Roman"/>
          <w:bCs/>
        </w:rPr>
        <w:t>,</w:t>
      </w:r>
      <w:r w:rsidR="000C41DD">
        <w:rPr>
          <w:rFonts w:ascii="Times New Roman" w:hAnsi="Times New Roman"/>
          <w:bCs/>
        </w:rPr>
        <w:t xml:space="preserve"> </w:t>
      </w:r>
      <w:r w:rsidRPr="00EA5FCA">
        <w:rPr>
          <w:rFonts w:ascii="Times New Roman" w:hAnsi="Times New Roman"/>
          <w:bCs/>
        </w:rPr>
        <w:t>junto a Guerrero, Hidalgo, Michoacán, Morelo</w:t>
      </w:r>
      <w:r w:rsidR="00B8446B">
        <w:rPr>
          <w:rFonts w:ascii="Times New Roman" w:hAnsi="Times New Roman"/>
          <w:bCs/>
        </w:rPr>
        <w:t>s</w:t>
      </w:r>
      <w:r w:rsidRPr="00EA5FCA">
        <w:rPr>
          <w:rFonts w:ascii="Times New Roman" w:hAnsi="Times New Roman"/>
          <w:bCs/>
        </w:rPr>
        <w:t>, Puebla y Querétaro</w:t>
      </w:r>
      <w:r w:rsidR="00E756B5">
        <w:rPr>
          <w:rFonts w:ascii="Times New Roman" w:hAnsi="Times New Roman"/>
          <w:bCs/>
        </w:rPr>
        <w:t>,</w:t>
      </w:r>
      <w:r w:rsidRPr="00EA5FCA">
        <w:rPr>
          <w:rFonts w:ascii="Times New Roman" w:hAnsi="Times New Roman"/>
          <w:bCs/>
        </w:rPr>
        <w:t xml:space="preserve"> forma</w:t>
      </w:r>
      <w:r w:rsidR="00E756B5">
        <w:rPr>
          <w:rFonts w:ascii="Times New Roman" w:hAnsi="Times New Roman"/>
          <w:bCs/>
        </w:rPr>
        <w:t>n</w:t>
      </w:r>
      <w:r w:rsidRPr="00EA5FCA">
        <w:rPr>
          <w:rFonts w:ascii="Times New Roman" w:hAnsi="Times New Roman"/>
          <w:bCs/>
        </w:rPr>
        <w:t xml:space="preserve"> parte de la</w:t>
      </w:r>
      <w:r w:rsidR="000C41DD">
        <w:rPr>
          <w:rFonts w:ascii="Times New Roman" w:hAnsi="Times New Roman"/>
          <w:bCs/>
        </w:rPr>
        <w:t xml:space="preserve"> </w:t>
      </w:r>
      <w:r w:rsidRPr="00EA5FCA">
        <w:rPr>
          <w:rFonts w:ascii="Times New Roman" w:hAnsi="Times New Roman"/>
          <w:bCs/>
        </w:rPr>
        <w:t>región centro sur</w:t>
      </w:r>
      <w:r w:rsidR="000C41DD">
        <w:rPr>
          <w:rFonts w:ascii="Times New Roman" w:hAnsi="Times New Roman"/>
          <w:bCs/>
        </w:rPr>
        <w:t xml:space="preserve"> </w:t>
      </w:r>
      <w:r w:rsidRPr="00EA5FCA">
        <w:rPr>
          <w:rFonts w:ascii="Times New Roman" w:hAnsi="Times New Roman"/>
          <w:bCs/>
        </w:rPr>
        <w:t>del país que en el mismo periodo registró un</w:t>
      </w:r>
      <w:r w:rsidR="000C41DD">
        <w:rPr>
          <w:rFonts w:ascii="Times New Roman" w:hAnsi="Times New Roman"/>
          <w:bCs/>
        </w:rPr>
        <w:t xml:space="preserve"> </w:t>
      </w:r>
      <w:r w:rsidRPr="00EA5FCA">
        <w:rPr>
          <w:rFonts w:ascii="Times New Roman" w:hAnsi="Times New Roman"/>
          <w:bCs/>
        </w:rPr>
        <w:t>incremento de 1.4</w:t>
      </w:r>
      <w:r w:rsidR="0069230A">
        <w:rPr>
          <w:rFonts w:ascii="Times New Roman" w:hAnsi="Times New Roman"/>
          <w:bCs/>
        </w:rPr>
        <w:t>%</w:t>
      </w:r>
      <w:r w:rsidRPr="00EA5FCA">
        <w:rPr>
          <w:rFonts w:ascii="Times New Roman" w:hAnsi="Times New Roman"/>
          <w:bCs/>
        </w:rPr>
        <w:t xml:space="preserve"> en su actividad económica; principalmente impulsado por el sector primario con 4.7</w:t>
      </w:r>
      <w:r w:rsidR="0069230A">
        <w:rPr>
          <w:rFonts w:ascii="Times New Roman" w:hAnsi="Times New Roman"/>
          <w:bCs/>
        </w:rPr>
        <w:t>%</w:t>
      </w:r>
      <w:r w:rsidRPr="00EA5FCA">
        <w:rPr>
          <w:rFonts w:ascii="Times New Roman" w:hAnsi="Times New Roman"/>
          <w:bCs/>
        </w:rPr>
        <w:t xml:space="preserve"> de crecimiento, seguido de las actividades terciarias que tuvieron 2.1</w:t>
      </w:r>
      <w:r w:rsidR="0069230A">
        <w:rPr>
          <w:rFonts w:ascii="Times New Roman" w:hAnsi="Times New Roman"/>
          <w:bCs/>
        </w:rPr>
        <w:t>%</w:t>
      </w:r>
      <w:r w:rsidRPr="00EA5FCA">
        <w:rPr>
          <w:rFonts w:ascii="Times New Roman" w:hAnsi="Times New Roman"/>
          <w:bCs/>
        </w:rPr>
        <w:t xml:space="preserve"> más actividad económica; pero el sector secundario perdió 0.6</w:t>
      </w:r>
      <w:r w:rsidR="0069230A">
        <w:rPr>
          <w:rFonts w:ascii="Times New Roman" w:hAnsi="Times New Roman"/>
          <w:bCs/>
        </w:rPr>
        <w:t>%</w:t>
      </w:r>
      <w:r w:rsidRPr="00EA5FCA">
        <w:rPr>
          <w:rFonts w:ascii="Times New Roman" w:hAnsi="Times New Roman"/>
          <w:bCs/>
        </w:rPr>
        <w:t xml:space="preserve"> de su actividad.</w:t>
      </w:r>
    </w:p>
    <w:p w14:paraId="0603A6FA" w14:textId="62C11A1C" w:rsidR="00BF1B50" w:rsidRPr="00EA5FCA" w:rsidRDefault="00BF1B50" w:rsidP="00BF1B50">
      <w:pPr>
        <w:pStyle w:val="PRIMERAPLANA"/>
        <w:spacing w:line="360" w:lineRule="auto"/>
        <w:rPr>
          <w:rFonts w:ascii="Times New Roman" w:hAnsi="Times New Roman"/>
          <w:bCs/>
        </w:rPr>
      </w:pPr>
    </w:p>
    <w:p w14:paraId="55298ACD" w14:textId="697CB9B0"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t>La actividad económica de la región centro-sur</w:t>
      </w:r>
      <w:r w:rsidR="000C41DD">
        <w:rPr>
          <w:rFonts w:ascii="Times New Roman" w:hAnsi="Times New Roman"/>
          <w:bCs/>
        </w:rPr>
        <w:t xml:space="preserve"> </w:t>
      </w:r>
      <w:r w:rsidRPr="00EA5FCA">
        <w:rPr>
          <w:rFonts w:ascii="Times New Roman" w:hAnsi="Times New Roman"/>
          <w:bCs/>
        </w:rPr>
        <w:t>representó 13.3</w:t>
      </w:r>
      <w:r w:rsidR="0069230A">
        <w:rPr>
          <w:rFonts w:ascii="Times New Roman" w:hAnsi="Times New Roman"/>
          <w:bCs/>
        </w:rPr>
        <w:t>%</w:t>
      </w:r>
      <w:r w:rsidRPr="00EA5FCA">
        <w:rPr>
          <w:rFonts w:ascii="Times New Roman" w:hAnsi="Times New Roman"/>
          <w:bCs/>
        </w:rPr>
        <w:t xml:space="preserve"> del total de las actividades en México. El primer lugar lo obtuvo el norte con 28.2</w:t>
      </w:r>
      <w:r w:rsidR="0069230A">
        <w:rPr>
          <w:rFonts w:ascii="Times New Roman" w:hAnsi="Times New Roman"/>
          <w:bCs/>
        </w:rPr>
        <w:t>%</w:t>
      </w:r>
      <w:r w:rsidRPr="00EA5FCA">
        <w:rPr>
          <w:rFonts w:ascii="Times New Roman" w:hAnsi="Times New Roman"/>
          <w:bCs/>
        </w:rPr>
        <w:t>, le siguió la región centro con 24.4</w:t>
      </w:r>
      <w:r w:rsidR="0069230A">
        <w:rPr>
          <w:rFonts w:ascii="Times New Roman" w:hAnsi="Times New Roman"/>
          <w:bCs/>
        </w:rPr>
        <w:t>%</w:t>
      </w:r>
      <w:r w:rsidRPr="00EA5FCA">
        <w:rPr>
          <w:rFonts w:ascii="Times New Roman" w:hAnsi="Times New Roman"/>
          <w:bCs/>
        </w:rPr>
        <w:t>, la región centro norte con 19</w:t>
      </w:r>
      <w:r w:rsidR="0069230A">
        <w:rPr>
          <w:rFonts w:ascii="Times New Roman" w:hAnsi="Times New Roman"/>
          <w:bCs/>
        </w:rPr>
        <w:t>%</w:t>
      </w:r>
      <w:r w:rsidRPr="00EA5FCA">
        <w:rPr>
          <w:rFonts w:ascii="Times New Roman" w:hAnsi="Times New Roman"/>
          <w:bCs/>
        </w:rPr>
        <w:t>, y la región sur-sureste con 15.1</w:t>
      </w:r>
      <w:r w:rsidR="0069230A">
        <w:rPr>
          <w:rFonts w:ascii="Times New Roman" w:hAnsi="Times New Roman"/>
          <w:bCs/>
        </w:rPr>
        <w:t>%</w:t>
      </w:r>
      <w:r w:rsidRPr="00EA5FCA">
        <w:rPr>
          <w:rFonts w:ascii="Times New Roman" w:hAnsi="Times New Roman"/>
          <w:bCs/>
        </w:rPr>
        <w:t>.</w:t>
      </w:r>
    </w:p>
    <w:p w14:paraId="35BECD57" w14:textId="29062C93" w:rsidR="00BF1B50" w:rsidRPr="00EA5FCA" w:rsidRDefault="00BF1B50" w:rsidP="00BF1B50">
      <w:pPr>
        <w:pStyle w:val="PRIMERAPLANA"/>
        <w:spacing w:line="360" w:lineRule="auto"/>
        <w:rPr>
          <w:rFonts w:ascii="Times New Roman" w:hAnsi="Times New Roman"/>
          <w:bCs/>
        </w:rPr>
      </w:pPr>
    </w:p>
    <w:p w14:paraId="73D84789" w14:textId="4F257C6A" w:rsidR="00BF1B50" w:rsidRPr="00EA5FCA" w:rsidRDefault="00BF1B50" w:rsidP="00BF1B50">
      <w:pPr>
        <w:pStyle w:val="PRIMERAPLANA"/>
        <w:spacing w:line="360" w:lineRule="auto"/>
        <w:rPr>
          <w:rFonts w:ascii="Times New Roman" w:hAnsi="Times New Roman"/>
          <w:bCs/>
        </w:rPr>
      </w:pPr>
      <w:r w:rsidRPr="00EA5FCA">
        <w:rPr>
          <w:rFonts w:ascii="Times New Roman" w:hAnsi="Times New Roman"/>
          <w:bCs/>
        </w:rPr>
        <w:t>E</w:t>
      </w:r>
      <w:r w:rsidR="001970D5">
        <w:rPr>
          <w:rFonts w:ascii="Times New Roman" w:hAnsi="Times New Roman"/>
          <w:bCs/>
        </w:rPr>
        <w:t xml:space="preserve">l </w:t>
      </w:r>
      <w:r w:rsidRPr="00EA5FCA">
        <w:rPr>
          <w:rFonts w:ascii="Times New Roman" w:hAnsi="Times New Roman"/>
          <w:bCs/>
        </w:rPr>
        <w:t>aporte de Tlaxcala para la región fue de 0.05</w:t>
      </w:r>
      <w:r w:rsidR="0069230A">
        <w:rPr>
          <w:rFonts w:ascii="Times New Roman" w:hAnsi="Times New Roman"/>
          <w:bCs/>
        </w:rPr>
        <w:t>%</w:t>
      </w:r>
      <w:r w:rsidRPr="00EA5FCA">
        <w:rPr>
          <w:rFonts w:ascii="Times New Roman" w:hAnsi="Times New Roman"/>
          <w:bCs/>
        </w:rPr>
        <w:t xml:space="preserve"> que le </w:t>
      </w:r>
      <w:proofErr w:type="spellStart"/>
      <w:r w:rsidRPr="00EA5FCA">
        <w:rPr>
          <w:rFonts w:ascii="Times New Roman" w:hAnsi="Times New Roman"/>
          <w:bCs/>
        </w:rPr>
        <w:t>dió</w:t>
      </w:r>
      <w:proofErr w:type="spellEnd"/>
      <w:r w:rsidRPr="00EA5FCA">
        <w:rPr>
          <w:rFonts w:ascii="Times New Roman" w:hAnsi="Times New Roman"/>
          <w:bCs/>
        </w:rPr>
        <w:t xml:space="preserve"> la posición seis de las siete entidades que la conforman. En este caso, Guerrero fue la entidad con mayor aporte al registrar 0.65</w:t>
      </w:r>
      <w:r w:rsidR="0069230A">
        <w:rPr>
          <w:rFonts w:ascii="Times New Roman" w:hAnsi="Times New Roman"/>
          <w:bCs/>
        </w:rPr>
        <w:t>%</w:t>
      </w:r>
      <w:r w:rsidRPr="00EA5FCA">
        <w:rPr>
          <w:rFonts w:ascii="Times New Roman" w:hAnsi="Times New Roman"/>
          <w:bCs/>
        </w:rPr>
        <w:t>, y por el contrario Puebla mostró una pérdida de 0.04</w:t>
      </w:r>
      <w:r w:rsidR="0069230A">
        <w:rPr>
          <w:rFonts w:ascii="Times New Roman" w:hAnsi="Times New Roman"/>
          <w:bCs/>
        </w:rPr>
        <w:t>%</w:t>
      </w:r>
      <w:r w:rsidR="000C41DD">
        <w:rPr>
          <w:rFonts w:ascii="Times New Roman" w:hAnsi="Times New Roman"/>
          <w:bCs/>
        </w:rPr>
        <w:t>.</w:t>
      </w:r>
    </w:p>
    <w:p w14:paraId="72B78D3F" w14:textId="77777777" w:rsidR="00BF1B50" w:rsidRPr="00FD37DE" w:rsidRDefault="00BF1B50" w:rsidP="006011E9">
      <w:pPr>
        <w:pStyle w:val="PRIMERAPLANA"/>
        <w:spacing w:line="360" w:lineRule="auto"/>
        <w:rPr>
          <w:rFonts w:ascii="Times New Roman" w:hAnsi="Times New Roman"/>
          <w:bCs/>
        </w:rPr>
      </w:pPr>
    </w:p>
    <w:p w14:paraId="0CF83F47" w14:textId="6B0600CE" w:rsidR="004B31E9" w:rsidRDefault="001D4071" w:rsidP="004B31E9">
      <w:pPr>
        <w:pStyle w:val="PRIMERAPLANA"/>
        <w:spacing w:line="360" w:lineRule="auto"/>
        <w:rPr>
          <w:rFonts w:ascii="Times New Roman" w:hAnsi="Times New Roman"/>
          <w:bCs/>
          <w:highlight w:val="yellow"/>
        </w:rPr>
      </w:pPr>
      <w:r w:rsidRPr="004B31E9">
        <w:rPr>
          <w:rFonts w:ascii="Times New Roman" w:hAnsi="Times New Roman"/>
          <w:bCs/>
        </w:rPr>
        <w:t>Se es</w:t>
      </w:r>
      <w:r w:rsidR="00A939E3" w:rsidRPr="004B31E9">
        <w:rPr>
          <w:rFonts w:ascii="Times New Roman" w:hAnsi="Times New Roman"/>
          <w:bCs/>
        </w:rPr>
        <w:t>tima</w:t>
      </w:r>
      <w:r w:rsidRPr="004B31E9">
        <w:rPr>
          <w:rFonts w:ascii="Times New Roman" w:hAnsi="Times New Roman"/>
          <w:bCs/>
        </w:rPr>
        <w:t xml:space="preserve"> </w:t>
      </w:r>
      <w:r w:rsidR="00696753" w:rsidRPr="004B31E9">
        <w:rPr>
          <w:rFonts w:ascii="Times New Roman" w:hAnsi="Times New Roman"/>
          <w:bCs/>
        </w:rPr>
        <w:t xml:space="preserve">que </w:t>
      </w:r>
      <w:r w:rsidR="00A939E3" w:rsidRPr="004B31E9">
        <w:rPr>
          <w:rFonts w:ascii="Times New Roman" w:hAnsi="Times New Roman"/>
          <w:bCs/>
        </w:rPr>
        <w:t>la Entidad</w:t>
      </w:r>
      <w:r w:rsidR="00696753" w:rsidRPr="004B31E9">
        <w:rPr>
          <w:rFonts w:ascii="Times New Roman" w:hAnsi="Times New Roman"/>
          <w:bCs/>
        </w:rPr>
        <w:t xml:space="preserve"> siga registrando márgenes operativos positivos en 202</w:t>
      </w:r>
      <w:r w:rsidR="00FD290D" w:rsidRPr="004B31E9">
        <w:rPr>
          <w:rFonts w:ascii="Times New Roman" w:hAnsi="Times New Roman"/>
          <w:bCs/>
        </w:rPr>
        <w:t>6</w:t>
      </w:r>
      <w:r w:rsidR="004301B9" w:rsidRPr="004B31E9">
        <w:rPr>
          <w:rFonts w:ascii="Times New Roman" w:hAnsi="Times New Roman"/>
          <w:bCs/>
        </w:rPr>
        <w:t>,</w:t>
      </w:r>
      <w:r w:rsidR="00696753" w:rsidRPr="004B31E9">
        <w:rPr>
          <w:rFonts w:ascii="Times New Roman" w:hAnsi="Times New Roman"/>
          <w:bCs/>
        </w:rPr>
        <w:t xml:space="preserve"> </w:t>
      </w:r>
      <w:r w:rsidR="002D60EB" w:rsidRPr="004B31E9">
        <w:rPr>
          <w:rFonts w:ascii="Times New Roman" w:hAnsi="Times New Roman"/>
          <w:bCs/>
        </w:rPr>
        <w:t>pero</w:t>
      </w:r>
      <w:r w:rsidR="00696753" w:rsidRPr="004B31E9">
        <w:rPr>
          <w:rFonts w:ascii="Times New Roman" w:hAnsi="Times New Roman"/>
          <w:bCs/>
        </w:rPr>
        <w:t xml:space="preserve"> menores a los observados en </w:t>
      </w:r>
      <w:r w:rsidR="000055DB" w:rsidRPr="004B31E9">
        <w:rPr>
          <w:rFonts w:ascii="Times New Roman" w:hAnsi="Times New Roman"/>
          <w:bCs/>
        </w:rPr>
        <w:t xml:space="preserve">2025 y </w:t>
      </w:r>
      <w:r w:rsidR="00696753" w:rsidRPr="004B31E9">
        <w:rPr>
          <w:rFonts w:ascii="Times New Roman" w:hAnsi="Times New Roman"/>
          <w:bCs/>
        </w:rPr>
        <w:t>años previos</w:t>
      </w:r>
      <w:r w:rsidR="004B31E9" w:rsidRPr="004B31E9">
        <w:rPr>
          <w:rFonts w:ascii="Times New Roman" w:hAnsi="Times New Roman"/>
          <w:bCs/>
        </w:rPr>
        <w:t>. Las asignaciones en el PPEF 2026 para los gobiernos locales, que se integran por</w:t>
      </w:r>
      <w:r w:rsidR="004B31E9">
        <w:rPr>
          <w:rFonts w:ascii="Times New Roman" w:hAnsi="Times New Roman"/>
          <w:bCs/>
        </w:rPr>
        <w:t xml:space="preserve"> </w:t>
      </w:r>
      <w:r w:rsidR="004B31E9" w:rsidRPr="004B31E9">
        <w:rPr>
          <w:rFonts w:ascii="Times New Roman" w:hAnsi="Times New Roman"/>
          <w:bCs/>
        </w:rPr>
        <w:t xml:space="preserve">participaciones, aportaciones y otros conceptos, sumarán 2,810.8 </w:t>
      </w:r>
      <w:proofErr w:type="spellStart"/>
      <w:r w:rsidR="004B31E9" w:rsidRPr="004B31E9">
        <w:rPr>
          <w:rFonts w:ascii="Times New Roman" w:hAnsi="Times New Roman"/>
          <w:bCs/>
        </w:rPr>
        <w:t>mmp</w:t>
      </w:r>
      <w:proofErr w:type="spellEnd"/>
      <w:r w:rsidR="004B31E9" w:rsidRPr="004B31E9">
        <w:rPr>
          <w:rFonts w:ascii="Times New Roman" w:hAnsi="Times New Roman"/>
          <w:bCs/>
        </w:rPr>
        <w:t>, 3.0% más en términos reales que</w:t>
      </w:r>
      <w:r w:rsidR="004B31E9">
        <w:rPr>
          <w:rFonts w:ascii="Times New Roman" w:hAnsi="Times New Roman"/>
          <w:bCs/>
        </w:rPr>
        <w:t xml:space="preserve"> </w:t>
      </w:r>
      <w:r w:rsidR="004B31E9" w:rsidRPr="004B31E9">
        <w:rPr>
          <w:rFonts w:ascii="Times New Roman" w:hAnsi="Times New Roman"/>
          <w:bCs/>
        </w:rPr>
        <w:t>en el aprobado de 2025.</w:t>
      </w:r>
    </w:p>
    <w:p w14:paraId="60F94E73" w14:textId="77777777" w:rsidR="004B31E9" w:rsidRDefault="004B31E9" w:rsidP="00696753">
      <w:pPr>
        <w:pStyle w:val="PRIMERAPLANA"/>
        <w:spacing w:line="360" w:lineRule="auto"/>
        <w:rPr>
          <w:rFonts w:ascii="Times New Roman" w:hAnsi="Times New Roman"/>
          <w:bCs/>
          <w:highlight w:val="yellow"/>
        </w:rPr>
      </w:pPr>
    </w:p>
    <w:tbl>
      <w:tblPr>
        <w:tblW w:w="7785" w:type="dxa"/>
        <w:jc w:val="center"/>
        <w:tblCellMar>
          <w:left w:w="70" w:type="dxa"/>
          <w:right w:w="70" w:type="dxa"/>
        </w:tblCellMar>
        <w:tblLook w:val="04A0" w:firstRow="1" w:lastRow="0" w:firstColumn="1" w:lastColumn="0" w:noHBand="0" w:noVBand="1"/>
      </w:tblPr>
      <w:tblGrid>
        <w:gridCol w:w="2268"/>
        <w:gridCol w:w="748"/>
        <w:gridCol w:w="903"/>
        <w:gridCol w:w="759"/>
        <w:gridCol w:w="851"/>
        <w:gridCol w:w="752"/>
        <w:gridCol w:w="752"/>
        <w:gridCol w:w="752"/>
      </w:tblGrid>
      <w:tr w:rsidR="004B31E9" w:rsidRPr="00B75492" w14:paraId="07BF1035" w14:textId="77777777" w:rsidTr="004B31E9">
        <w:trPr>
          <w:trHeight w:val="300"/>
          <w:tblHeader/>
          <w:jc w:val="center"/>
        </w:trPr>
        <w:tc>
          <w:tcPr>
            <w:tcW w:w="7785" w:type="dxa"/>
            <w:gridSpan w:val="8"/>
            <w:tcBorders>
              <w:top w:val="nil"/>
              <w:left w:val="nil"/>
              <w:bottom w:val="nil"/>
              <w:right w:val="nil"/>
            </w:tcBorders>
          </w:tcPr>
          <w:p w14:paraId="65634602" w14:textId="17CC900A" w:rsidR="004B31E9" w:rsidRPr="00B75492" w:rsidRDefault="00B75492" w:rsidP="007245B8">
            <w:pPr>
              <w:jc w:val="center"/>
              <w:rPr>
                <w:b/>
                <w:bCs/>
                <w:color w:val="000000"/>
                <w:sz w:val="16"/>
                <w:szCs w:val="16"/>
              </w:rPr>
            </w:pPr>
            <w:r>
              <w:rPr>
                <w:b/>
                <w:bCs/>
                <w:color w:val="000000"/>
                <w:sz w:val="16"/>
                <w:szCs w:val="16"/>
              </w:rPr>
              <w:t>Transferencias federales a las entidades federativas, 2025-2026</w:t>
            </w:r>
          </w:p>
          <w:p w14:paraId="2C81B9BB" w14:textId="24F10208" w:rsidR="004B31E9" w:rsidRPr="00B75492" w:rsidRDefault="004B31E9" w:rsidP="007245B8">
            <w:pPr>
              <w:jc w:val="center"/>
              <w:rPr>
                <w:b/>
                <w:bCs/>
                <w:color w:val="000000"/>
                <w:sz w:val="16"/>
                <w:szCs w:val="16"/>
                <w:lang w:eastAsia="es-MX"/>
              </w:rPr>
            </w:pPr>
            <w:r w:rsidRPr="00B75492">
              <w:rPr>
                <w:b/>
                <w:bCs/>
                <w:color w:val="000000"/>
                <w:sz w:val="16"/>
                <w:szCs w:val="16"/>
              </w:rPr>
              <w:t>(</w:t>
            </w:r>
            <w:r w:rsidR="00B75492">
              <w:rPr>
                <w:b/>
                <w:bCs/>
                <w:color w:val="000000"/>
                <w:sz w:val="16"/>
                <w:szCs w:val="16"/>
              </w:rPr>
              <w:t>Miles de millones de pesos</w:t>
            </w:r>
            <w:r w:rsidRPr="00B75492">
              <w:rPr>
                <w:b/>
                <w:bCs/>
                <w:color w:val="000000"/>
                <w:sz w:val="16"/>
                <w:szCs w:val="16"/>
              </w:rPr>
              <w:t>)</w:t>
            </w:r>
          </w:p>
        </w:tc>
      </w:tr>
      <w:tr w:rsidR="00B75492" w:rsidRPr="00B75492" w14:paraId="37B0A9BA" w14:textId="77777777" w:rsidTr="00B75492">
        <w:trPr>
          <w:trHeight w:val="300"/>
          <w:tblHeader/>
          <w:jc w:val="center"/>
        </w:trPr>
        <w:tc>
          <w:tcPr>
            <w:tcW w:w="2268" w:type="dxa"/>
            <w:vMerge w:val="restart"/>
            <w:tcBorders>
              <w:top w:val="single" w:sz="4" w:space="0" w:color="auto"/>
              <w:left w:val="nil"/>
              <w:right w:val="nil"/>
            </w:tcBorders>
            <w:shd w:val="clear" w:color="auto" w:fill="E4C776"/>
            <w:noWrap/>
            <w:vAlign w:val="center"/>
            <w:hideMark/>
          </w:tcPr>
          <w:p w14:paraId="47DD697E" w14:textId="4776D656" w:rsidR="00B75492" w:rsidRPr="00B75492" w:rsidRDefault="00B75492" w:rsidP="00B75492">
            <w:pPr>
              <w:jc w:val="center"/>
              <w:rPr>
                <w:b/>
                <w:bCs/>
                <w:color w:val="740000"/>
                <w:sz w:val="16"/>
                <w:szCs w:val="16"/>
              </w:rPr>
            </w:pPr>
            <w:r w:rsidRPr="00B75492">
              <w:rPr>
                <w:b/>
                <w:bCs/>
                <w:color w:val="740000"/>
                <w:sz w:val="16"/>
                <w:szCs w:val="16"/>
              </w:rPr>
              <w:t>CONCEPTO</w:t>
            </w:r>
          </w:p>
        </w:tc>
        <w:tc>
          <w:tcPr>
            <w:tcW w:w="1651" w:type="dxa"/>
            <w:gridSpan w:val="2"/>
            <w:tcBorders>
              <w:top w:val="single" w:sz="4" w:space="0" w:color="auto"/>
              <w:left w:val="nil"/>
              <w:bottom w:val="single" w:sz="4" w:space="0" w:color="auto"/>
            </w:tcBorders>
            <w:shd w:val="clear" w:color="auto" w:fill="E4C776"/>
            <w:noWrap/>
            <w:vAlign w:val="center"/>
            <w:hideMark/>
          </w:tcPr>
          <w:p w14:paraId="63263719" w14:textId="623F9E20" w:rsidR="00B75492" w:rsidRPr="00B75492" w:rsidRDefault="00B75492" w:rsidP="007245B8">
            <w:pPr>
              <w:jc w:val="center"/>
              <w:rPr>
                <w:b/>
                <w:bCs/>
                <w:color w:val="740000"/>
                <w:sz w:val="16"/>
                <w:szCs w:val="16"/>
              </w:rPr>
            </w:pPr>
            <w:r w:rsidRPr="00B75492">
              <w:rPr>
                <w:b/>
                <w:bCs/>
                <w:color w:val="740000"/>
                <w:sz w:val="16"/>
                <w:szCs w:val="16"/>
              </w:rPr>
              <w:t>2025</w:t>
            </w:r>
          </w:p>
        </w:tc>
        <w:tc>
          <w:tcPr>
            <w:tcW w:w="759" w:type="dxa"/>
            <w:tcBorders>
              <w:top w:val="single" w:sz="4" w:space="0" w:color="auto"/>
              <w:right w:val="nil"/>
            </w:tcBorders>
            <w:shd w:val="clear" w:color="auto" w:fill="E4C776"/>
            <w:vAlign w:val="center"/>
          </w:tcPr>
          <w:p w14:paraId="4C1C9CD6" w14:textId="2DBDD72E" w:rsidR="00B75492" w:rsidRPr="00B75492" w:rsidRDefault="00B75492" w:rsidP="007245B8">
            <w:pPr>
              <w:jc w:val="center"/>
              <w:rPr>
                <w:b/>
                <w:bCs/>
                <w:color w:val="740000"/>
                <w:sz w:val="16"/>
                <w:szCs w:val="16"/>
              </w:rPr>
            </w:pPr>
          </w:p>
        </w:tc>
        <w:tc>
          <w:tcPr>
            <w:tcW w:w="3107" w:type="dxa"/>
            <w:gridSpan w:val="4"/>
            <w:tcBorders>
              <w:top w:val="single" w:sz="4" w:space="0" w:color="auto"/>
              <w:bottom w:val="single" w:sz="4" w:space="0" w:color="auto"/>
              <w:right w:val="nil"/>
            </w:tcBorders>
            <w:shd w:val="clear" w:color="auto" w:fill="E4C776"/>
            <w:vAlign w:val="center"/>
          </w:tcPr>
          <w:p w14:paraId="6B712EE4" w14:textId="232918D3" w:rsidR="00B75492" w:rsidRPr="00B75492" w:rsidRDefault="00B75492" w:rsidP="004B31E9">
            <w:pPr>
              <w:jc w:val="center"/>
              <w:rPr>
                <w:b/>
                <w:bCs/>
                <w:color w:val="740000"/>
                <w:sz w:val="16"/>
                <w:szCs w:val="16"/>
              </w:rPr>
            </w:pPr>
            <w:r w:rsidRPr="00B75492">
              <w:rPr>
                <w:b/>
                <w:bCs/>
                <w:color w:val="740000"/>
                <w:sz w:val="16"/>
                <w:szCs w:val="16"/>
              </w:rPr>
              <w:t>Variación 2025-2026</w:t>
            </w:r>
          </w:p>
        </w:tc>
      </w:tr>
      <w:tr w:rsidR="00B75492" w:rsidRPr="00B75492" w14:paraId="0FB4687A" w14:textId="77777777" w:rsidTr="00942058">
        <w:trPr>
          <w:trHeight w:val="300"/>
          <w:tblHeader/>
          <w:jc w:val="center"/>
        </w:trPr>
        <w:tc>
          <w:tcPr>
            <w:tcW w:w="2268" w:type="dxa"/>
            <w:vMerge/>
            <w:tcBorders>
              <w:left w:val="nil"/>
              <w:right w:val="nil"/>
            </w:tcBorders>
            <w:shd w:val="clear" w:color="auto" w:fill="E4C776"/>
            <w:noWrap/>
            <w:vAlign w:val="center"/>
          </w:tcPr>
          <w:p w14:paraId="7F9D14C2" w14:textId="77777777" w:rsidR="00B75492" w:rsidRPr="00B75492" w:rsidRDefault="00B75492" w:rsidP="007245B8">
            <w:pPr>
              <w:rPr>
                <w:color w:val="000000"/>
                <w:sz w:val="16"/>
                <w:szCs w:val="16"/>
              </w:rPr>
            </w:pPr>
          </w:p>
        </w:tc>
        <w:tc>
          <w:tcPr>
            <w:tcW w:w="748" w:type="dxa"/>
            <w:vMerge w:val="restart"/>
            <w:tcBorders>
              <w:top w:val="single" w:sz="4" w:space="0" w:color="auto"/>
              <w:left w:val="nil"/>
            </w:tcBorders>
            <w:shd w:val="clear" w:color="auto" w:fill="E4C776"/>
            <w:noWrap/>
            <w:vAlign w:val="center"/>
          </w:tcPr>
          <w:p w14:paraId="483252DB" w14:textId="39459DA4" w:rsidR="00B75492" w:rsidRPr="00B75492" w:rsidRDefault="00B75492" w:rsidP="007245B8">
            <w:pPr>
              <w:jc w:val="center"/>
              <w:rPr>
                <w:b/>
                <w:bCs/>
                <w:color w:val="740000"/>
                <w:sz w:val="16"/>
                <w:szCs w:val="16"/>
              </w:rPr>
            </w:pPr>
            <w:r w:rsidRPr="00B75492">
              <w:rPr>
                <w:b/>
                <w:bCs/>
                <w:color w:val="740000"/>
                <w:sz w:val="16"/>
                <w:szCs w:val="16"/>
              </w:rPr>
              <w:t xml:space="preserve">PPEF </w:t>
            </w:r>
            <w:r w:rsidRPr="00B75492">
              <w:rPr>
                <w:b/>
                <w:bCs/>
                <w:color w:val="740000"/>
                <w:sz w:val="12"/>
                <w:szCs w:val="12"/>
              </w:rPr>
              <w:t>p/</w:t>
            </w:r>
          </w:p>
        </w:tc>
        <w:tc>
          <w:tcPr>
            <w:tcW w:w="903" w:type="dxa"/>
            <w:vMerge w:val="restart"/>
            <w:tcBorders>
              <w:top w:val="single" w:sz="4" w:space="0" w:color="auto"/>
              <w:right w:val="nil"/>
            </w:tcBorders>
            <w:shd w:val="clear" w:color="auto" w:fill="E4C776"/>
            <w:vAlign w:val="center"/>
          </w:tcPr>
          <w:p w14:paraId="4DA1897A" w14:textId="241D993A" w:rsidR="00B75492" w:rsidRPr="00B75492" w:rsidRDefault="00B75492" w:rsidP="007245B8">
            <w:pPr>
              <w:jc w:val="center"/>
              <w:rPr>
                <w:b/>
                <w:bCs/>
                <w:color w:val="740000"/>
                <w:sz w:val="16"/>
                <w:szCs w:val="16"/>
              </w:rPr>
            </w:pPr>
            <w:r w:rsidRPr="00B75492">
              <w:rPr>
                <w:b/>
                <w:bCs/>
                <w:color w:val="740000"/>
                <w:sz w:val="16"/>
                <w:szCs w:val="16"/>
              </w:rPr>
              <w:t xml:space="preserve">PEF </w:t>
            </w:r>
            <w:r w:rsidRPr="00B75492">
              <w:rPr>
                <w:b/>
                <w:bCs/>
                <w:color w:val="740000"/>
                <w:sz w:val="12"/>
                <w:szCs w:val="12"/>
              </w:rPr>
              <w:t>a/</w:t>
            </w:r>
          </w:p>
        </w:tc>
        <w:tc>
          <w:tcPr>
            <w:tcW w:w="759" w:type="dxa"/>
            <w:tcBorders>
              <w:right w:val="nil"/>
            </w:tcBorders>
            <w:shd w:val="clear" w:color="auto" w:fill="E4C776"/>
            <w:vAlign w:val="center"/>
          </w:tcPr>
          <w:p w14:paraId="4923F911" w14:textId="35FECD41" w:rsidR="00B75492" w:rsidRPr="00B75492" w:rsidRDefault="00B75492" w:rsidP="007245B8">
            <w:pPr>
              <w:jc w:val="center"/>
              <w:rPr>
                <w:b/>
                <w:bCs/>
                <w:color w:val="740000"/>
                <w:sz w:val="16"/>
                <w:szCs w:val="16"/>
              </w:rPr>
            </w:pPr>
            <w:r w:rsidRPr="00B75492">
              <w:rPr>
                <w:b/>
                <w:bCs/>
                <w:color w:val="740000"/>
                <w:sz w:val="16"/>
                <w:szCs w:val="16"/>
              </w:rPr>
              <w:t>2026</w:t>
            </w:r>
            <w:r w:rsidRPr="00B75492">
              <w:rPr>
                <w:b/>
                <w:bCs/>
                <w:color w:val="740000"/>
                <w:sz w:val="12"/>
                <w:szCs w:val="12"/>
              </w:rPr>
              <w:t>p/</w:t>
            </w:r>
          </w:p>
        </w:tc>
        <w:tc>
          <w:tcPr>
            <w:tcW w:w="1603" w:type="dxa"/>
            <w:gridSpan w:val="2"/>
            <w:tcBorders>
              <w:top w:val="single" w:sz="4" w:space="0" w:color="auto"/>
              <w:bottom w:val="single" w:sz="4" w:space="0" w:color="auto"/>
              <w:right w:val="nil"/>
            </w:tcBorders>
            <w:shd w:val="clear" w:color="auto" w:fill="E4C776"/>
            <w:vAlign w:val="center"/>
          </w:tcPr>
          <w:p w14:paraId="7D022CEE" w14:textId="396D0E60" w:rsidR="00B75492" w:rsidRPr="00B75492" w:rsidRDefault="00B75492" w:rsidP="007245B8">
            <w:pPr>
              <w:jc w:val="center"/>
              <w:rPr>
                <w:b/>
                <w:bCs/>
                <w:color w:val="740000"/>
                <w:sz w:val="16"/>
                <w:szCs w:val="16"/>
              </w:rPr>
            </w:pPr>
            <w:r w:rsidRPr="00B75492">
              <w:rPr>
                <w:b/>
                <w:bCs/>
                <w:color w:val="740000"/>
                <w:sz w:val="16"/>
                <w:szCs w:val="16"/>
              </w:rPr>
              <w:t>Absoluta</w:t>
            </w:r>
          </w:p>
        </w:tc>
        <w:tc>
          <w:tcPr>
            <w:tcW w:w="1504" w:type="dxa"/>
            <w:gridSpan w:val="2"/>
            <w:tcBorders>
              <w:top w:val="single" w:sz="4" w:space="0" w:color="auto"/>
              <w:bottom w:val="single" w:sz="4" w:space="0" w:color="auto"/>
              <w:right w:val="nil"/>
            </w:tcBorders>
            <w:shd w:val="clear" w:color="auto" w:fill="E4C776"/>
            <w:vAlign w:val="center"/>
          </w:tcPr>
          <w:p w14:paraId="4A6E976F" w14:textId="5FB3A6AF" w:rsidR="00B75492" w:rsidRPr="00B75492" w:rsidRDefault="00B75492" w:rsidP="007245B8">
            <w:pPr>
              <w:jc w:val="center"/>
              <w:rPr>
                <w:b/>
                <w:bCs/>
                <w:color w:val="740000"/>
                <w:sz w:val="16"/>
                <w:szCs w:val="16"/>
              </w:rPr>
            </w:pPr>
            <w:r w:rsidRPr="00B75492">
              <w:rPr>
                <w:b/>
                <w:bCs/>
                <w:color w:val="740000"/>
                <w:sz w:val="16"/>
                <w:szCs w:val="16"/>
              </w:rPr>
              <w:t>Porcentual</w:t>
            </w:r>
          </w:p>
        </w:tc>
      </w:tr>
      <w:tr w:rsidR="00B75492" w:rsidRPr="00B75492" w14:paraId="2C2CC584" w14:textId="77777777" w:rsidTr="00555D4B">
        <w:trPr>
          <w:trHeight w:val="300"/>
          <w:tblHeader/>
          <w:jc w:val="center"/>
        </w:trPr>
        <w:tc>
          <w:tcPr>
            <w:tcW w:w="2268" w:type="dxa"/>
            <w:vMerge/>
            <w:tcBorders>
              <w:left w:val="nil"/>
              <w:bottom w:val="single" w:sz="4" w:space="0" w:color="auto"/>
              <w:right w:val="nil"/>
            </w:tcBorders>
            <w:shd w:val="clear" w:color="auto" w:fill="E4C776"/>
            <w:noWrap/>
            <w:vAlign w:val="center"/>
          </w:tcPr>
          <w:p w14:paraId="40915601" w14:textId="77777777" w:rsidR="00B75492" w:rsidRPr="00B75492" w:rsidRDefault="00B75492" w:rsidP="007245B8">
            <w:pPr>
              <w:rPr>
                <w:color w:val="000000"/>
                <w:sz w:val="16"/>
                <w:szCs w:val="16"/>
              </w:rPr>
            </w:pPr>
          </w:p>
        </w:tc>
        <w:tc>
          <w:tcPr>
            <w:tcW w:w="748" w:type="dxa"/>
            <w:vMerge/>
            <w:tcBorders>
              <w:left w:val="nil"/>
              <w:bottom w:val="single" w:sz="4" w:space="0" w:color="auto"/>
            </w:tcBorders>
            <w:shd w:val="clear" w:color="auto" w:fill="E4C776"/>
            <w:noWrap/>
            <w:vAlign w:val="center"/>
          </w:tcPr>
          <w:p w14:paraId="229D397C" w14:textId="0C29C3B5" w:rsidR="00B75492" w:rsidRPr="00B75492" w:rsidRDefault="00B75492" w:rsidP="007245B8">
            <w:pPr>
              <w:jc w:val="center"/>
              <w:rPr>
                <w:b/>
                <w:bCs/>
                <w:color w:val="740000"/>
                <w:sz w:val="16"/>
                <w:szCs w:val="16"/>
              </w:rPr>
            </w:pPr>
          </w:p>
        </w:tc>
        <w:tc>
          <w:tcPr>
            <w:tcW w:w="903" w:type="dxa"/>
            <w:vMerge/>
            <w:tcBorders>
              <w:bottom w:val="single" w:sz="4" w:space="0" w:color="auto"/>
              <w:right w:val="nil"/>
            </w:tcBorders>
            <w:shd w:val="clear" w:color="auto" w:fill="E4C776"/>
            <w:vAlign w:val="center"/>
          </w:tcPr>
          <w:p w14:paraId="04B30AB7" w14:textId="15F64765" w:rsidR="00B75492" w:rsidRPr="00B75492" w:rsidRDefault="00B75492" w:rsidP="007245B8">
            <w:pPr>
              <w:jc w:val="center"/>
              <w:rPr>
                <w:b/>
                <w:bCs/>
                <w:color w:val="740000"/>
                <w:sz w:val="16"/>
                <w:szCs w:val="16"/>
              </w:rPr>
            </w:pPr>
          </w:p>
        </w:tc>
        <w:tc>
          <w:tcPr>
            <w:tcW w:w="759" w:type="dxa"/>
            <w:tcBorders>
              <w:bottom w:val="single" w:sz="4" w:space="0" w:color="auto"/>
              <w:right w:val="nil"/>
            </w:tcBorders>
            <w:shd w:val="clear" w:color="auto" w:fill="E4C776"/>
            <w:vAlign w:val="center"/>
          </w:tcPr>
          <w:p w14:paraId="63AEB897" w14:textId="77777777" w:rsidR="00B75492" w:rsidRPr="00B75492" w:rsidRDefault="00B75492" w:rsidP="007245B8">
            <w:pPr>
              <w:jc w:val="center"/>
              <w:rPr>
                <w:b/>
                <w:bCs/>
                <w:color w:val="740000"/>
                <w:sz w:val="16"/>
                <w:szCs w:val="16"/>
              </w:rPr>
            </w:pPr>
          </w:p>
        </w:tc>
        <w:tc>
          <w:tcPr>
            <w:tcW w:w="851" w:type="dxa"/>
            <w:tcBorders>
              <w:top w:val="single" w:sz="4" w:space="0" w:color="auto"/>
              <w:bottom w:val="single" w:sz="4" w:space="0" w:color="auto"/>
              <w:right w:val="nil"/>
            </w:tcBorders>
            <w:shd w:val="clear" w:color="auto" w:fill="E4C776"/>
            <w:vAlign w:val="center"/>
          </w:tcPr>
          <w:p w14:paraId="40EC55D7" w14:textId="4AC4DE73" w:rsidR="00B75492" w:rsidRPr="00B75492" w:rsidRDefault="00B75492" w:rsidP="007245B8">
            <w:pPr>
              <w:jc w:val="center"/>
              <w:rPr>
                <w:b/>
                <w:bCs/>
                <w:color w:val="740000"/>
                <w:sz w:val="16"/>
                <w:szCs w:val="16"/>
              </w:rPr>
            </w:pPr>
            <w:r w:rsidRPr="00B75492">
              <w:rPr>
                <w:b/>
                <w:bCs/>
                <w:color w:val="740000"/>
                <w:sz w:val="16"/>
                <w:szCs w:val="16"/>
              </w:rPr>
              <w:t>PPEF</w:t>
            </w:r>
          </w:p>
        </w:tc>
        <w:tc>
          <w:tcPr>
            <w:tcW w:w="752" w:type="dxa"/>
            <w:tcBorders>
              <w:top w:val="single" w:sz="4" w:space="0" w:color="auto"/>
              <w:bottom w:val="single" w:sz="4" w:space="0" w:color="auto"/>
              <w:right w:val="nil"/>
            </w:tcBorders>
            <w:shd w:val="clear" w:color="auto" w:fill="E4C776"/>
            <w:vAlign w:val="center"/>
          </w:tcPr>
          <w:p w14:paraId="45A602E7" w14:textId="488D80D5" w:rsidR="00B75492" w:rsidRPr="00B75492" w:rsidRDefault="00B75492" w:rsidP="007245B8">
            <w:pPr>
              <w:jc w:val="center"/>
              <w:rPr>
                <w:b/>
                <w:bCs/>
                <w:color w:val="740000"/>
                <w:sz w:val="16"/>
                <w:szCs w:val="16"/>
              </w:rPr>
            </w:pPr>
            <w:r w:rsidRPr="00B75492">
              <w:rPr>
                <w:b/>
                <w:bCs/>
                <w:color w:val="740000"/>
                <w:sz w:val="16"/>
                <w:szCs w:val="16"/>
              </w:rPr>
              <w:t>PEF</w:t>
            </w:r>
          </w:p>
        </w:tc>
        <w:tc>
          <w:tcPr>
            <w:tcW w:w="752" w:type="dxa"/>
            <w:tcBorders>
              <w:top w:val="single" w:sz="4" w:space="0" w:color="auto"/>
              <w:bottom w:val="single" w:sz="4" w:space="0" w:color="auto"/>
              <w:right w:val="nil"/>
            </w:tcBorders>
            <w:shd w:val="clear" w:color="auto" w:fill="E4C776"/>
            <w:vAlign w:val="center"/>
          </w:tcPr>
          <w:p w14:paraId="0CCA440B" w14:textId="410F3665" w:rsidR="00B75492" w:rsidRPr="00B75492" w:rsidRDefault="00B75492" w:rsidP="007245B8">
            <w:pPr>
              <w:jc w:val="center"/>
              <w:rPr>
                <w:b/>
                <w:bCs/>
                <w:color w:val="740000"/>
                <w:sz w:val="16"/>
                <w:szCs w:val="16"/>
              </w:rPr>
            </w:pPr>
            <w:r w:rsidRPr="00B75492">
              <w:rPr>
                <w:b/>
                <w:bCs/>
                <w:color w:val="740000"/>
                <w:sz w:val="16"/>
                <w:szCs w:val="16"/>
              </w:rPr>
              <w:t>PPEF</w:t>
            </w:r>
          </w:p>
        </w:tc>
        <w:tc>
          <w:tcPr>
            <w:tcW w:w="752" w:type="dxa"/>
            <w:tcBorders>
              <w:top w:val="single" w:sz="4" w:space="0" w:color="auto"/>
              <w:bottom w:val="single" w:sz="4" w:space="0" w:color="auto"/>
              <w:right w:val="nil"/>
            </w:tcBorders>
            <w:shd w:val="clear" w:color="auto" w:fill="E4C776"/>
            <w:vAlign w:val="center"/>
          </w:tcPr>
          <w:p w14:paraId="46A11198" w14:textId="55FE6F0D" w:rsidR="00B75492" w:rsidRPr="00B75492" w:rsidRDefault="00B75492" w:rsidP="007245B8">
            <w:pPr>
              <w:jc w:val="center"/>
              <w:rPr>
                <w:b/>
                <w:bCs/>
                <w:color w:val="740000"/>
                <w:sz w:val="16"/>
                <w:szCs w:val="16"/>
              </w:rPr>
            </w:pPr>
            <w:r w:rsidRPr="00B75492">
              <w:rPr>
                <w:b/>
                <w:bCs/>
                <w:color w:val="740000"/>
                <w:sz w:val="16"/>
                <w:szCs w:val="16"/>
              </w:rPr>
              <w:t>PEF</w:t>
            </w:r>
          </w:p>
        </w:tc>
      </w:tr>
      <w:tr w:rsidR="004B31E9" w:rsidRPr="00B75492" w14:paraId="4E1596D5" w14:textId="77777777" w:rsidTr="004B31E9">
        <w:trPr>
          <w:trHeight w:val="300"/>
          <w:jc w:val="center"/>
        </w:trPr>
        <w:tc>
          <w:tcPr>
            <w:tcW w:w="2268" w:type="dxa"/>
            <w:tcBorders>
              <w:top w:val="nil"/>
              <w:left w:val="nil"/>
              <w:bottom w:val="nil"/>
              <w:right w:val="nil"/>
            </w:tcBorders>
            <w:shd w:val="clear" w:color="000000" w:fill="F2F2F2"/>
            <w:noWrap/>
            <w:vAlign w:val="bottom"/>
            <w:hideMark/>
          </w:tcPr>
          <w:p w14:paraId="39B8950C" w14:textId="04BB2D80" w:rsidR="004B31E9" w:rsidRPr="00B75492" w:rsidRDefault="00B75492" w:rsidP="007245B8">
            <w:pPr>
              <w:rPr>
                <w:color w:val="000000"/>
                <w:sz w:val="16"/>
                <w:szCs w:val="16"/>
              </w:rPr>
            </w:pPr>
            <w:r>
              <w:rPr>
                <w:color w:val="000000"/>
                <w:sz w:val="16"/>
                <w:szCs w:val="16"/>
              </w:rPr>
              <w:t>Participaciones</w:t>
            </w:r>
          </w:p>
        </w:tc>
        <w:tc>
          <w:tcPr>
            <w:tcW w:w="748" w:type="dxa"/>
            <w:tcBorders>
              <w:top w:val="nil"/>
              <w:left w:val="nil"/>
              <w:bottom w:val="nil"/>
              <w:right w:val="nil"/>
            </w:tcBorders>
            <w:shd w:val="clear" w:color="000000" w:fill="F2F2F2"/>
            <w:noWrap/>
            <w:vAlign w:val="bottom"/>
            <w:hideMark/>
          </w:tcPr>
          <w:p w14:paraId="793AD056" w14:textId="2CDB2E58" w:rsidR="004B31E9" w:rsidRPr="00B75492" w:rsidRDefault="00B75492" w:rsidP="007245B8">
            <w:pPr>
              <w:jc w:val="right"/>
              <w:rPr>
                <w:color w:val="000000"/>
                <w:sz w:val="16"/>
                <w:szCs w:val="16"/>
              </w:rPr>
            </w:pPr>
            <w:r>
              <w:rPr>
                <w:color w:val="000000"/>
                <w:sz w:val="16"/>
                <w:szCs w:val="16"/>
              </w:rPr>
              <w:t>1,340.2</w:t>
            </w:r>
            <w:r w:rsidR="004B31E9" w:rsidRPr="00B75492">
              <w:rPr>
                <w:color w:val="000000"/>
                <w:sz w:val="16"/>
                <w:szCs w:val="16"/>
              </w:rPr>
              <w:t xml:space="preserve"> </w:t>
            </w:r>
          </w:p>
        </w:tc>
        <w:tc>
          <w:tcPr>
            <w:tcW w:w="903" w:type="dxa"/>
            <w:tcBorders>
              <w:top w:val="nil"/>
              <w:left w:val="nil"/>
              <w:bottom w:val="nil"/>
              <w:right w:val="nil"/>
            </w:tcBorders>
            <w:shd w:val="clear" w:color="000000" w:fill="F2F2F2"/>
            <w:vAlign w:val="bottom"/>
          </w:tcPr>
          <w:p w14:paraId="6057716B" w14:textId="6F8DA49B" w:rsidR="004B31E9" w:rsidRPr="00B75492" w:rsidRDefault="00B75492" w:rsidP="007245B8">
            <w:pPr>
              <w:jc w:val="right"/>
              <w:rPr>
                <w:color w:val="000000"/>
                <w:sz w:val="16"/>
                <w:szCs w:val="16"/>
              </w:rPr>
            </w:pPr>
            <w:r>
              <w:rPr>
                <w:color w:val="000000"/>
                <w:sz w:val="16"/>
                <w:szCs w:val="16"/>
              </w:rPr>
              <w:t>1,340.2</w:t>
            </w:r>
          </w:p>
        </w:tc>
        <w:tc>
          <w:tcPr>
            <w:tcW w:w="759" w:type="dxa"/>
            <w:tcBorders>
              <w:top w:val="nil"/>
              <w:left w:val="nil"/>
              <w:bottom w:val="nil"/>
              <w:right w:val="nil"/>
            </w:tcBorders>
            <w:shd w:val="clear" w:color="000000" w:fill="F2F2F2"/>
            <w:vAlign w:val="bottom"/>
          </w:tcPr>
          <w:p w14:paraId="15A71195" w14:textId="27F0C8D1" w:rsidR="004B31E9" w:rsidRPr="00B75492" w:rsidRDefault="00B75492" w:rsidP="007245B8">
            <w:pPr>
              <w:jc w:val="right"/>
              <w:rPr>
                <w:color w:val="000000"/>
                <w:sz w:val="16"/>
                <w:szCs w:val="16"/>
              </w:rPr>
            </w:pPr>
            <w:r>
              <w:rPr>
                <w:color w:val="000000"/>
                <w:sz w:val="16"/>
                <w:szCs w:val="16"/>
              </w:rPr>
              <w:t>1,456.0</w:t>
            </w:r>
          </w:p>
        </w:tc>
        <w:tc>
          <w:tcPr>
            <w:tcW w:w="851" w:type="dxa"/>
            <w:tcBorders>
              <w:top w:val="nil"/>
              <w:left w:val="nil"/>
              <w:bottom w:val="nil"/>
              <w:right w:val="nil"/>
            </w:tcBorders>
            <w:shd w:val="clear" w:color="000000" w:fill="F2F2F2"/>
            <w:vAlign w:val="bottom"/>
          </w:tcPr>
          <w:p w14:paraId="455A3055" w14:textId="3D25D2A3" w:rsidR="004B31E9" w:rsidRPr="00B75492" w:rsidRDefault="00B75492" w:rsidP="007245B8">
            <w:pPr>
              <w:jc w:val="right"/>
              <w:rPr>
                <w:color w:val="000000"/>
                <w:sz w:val="16"/>
                <w:szCs w:val="16"/>
              </w:rPr>
            </w:pPr>
            <w:r>
              <w:rPr>
                <w:color w:val="000000"/>
                <w:sz w:val="16"/>
                <w:szCs w:val="16"/>
              </w:rPr>
              <w:t>115.8</w:t>
            </w:r>
          </w:p>
        </w:tc>
        <w:tc>
          <w:tcPr>
            <w:tcW w:w="752" w:type="dxa"/>
            <w:tcBorders>
              <w:top w:val="nil"/>
              <w:left w:val="nil"/>
              <w:bottom w:val="nil"/>
              <w:right w:val="nil"/>
            </w:tcBorders>
            <w:shd w:val="clear" w:color="000000" w:fill="F2F2F2"/>
            <w:vAlign w:val="bottom"/>
          </w:tcPr>
          <w:p w14:paraId="2FFD175A" w14:textId="20B48A57" w:rsidR="004B31E9" w:rsidRPr="00B75492" w:rsidRDefault="00B75492" w:rsidP="007245B8">
            <w:pPr>
              <w:jc w:val="right"/>
              <w:rPr>
                <w:color w:val="000000"/>
                <w:sz w:val="16"/>
                <w:szCs w:val="16"/>
              </w:rPr>
            </w:pPr>
            <w:r>
              <w:rPr>
                <w:color w:val="000000"/>
                <w:sz w:val="16"/>
                <w:szCs w:val="16"/>
              </w:rPr>
              <w:t>115.8</w:t>
            </w:r>
          </w:p>
        </w:tc>
        <w:tc>
          <w:tcPr>
            <w:tcW w:w="752" w:type="dxa"/>
            <w:tcBorders>
              <w:top w:val="nil"/>
              <w:left w:val="nil"/>
              <w:bottom w:val="nil"/>
              <w:right w:val="nil"/>
            </w:tcBorders>
            <w:shd w:val="clear" w:color="000000" w:fill="F2F2F2"/>
            <w:vAlign w:val="bottom"/>
          </w:tcPr>
          <w:p w14:paraId="1B75B5CF" w14:textId="2BFAEB34" w:rsidR="004B31E9" w:rsidRPr="00B75492" w:rsidRDefault="00B75492" w:rsidP="007245B8">
            <w:pPr>
              <w:jc w:val="right"/>
              <w:rPr>
                <w:color w:val="000000"/>
                <w:sz w:val="16"/>
                <w:szCs w:val="16"/>
              </w:rPr>
            </w:pPr>
            <w:r>
              <w:rPr>
                <w:color w:val="000000"/>
                <w:sz w:val="16"/>
                <w:szCs w:val="16"/>
              </w:rPr>
              <w:t>5.0</w:t>
            </w:r>
          </w:p>
        </w:tc>
        <w:tc>
          <w:tcPr>
            <w:tcW w:w="752" w:type="dxa"/>
            <w:tcBorders>
              <w:top w:val="nil"/>
              <w:left w:val="nil"/>
              <w:bottom w:val="nil"/>
              <w:right w:val="nil"/>
            </w:tcBorders>
            <w:shd w:val="clear" w:color="000000" w:fill="F2F2F2"/>
            <w:vAlign w:val="bottom"/>
          </w:tcPr>
          <w:p w14:paraId="0DCC7F13" w14:textId="462C76CF" w:rsidR="004B31E9" w:rsidRPr="00B75492" w:rsidRDefault="00B75492" w:rsidP="007245B8">
            <w:pPr>
              <w:jc w:val="right"/>
              <w:rPr>
                <w:color w:val="000000"/>
                <w:sz w:val="16"/>
                <w:szCs w:val="16"/>
              </w:rPr>
            </w:pPr>
            <w:r>
              <w:rPr>
                <w:color w:val="000000"/>
                <w:sz w:val="16"/>
                <w:szCs w:val="16"/>
              </w:rPr>
              <w:t>5.0</w:t>
            </w:r>
          </w:p>
        </w:tc>
      </w:tr>
      <w:tr w:rsidR="00B75492" w:rsidRPr="00B75492" w14:paraId="18538050" w14:textId="77777777" w:rsidTr="00B75492">
        <w:trPr>
          <w:trHeight w:val="300"/>
          <w:jc w:val="center"/>
        </w:trPr>
        <w:tc>
          <w:tcPr>
            <w:tcW w:w="2268" w:type="dxa"/>
            <w:tcBorders>
              <w:top w:val="nil"/>
              <w:left w:val="nil"/>
              <w:bottom w:val="nil"/>
              <w:right w:val="nil"/>
            </w:tcBorders>
            <w:shd w:val="clear" w:color="auto" w:fill="FFFFFF" w:themeFill="background1"/>
            <w:noWrap/>
            <w:vAlign w:val="bottom"/>
          </w:tcPr>
          <w:p w14:paraId="090C9342" w14:textId="0E4B2D90" w:rsidR="00B75492" w:rsidRPr="00B75492" w:rsidRDefault="00B75492" w:rsidP="007245B8">
            <w:pPr>
              <w:rPr>
                <w:color w:val="000000"/>
                <w:sz w:val="16"/>
                <w:szCs w:val="16"/>
              </w:rPr>
            </w:pPr>
            <w:r w:rsidRPr="00B75492">
              <w:rPr>
                <w:color w:val="000000"/>
                <w:sz w:val="16"/>
                <w:szCs w:val="16"/>
              </w:rPr>
              <w:t xml:space="preserve">Aportaciones </w:t>
            </w:r>
            <w:r w:rsidRPr="00B75492">
              <w:rPr>
                <w:color w:val="000000"/>
                <w:sz w:val="12"/>
                <w:szCs w:val="12"/>
              </w:rPr>
              <w:t>1/</w:t>
            </w:r>
          </w:p>
        </w:tc>
        <w:tc>
          <w:tcPr>
            <w:tcW w:w="748" w:type="dxa"/>
            <w:tcBorders>
              <w:top w:val="nil"/>
              <w:left w:val="nil"/>
              <w:bottom w:val="nil"/>
              <w:right w:val="nil"/>
            </w:tcBorders>
            <w:shd w:val="clear" w:color="auto" w:fill="FFFFFF" w:themeFill="background1"/>
            <w:noWrap/>
            <w:vAlign w:val="bottom"/>
          </w:tcPr>
          <w:p w14:paraId="427A06D8" w14:textId="481F8FEA" w:rsidR="00B75492" w:rsidRPr="00B75492" w:rsidRDefault="00B75492" w:rsidP="007245B8">
            <w:pPr>
              <w:jc w:val="right"/>
              <w:rPr>
                <w:color w:val="000000"/>
                <w:sz w:val="16"/>
                <w:szCs w:val="16"/>
              </w:rPr>
            </w:pPr>
            <w:r w:rsidRPr="00B75492">
              <w:rPr>
                <w:color w:val="000000"/>
                <w:sz w:val="16"/>
                <w:szCs w:val="16"/>
              </w:rPr>
              <w:t>1,061.6</w:t>
            </w:r>
          </w:p>
        </w:tc>
        <w:tc>
          <w:tcPr>
            <w:tcW w:w="903" w:type="dxa"/>
            <w:tcBorders>
              <w:top w:val="nil"/>
              <w:left w:val="nil"/>
              <w:bottom w:val="nil"/>
              <w:right w:val="nil"/>
            </w:tcBorders>
            <w:shd w:val="clear" w:color="auto" w:fill="FFFFFF" w:themeFill="background1"/>
            <w:vAlign w:val="bottom"/>
          </w:tcPr>
          <w:p w14:paraId="5E656B54" w14:textId="5E2E2F58" w:rsidR="00B75492" w:rsidRPr="00B75492" w:rsidRDefault="00B75492" w:rsidP="007245B8">
            <w:pPr>
              <w:jc w:val="right"/>
              <w:rPr>
                <w:color w:val="000000"/>
                <w:sz w:val="16"/>
                <w:szCs w:val="16"/>
              </w:rPr>
            </w:pPr>
            <w:r w:rsidRPr="00B75492">
              <w:rPr>
                <w:color w:val="000000"/>
                <w:sz w:val="16"/>
                <w:szCs w:val="16"/>
              </w:rPr>
              <w:t>1,061.6</w:t>
            </w:r>
          </w:p>
        </w:tc>
        <w:tc>
          <w:tcPr>
            <w:tcW w:w="759" w:type="dxa"/>
            <w:tcBorders>
              <w:top w:val="nil"/>
              <w:left w:val="nil"/>
              <w:bottom w:val="nil"/>
              <w:right w:val="nil"/>
            </w:tcBorders>
            <w:shd w:val="clear" w:color="auto" w:fill="FFFFFF" w:themeFill="background1"/>
            <w:vAlign w:val="bottom"/>
          </w:tcPr>
          <w:p w14:paraId="73D34DB4" w14:textId="5F58F526" w:rsidR="00B75492" w:rsidRPr="00B75492" w:rsidRDefault="00B75492" w:rsidP="007245B8">
            <w:pPr>
              <w:jc w:val="right"/>
              <w:rPr>
                <w:color w:val="000000"/>
                <w:sz w:val="16"/>
                <w:szCs w:val="16"/>
              </w:rPr>
            </w:pPr>
            <w:r w:rsidRPr="00B75492">
              <w:rPr>
                <w:color w:val="000000"/>
                <w:sz w:val="16"/>
                <w:szCs w:val="16"/>
              </w:rPr>
              <w:t>1,127.1</w:t>
            </w:r>
          </w:p>
        </w:tc>
        <w:tc>
          <w:tcPr>
            <w:tcW w:w="851" w:type="dxa"/>
            <w:tcBorders>
              <w:top w:val="nil"/>
              <w:left w:val="nil"/>
              <w:bottom w:val="nil"/>
              <w:right w:val="nil"/>
            </w:tcBorders>
            <w:shd w:val="clear" w:color="auto" w:fill="FFFFFF" w:themeFill="background1"/>
            <w:vAlign w:val="bottom"/>
          </w:tcPr>
          <w:p w14:paraId="0C58EA94" w14:textId="76394A0C" w:rsidR="00B75492" w:rsidRPr="00B75492" w:rsidRDefault="00B75492" w:rsidP="007245B8">
            <w:pPr>
              <w:jc w:val="right"/>
              <w:rPr>
                <w:color w:val="000000"/>
                <w:sz w:val="16"/>
                <w:szCs w:val="16"/>
              </w:rPr>
            </w:pPr>
            <w:r w:rsidRPr="00B75492">
              <w:rPr>
                <w:color w:val="000000"/>
                <w:sz w:val="16"/>
                <w:szCs w:val="16"/>
              </w:rPr>
              <w:t>65.5</w:t>
            </w:r>
          </w:p>
        </w:tc>
        <w:tc>
          <w:tcPr>
            <w:tcW w:w="752" w:type="dxa"/>
            <w:tcBorders>
              <w:top w:val="nil"/>
              <w:left w:val="nil"/>
              <w:bottom w:val="nil"/>
              <w:right w:val="nil"/>
            </w:tcBorders>
            <w:shd w:val="clear" w:color="auto" w:fill="FFFFFF" w:themeFill="background1"/>
            <w:vAlign w:val="bottom"/>
          </w:tcPr>
          <w:p w14:paraId="4A2BF0BA" w14:textId="001BB6C0" w:rsidR="00B75492" w:rsidRPr="00B75492" w:rsidRDefault="00B75492" w:rsidP="007245B8">
            <w:pPr>
              <w:jc w:val="right"/>
              <w:rPr>
                <w:color w:val="000000"/>
                <w:sz w:val="16"/>
                <w:szCs w:val="16"/>
              </w:rPr>
            </w:pPr>
            <w:r w:rsidRPr="00B75492">
              <w:rPr>
                <w:color w:val="000000"/>
                <w:sz w:val="16"/>
                <w:szCs w:val="16"/>
              </w:rPr>
              <w:t>65.5</w:t>
            </w:r>
          </w:p>
        </w:tc>
        <w:tc>
          <w:tcPr>
            <w:tcW w:w="752" w:type="dxa"/>
            <w:tcBorders>
              <w:top w:val="nil"/>
              <w:left w:val="nil"/>
              <w:bottom w:val="nil"/>
              <w:right w:val="nil"/>
            </w:tcBorders>
            <w:shd w:val="clear" w:color="auto" w:fill="FFFFFF" w:themeFill="background1"/>
            <w:vAlign w:val="bottom"/>
          </w:tcPr>
          <w:p w14:paraId="12BEFBEB" w14:textId="384A252C" w:rsidR="00B75492" w:rsidRPr="00B75492" w:rsidRDefault="00B75492" w:rsidP="007245B8">
            <w:pPr>
              <w:jc w:val="right"/>
              <w:rPr>
                <w:color w:val="000000"/>
                <w:sz w:val="16"/>
                <w:szCs w:val="16"/>
              </w:rPr>
            </w:pPr>
            <w:r w:rsidRPr="00B75492">
              <w:rPr>
                <w:color w:val="000000"/>
                <w:sz w:val="16"/>
                <w:szCs w:val="16"/>
              </w:rPr>
              <w:t>2.6</w:t>
            </w:r>
          </w:p>
        </w:tc>
        <w:tc>
          <w:tcPr>
            <w:tcW w:w="752" w:type="dxa"/>
            <w:tcBorders>
              <w:top w:val="nil"/>
              <w:left w:val="nil"/>
              <w:bottom w:val="nil"/>
              <w:right w:val="nil"/>
            </w:tcBorders>
            <w:shd w:val="clear" w:color="auto" w:fill="FFFFFF" w:themeFill="background1"/>
            <w:vAlign w:val="bottom"/>
          </w:tcPr>
          <w:p w14:paraId="43D332DF" w14:textId="29BFF041" w:rsidR="00B75492" w:rsidRDefault="00B75492" w:rsidP="007245B8">
            <w:pPr>
              <w:jc w:val="right"/>
              <w:rPr>
                <w:color w:val="000000"/>
                <w:sz w:val="16"/>
                <w:szCs w:val="16"/>
              </w:rPr>
            </w:pPr>
            <w:r w:rsidRPr="00B75492">
              <w:rPr>
                <w:color w:val="000000"/>
                <w:sz w:val="16"/>
                <w:szCs w:val="16"/>
              </w:rPr>
              <w:t>2.6</w:t>
            </w:r>
          </w:p>
        </w:tc>
      </w:tr>
      <w:tr w:rsidR="00B75492" w:rsidRPr="00B75492" w14:paraId="6EF92FA4" w14:textId="77777777" w:rsidTr="00B75492">
        <w:trPr>
          <w:trHeight w:val="300"/>
          <w:jc w:val="center"/>
        </w:trPr>
        <w:tc>
          <w:tcPr>
            <w:tcW w:w="2268" w:type="dxa"/>
            <w:tcBorders>
              <w:top w:val="nil"/>
              <w:left w:val="nil"/>
              <w:right w:val="nil"/>
            </w:tcBorders>
            <w:shd w:val="clear" w:color="000000" w:fill="F2F2F2"/>
            <w:noWrap/>
            <w:vAlign w:val="bottom"/>
          </w:tcPr>
          <w:p w14:paraId="0CDFCB39" w14:textId="378ECFEE" w:rsidR="00B75492" w:rsidRDefault="00B75492" w:rsidP="007245B8">
            <w:pPr>
              <w:rPr>
                <w:color w:val="000000"/>
                <w:sz w:val="16"/>
                <w:szCs w:val="16"/>
              </w:rPr>
            </w:pPr>
            <w:r>
              <w:rPr>
                <w:color w:val="000000"/>
                <w:sz w:val="16"/>
                <w:szCs w:val="16"/>
              </w:rPr>
              <w:lastRenderedPageBreak/>
              <w:t>Otros Conceptos</w:t>
            </w:r>
          </w:p>
        </w:tc>
        <w:tc>
          <w:tcPr>
            <w:tcW w:w="748" w:type="dxa"/>
            <w:tcBorders>
              <w:top w:val="nil"/>
              <w:left w:val="nil"/>
              <w:right w:val="nil"/>
            </w:tcBorders>
            <w:shd w:val="clear" w:color="000000" w:fill="F2F2F2"/>
            <w:noWrap/>
            <w:vAlign w:val="bottom"/>
          </w:tcPr>
          <w:p w14:paraId="0084002F" w14:textId="56251773" w:rsidR="00B75492" w:rsidRDefault="00B75492" w:rsidP="007245B8">
            <w:pPr>
              <w:jc w:val="right"/>
              <w:rPr>
                <w:color w:val="000000"/>
                <w:sz w:val="16"/>
                <w:szCs w:val="16"/>
              </w:rPr>
            </w:pPr>
            <w:r>
              <w:rPr>
                <w:color w:val="000000"/>
                <w:sz w:val="16"/>
                <w:szCs w:val="16"/>
              </w:rPr>
              <w:t>231.5</w:t>
            </w:r>
          </w:p>
        </w:tc>
        <w:tc>
          <w:tcPr>
            <w:tcW w:w="903" w:type="dxa"/>
            <w:tcBorders>
              <w:top w:val="nil"/>
              <w:left w:val="nil"/>
              <w:right w:val="nil"/>
            </w:tcBorders>
            <w:shd w:val="clear" w:color="000000" w:fill="F2F2F2"/>
            <w:vAlign w:val="bottom"/>
          </w:tcPr>
          <w:p w14:paraId="6307C092" w14:textId="7459CAF1" w:rsidR="00B75492" w:rsidRDefault="00B75492" w:rsidP="007245B8">
            <w:pPr>
              <w:jc w:val="right"/>
              <w:rPr>
                <w:color w:val="000000"/>
                <w:sz w:val="16"/>
                <w:szCs w:val="16"/>
              </w:rPr>
            </w:pPr>
            <w:r>
              <w:rPr>
                <w:color w:val="000000"/>
                <w:sz w:val="16"/>
                <w:szCs w:val="16"/>
              </w:rPr>
              <w:t>234.5</w:t>
            </w:r>
          </w:p>
        </w:tc>
        <w:tc>
          <w:tcPr>
            <w:tcW w:w="759" w:type="dxa"/>
            <w:tcBorders>
              <w:top w:val="nil"/>
              <w:left w:val="nil"/>
              <w:right w:val="nil"/>
            </w:tcBorders>
            <w:shd w:val="clear" w:color="000000" w:fill="F2F2F2"/>
            <w:vAlign w:val="bottom"/>
          </w:tcPr>
          <w:p w14:paraId="3B739568" w14:textId="425B65EC" w:rsidR="00B75492" w:rsidRDefault="00B75492" w:rsidP="007245B8">
            <w:pPr>
              <w:jc w:val="right"/>
              <w:rPr>
                <w:color w:val="000000"/>
                <w:sz w:val="16"/>
                <w:szCs w:val="16"/>
              </w:rPr>
            </w:pPr>
            <w:r>
              <w:rPr>
                <w:color w:val="000000"/>
                <w:sz w:val="16"/>
                <w:szCs w:val="16"/>
              </w:rPr>
              <w:t>227.7</w:t>
            </w:r>
          </w:p>
        </w:tc>
        <w:tc>
          <w:tcPr>
            <w:tcW w:w="851" w:type="dxa"/>
            <w:tcBorders>
              <w:top w:val="nil"/>
              <w:left w:val="nil"/>
              <w:right w:val="nil"/>
            </w:tcBorders>
            <w:shd w:val="clear" w:color="000000" w:fill="F2F2F2"/>
            <w:vAlign w:val="bottom"/>
          </w:tcPr>
          <w:p w14:paraId="5C377917" w14:textId="36DC6D0E" w:rsidR="00B75492" w:rsidRDefault="00B75492" w:rsidP="007245B8">
            <w:pPr>
              <w:jc w:val="right"/>
              <w:rPr>
                <w:color w:val="000000"/>
                <w:sz w:val="16"/>
                <w:szCs w:val="16"/>
              </w:rPr>
            </w:pPr>
            <w:r>
              <w:rPr>
                <w:color w:val="000000"/>
                <w:sz w:val="16"/>
                <w:szCs w:val="16"/>
              </w:rPr>
              <w:t>-3.8</w:t>
            </w:r>
          </w:p>
        </w:tc>
        <w:tc>
          <w:tcPr>
            <w:tcW w:w="752" w:type="dxa"/>
            <w:tcBorders>
              <w:top w:val="nil"/>
              <w:left w:val="nil"/>
              <w:right w:val="nil"/>
            </w:tcBorders>
            <w:shd w:val="clear" w:color="000000" w:fill="F2F2F2"/>
            <w:vAlign w:val="bottom"/>
          </w:tcPr>
          <w:p w14:paraId="572D5E0A" w14:textId="32CFE401" w:rsidR="00B75492" w:rsidRDefault="00B75492" w:rsidP="007245B8">
            <w:pPr>
              <w:jc w:val="right"/>
              <w:rPr>
                <w:color w:val="000000"/>
                <w:sz w:val="16"/>
                <w:szCs w:val="16"/>
              </w:rPr>
            </w:pPr>
            <w:r>
              <w:rPr>
                <w:color w:val="000000"/>
                <w:sz w:val="16"/>
                <w:szCs w:val="16"/>
              </w:rPr>
              <w:t>-6.8</w:t>
            </w:r>
          </w:p>
        </w:tc>
        <w:tc>
          <w:tcPr>
            <w:tcW w:w="752" w:type="dxa"/>
            <w:tcBorders>
              <w:top w:val="nil"/>
              <w:left w:val="nil"/>
              <w:right w:val="nil"/>
            </w:tcBorders>
            <w:shd w:val="clear" w:color="000000" w:fill="F2F2F2"/>
            <w:vAlign w:val="bottom"/>
          </w:tcPr>
          <w:p w14:paraId="027D9B0D" w14:textId="3485103F" w:rsidR="00B75492" w:rsidRDefault="00B75492" w:rsidP="007245B8">
            <w:pPr>
              <w:jc w:val="right"/>
              <w:rPr>
                <w:color w:val="000000"/>
                <w:sz w:val="16"/>
                <w:szCs w:val="16"/>
              </w:rPr>
            </w:pPr>
            <w:r>
              <w:rPr>
                <w:color w:val="000000"/>
                <w:sz w:val="16"/>
                <w:szCs w:val="16"/>
              </w:rPr>
              <w:t>-5.0</w:t>
            </w:r>
          </w:p>
        </w:tc>
        <w:tc>
          <w:tcPr>
            <w:tcW w:w="752" w:type="dxa"/>
            <w:tcBorders>
              <w:top w:val="nil"/>
              <w:left w:val="nil"/>
              <w:right w:val="nil"/>
            </w:tcBorders>
            <w:shd w:val="clear" w:color="000000" w:fill="F2F2F2"/>
            <w:vAlign w:val="bottom"/>
          </w:tcPr>
          <w:p w14:paraId="27B1E70A" w14:textId="4DD97DCE" w:rsidR="00B75492" w:rsidRDefault="00B75492" w:rsidP="007245B8">
            <w:pPr>
              <w:jc w:val="right"/>
              <w:rPr>
                <w:color w:val="000000"/>
                <w:sz w:val="16"/>
                <w:szCs w:val="16"/>
              </w:rPr>
            </w:pPr>
            <w:r>
              <w:rPr>
                <w:color w:val="000000"/>
                <w:sz w:val="16"/>
                <w:szCs w:val="16"/>
              </w:rPr>
              <w:t>-6.2</w:t>
            </w:r>
          </w:p>
        </w:tc>
      </w:tr>
      <w:tr w:rsidR="00B75492" w:rsidRPr="00B75492" w14:paraId="1A68DC1C" w14:textId="77777777" w:rsidTr="00B75492">
        <w:trPr>
          <w:trHeight w:val="300"/>
          <w:jc w:val="center"/>
        </w:trPr>
        <w:tc>
          <w:tcPr>
            <w:tcW w:w="2268" w:type="dxa"/>
            <w:tcBorders>
              <w:top w:val="nil"/>
              <w:left w:val="nil"/>
              <w:bottom w:val="single" w:sz="4" w:space="0" w:color="auto"/>
              <w:right w:val="nil"/>
            </w:tcBorders>
            <w:shd w:val="clear" w:color="auto" w:fill="FFFFFF" w:themeFill="background1"/>
            <w:noWrap/>
            <w:vAlign w:val="bottom"/>
          </w:tcPr>
          <w:p w14:paraId="416E3F32" w14:textId="20AE0DC3" w:rsidR="00B75492" w:rsidRPr="00B75492" w:rsidRDefault="00B75492" w:rsidP="007245B8">
            <w:pPr>
              <w:rPr>
                <w:b/>
                <w:bCs/>
                <w:color w:val="000000"/>
                <w:sz w:val="16"/>
                <w:szCs w:val="16"/>
              </w:rPr>
            </w:pPr>
            <w:r w:rsidRPr="00B75492">
              <w:rPr>
                <w:b/>
                <w:bCs/>
                <w:color w:val="000000"/>
                <w:sz w:val="16"/>
                <w:szCs w:val="16"/>
              </w:rPr>
              <w:t>Total</w:t>
            </w:r>
          </w:p>
        </w:tc>
        <w:tc>
          <w:tcPr>
            <w:tcW w:w="748" w:type="dxa"/>
            <w:tcBorders>
              <w:top w:val="nil"/>
              <w:left w:val="nil"/>
              <w:bottom w:val="single" w:sz="4" w:space="0" w:color="auto"/>
              <w:right w:val="nil"/>
            </w:tcBorders>
            <w:shd w:val="clear" w:color="auto" w:fill="FFFFFF" w:themeFill="background1"/>
            <w:noWrap/>
            <w:vAlign w:val="bottom"/>
          </w:tcPr>
          <w:p w14:paraId="3D7B480B" w14:textId="32F7649E" w:rsidR="00B75492" w:rsidRPr="00B75492" w:rsidRDefault="00B75492" w:rsidP="007245B8">
            <w:pPr>
              <w:jc w:val="right"/>
              <w:rPr>
                <w:b/>
                <w:bCs/>
                <w:color w:val="000000"/>
                <w:sz w:val="16"/>
                <w:szCs w:val="16"/>
              </w:rPr>
            </w:pPr>
            <w:r w:rsidRPr="00B75492">
              <w:rPr>
                <w:b/>
                <w:bCs/>
                <w:color w:val="000000"/>
                <w:sz w:val="16"/>
                <w:szCs w:val="16"/>
              </w:rPr>
              <w:t>2,633.3</w:t>
            </w:r>
          </w:p>
        </w:tc>
        <w:tc>
          <w:tcPr>
            <w:tcW w:w="903" w:type="dxa"/>
            <w:tcBorders>
              <w:top w:val="nil"/>
              <w:left w:val="nil"/>
              <w:bottom w:val="single" w:sz="4" w:space="0" w:color="auto"/>
              <w:right w:val="nil"/>
            </w:tcBorders>
            <w:shd w:val="clear" w:color="auto" w:fill="FFFFFF" w:themeFill="background1"/>
            <w:vAlign w:val="bottom"/>
          </w:tcPr>
          <w:p w14:paraId="3D879088" w14:textId="5B478183" w:rsidR="00B75492" w:rsidRPr="00B75492" w:rsidRDefault="00B75492" w:rsidP="007245B8">
            <w:pPr>
              <w:jc w:val="right"/>
              <w:rPr>
                <w:b/>
                <w:bCs/>
                <w:color w:val="000000"/>
                <w:sz w:val="16"/>
                <w:szCs w:val="16"/>
              </w:rPr>
            </w:pPr>
            <w:r w:rsidRPr="00B75492">
              <w:rPr>
                <w:b/>
                <w:bCs/>
                <w:color w:val="000000"/>
                <w:sz w:val="16"/>
                <w:szCs w:val="16"/>
              </w:rPr>
              <w:t>2,636.3</w:t>
            </w:r>
          </w:p>
        </w:tc>
        <w:tc>
          <w:tcPr>
            <w:tcW w:w="759" w:type="dxa"/>
            <w:tcBorders>
              <w:top w:val="nil"/>
              <w:left w:val="nil"/>
              <w:bottom w:val="single" w:sz="4" w:space="0" w:color="auto"/>
              <w:right w:val="nil"/>
            </w:tcBorders>
            <w:shd w:val="clear" w:color="auto" w:fill="FFFFFF" w:themeFill="background1"/>
            <w:vAlign w:val="bottom"/>
          </w:tcPr>
          <w:p w14:paraId="14C096A3" w14:textId="1AC14683" w:rsidR="00B75492" w:rsidRPr="00B75492" w:rsidRDefault="00B75492" w:rsidP="007245B8">
            <w:pPr>
              <w:jc w:val="right"/>
              <w:rPr>
                <w:b/>
                <w:bCs/>
                <w:color w:val="000000"/>
                <w:sz w:val="16"/>
                <w:szCs w:val="16"/>
              </w:rPr>
            </w:pPr>
            <w:r w:rsidRPr="00B75492">
              <w:rPr>
                <w:b/>
                <w:bCs/>
                <w:color w:val="000000"/>
                <w:sz w:val="16"/>
                <w:szCs w:val="16"/>
              </w:rPr>
              <w:t>2,810.8</w:t>
            </w:r>
          </w:p>
        </w:tc>
        <w:tc>
          <w:tcPr>
            <w:tcW w:w="851" w:type="dxa"/>
            <w:tcBorders>
              <w:top w:val="nil"/>
              <w:left w:val="nil"/>
              <w:bottom w:val="single" w:sz="4" w:space="0" w:color="auto"/>
              <w:right w:val="nil"/>
            </w:tcBorders>
            <w:shd w:val="clear" w:color="auto" w:fill="FFFFFF" w:themeFill="background1"/>
            <w:vAlign w:val="bottom"/>
          </w:tcPr>
          <w:p w14:paraId="3B5FADE7" w14:textId="1A336F0D" w:rsidR="00B75492" w:rsidRPr="00B75492" w:rsidRDefault="00B75492" w:rsidP="007245B8">
            <w:pPr>
              <w:jc w:val="right"/>
              <w:rPr>
                <w:b/>
                <w:bCs/>
                <w:color w:val="000000"/>
                <w:sz w:val="16"/>
                <w:szCs w:val="16"/>
              </w:rPr>
            </w:pPr>
            <w:r w:rsidRPr="00B75492">
              <w:rPr>
                <w:b/>
                <w:bCs/>
                <w:color w:val="000000"/>
                <w:sz w:val="16"/>
                <w:szCs w:val="16"/>
              </w:rPr>
              <w:t>177.5</w:t>
            </w:r>
          </w:p>
        </w:tc>
        <w:tc>
          <w:tcPr>
            <w:tcW w:w="752" w:type="dxa"/>
            <w:tcBorders>
              <w:top w:val="nil"/>
              <w:left w:val="nil"/>
              <w:bottom w:val="single" w:sz="4" w:space="0" w:color="auto"/>
              <w:right w:val="nil"/>
            </w:tcBorders>
            <w:shd w:val="clear" w:color="auto" w:fill="FFFFFF" w:themeFill="background1"/>
            <w:vAlign w:val="bottom"/>
          </w:tcPr>
          <w:p w14:paraId="609F43B8" w14:textId="2F2AF5D0" w:rsidR="00B75492" w:rsidRPr="00B75492" w:rsidRDefault="00B75492" w:rsidP="007245B8">
            <w:pPr>
              <w:jc w:val="right"/>
              <w:rPr>
                <w:b/>
                <w:bCs/>
                <w:color w:val="000000"/>
                <w:sz w:val="16"/>
                <w:szCs w:val="16"/>
              </w:rPr>
            </w:pPr>
            <w:r w:rsidRPr="00B75492">
              <w:rPr>
                <w:b/>
                <w:bCs/>
                <w:color w:val="000000"/>
                <w:sz w:val="16"/>
                <w:szCs w:val="16"/>
              </w:rPr>
              <w:t>174.5</w:t>
            </w:r>
          </w:p>
        </w:tc>
        <w:tc>
          <w:tcPr>
            <w:tcW w:w="752" w:type="dxa"/>
            <w:tcBorders>
              <w:top w:val="nil"/>
              <w:left w:val="nil"/>
              <w:bottom w:val="single" w:sz="4" w:space="0" w:color="auto"/>
              <w:right w:val="nil"/>
            </w:tcBorders>
            <w:shd w:val="clear" w:color="auto" w:fill="FFFFFF" w:themeFill="background1"/>
            <w:vAlign w:val="bottom"/>
          </w:tcPr>
          <w:p w14:paraId="58F5CAA6" w14:textId="53A05FE7" w:rsidR="00B75492" w:rsidRPr="00B75492" w:rsidRDefault="00B75492" w:rsidP="007245B8">
            <w:pPr>
              <w:jc w:val="right"/>
              <w:rPr>
                <w:b/>
                <w:bCs/>
                <w:color w:val="000000"/>
                <w:sz w:val="16"/>
                <w:szCs w:val="16"/>
              </w:rPr>
            </w:pPr>
            <w:r w:rsidRPr="00B75492">
              <w:rPr>
                <w:b/>
                <w:bCs/>
                <w:color w:val="000000"/>
                <w:sz w:val="16"/>
                <w:szCs w:val="16"/>
              </w:rPr>
              <w:t>3.1</w:t>
            </w:r>
          </w:p>
        </w:tc>
        <w:tc>
          <w:tcPr>
            <w:tcW w:w="752" w:type="dxa"/>
            <w:tcBorders>
              <w:top w:val="nil"/>
              <w:left w:val="nil"/>
              <w:bottom w:val="single" w:sz="4" w:space="0" w:color="auto"/>
              <w:right w:val="nil"/>
            </w:tcBorders>
            <w:shd w:val="clear" w:color="auto" w:fill="FFFFFF" w:themeFill="background1"/>
            <w:vAlign w:val="bottom"/>
          </w:tcPr>
          <w:p w14:paraId="686C3637" w14:textId="51BB51ED" w:rsidR="00B75492" w:rsidRPr="00B75492" w:rsidRDefault="00B75492" w:rsidP="007245B8">
            <w:pPr>
              <w:jc w:val="right"/>
              <w:rPr>
                <w:b/>
                <w:bCs/>
                <w:color w:val="000000"/>
                <w:sz w:val="16"/>
                <w:szCs w:val="16"/>
              </w:rPr>
            </w:pPr>
            <w:r w:rsidRPr="00B75492">
              <w:rPr>
                <w:b/>
                <w:bCs/>
                <w:color w:val="000000"/>
                <w:sz w:val="16"/>
                <w:szCs w:val="16"/>
              </w:rPr>
              <w:t>3.0</w:t>
            </w:r>
          </w:p>
        </w:tc>
      </w:tr>
    </w:tbl>
    <w:p w14:paraId="71AEE14F" w14:textId="606D746A" w:rsidR="004B31E9" w:rsidRPr="00541030" w:rsidRDefault="00B75492" w:rsidP="00696753">
      <w:pPr>
        <w:pStyle w:val="PRIMERAPLANA"/>
        <w:spacing w:line="360" w:lineRule="auto"/>
        <w:rPr>
          <w:rFonts w:ascii="Times New Roman" w:hAnsi="Times New Roman"/>
          <w:bCs/>
          <w:sz w:val="14"/>
          <w:szCs w:val="14"/>
        </w:rPr>
      </w:pPr>
      <w:r w:rsidRPr="00541030">
        <w:rPr>
          <w:rFonts w:ascii="Times New Roman" w:hAnsi="Times New Roman"/>
          <w:bCs/>
          <w:sz w:val="14"/>
          <w:szCs w:val="14"/>
        </w:rPr>
        <w:t>a/ Aprobado.</w:t>
      </w:r>
    </w:p>
    <w:p w14:paraId="5FE37C8F" w14:textId="6217FACB" w:rsidR="004B31E9" w:rsidRPr="00541030" w:rsidRDefault="00B75492" w:rsidP="00696753">
      <w:pPr>
        <w:pStyle w:val="PRIMERAPLANA"/>
        <w:spacing w:line="360" w:lineRule="auto"/>
        <w:rPr>
          <w:rFonts w:ascii="Times New Roman" w:hAnsi="Times New Roman"/>
          <w:bCs/>
          <w:sz w:val="14"/>
          <w:szCs w:val="14"/>
        </w:rPr>
      </w:pPr>
      <w:r w:rsidRPr="00541030">
        <w:rPr>
          <w:rFonts w:ascii="Times New Roman" w:hAnsi="Times New Roman"/>
          <w:bCs/>
          <w:sz w:val="14"/>
          <w:szCs w:val="14"/>
        </w:rPr>
        <w:t>p/ Proyecto.</w:t>
      </w:r>
    </w:p>
    <w:p w14:paraId="123F9F76" w14:textId="5AF722BA" w:rsidR="00A939E3" w:rsidRPr="00541030" w:rsidRDefault="00541030" w:rsidP="00696753">
      <w:pPr>
        <w:pStyle w:val="PRIMERAPLANA"/>
        <w:spacing w:line="360" w:lineRule="auto"/>
        <w:rPr>
          <w:rFonts w:ascii="Times New Roman" w:hAnsi="Times New Roman"/>
          <w:bCs/>
          <w:sz w:val="14"/>
          <w:szCs w:val="14"/>
        </w:rPr>
      </w:pPr>
      <w:r w:rsidRPr="00541030">
        <w:rPr>
          <w:rFonts w:ascii="Times New Roman" w:hAnsi="Times New Roman"/>
          <w:bCs/>
          <w:sz w:val="14"/>
          <w:szCs w:val="14"/>
        </w:rPr>
        <w:t>1/ Incluye Aportaciones ISSSTE.</w:t>
      </w:r>
    </w:p>
    <w:p w14:paraId="41C0DD7B" w14:textId="63487ACE" w:rsidR="00541030" w:rsidRPr="00541030" w:rsidRDefault="00541030" w:rsidP="00696753">
      <w:pPr>
        <w:pStyle w:val="PRIMERAPLANA"/>
        <w:spacing w:line="360" w:lineRule="auto"/>
        <w:rPr>
          <w:rFonts w:ascii="Times New Roman" w:hAnsi="Times New Roman"/>
          <w:bCs/>
          <w:sz w:val="14"/>
          <w:szCs w:val="14"/>
        </w:rPr>
      </w:pPr>
      <w:r w:rsidRPr="00541030">
        <w:rPr>
          <w:rFonts w:ascii="Times New Roman" w:hAnsi="Times New Roman"/>
          <w:bCs/>
          <w:sz w:val="14"/>
          <w:szCs w:val="14"/>
        </w:rPr>
        <w:t>Fuente: SHCP.</w:t>
      </w:r>
    </w:p>
    <w:p w14:paraId="75D363AD" w14:textId="77777777" w:rsidR="00541030" w:rsidRDefault="00541030" w:rsidP="004301B9">
      <w:pPr>
        <w:pStyle w:val="PRIMERAPLANA"/>
        <w:spacing w:line="360" w:lineRule="auto"/>
        <w:rPr>
          <w:rFonts w:ascii="Times New Roman" w:hAnsi="Times New Roman"/>
          <w:bCs/>
        </w:rPr>
      </w:pPr>
    </w:p>
    <w:p w14:paraId="18947C3A" w14:textId="6E9C1B62" w:rsidR="004301B9" w:rsidRPr="007D1162" w:rsidRDefault="004301B9" w:rsidP="004301B9">
      <w:pPr>
        <w:pStyle w:val="PRIMERAPLANA"/>
        <w:spacing w:line="360" w:lineRule="auto"/>
        <w:rPr>
          <w:rFonts w:ascii="Times New Roman" w:hAnsi="Times New Roman"/>
          <w:bCs/>
        </w:rPr>
      </w:pPr>
      <w:r w:rsidRPr="007D1162">
        <w:rPr>
          <w:rFonts w:ascii="Times New Roman" w:hAnsi="Times New Roman"/>
          <w:bCs/>
        </w:rPr>
        <w:t xml:space="preserve">La política fiscal que </w:t>
      </w:r>
      <w:r w:rsidR="000055DB">
        <w:rPr>
          <w:rFonts w:ascii="Times New Roman" w:hAnsi="Times New Roman"/>
          <w:bCs/>
        </w:rPr>
        <w:t xml:space="preserve">el Gobierno del Estado </w:t>
      </w:r>
      <w:r w:rsidRPr="007D1162">
        <w:rPr>
          <w:rFonts w:ascii="Times New Roman" w:hAnsi="Times New Roman"/>
          <w:bCs/>
        </w:rPr>
        <w:t>implementará en el ejercicio 202</w:t>
      </w:r>
      <w:r w:rsidR="00A939E3">
        <w:rPr>
          <w:rFonts w:ascii="Times New Roman" w:hAnsi="Times New Roman"/>
          <w:bCs/>
        </w:rPr>
        <w:t>6</w:t>
      </w:r>
      <w:r w:rsidRPr="007D1162">
        <w:rPr>
          <w:rFonts w:ascii="Times New Roman" w:hAnsi="Times New Roman"/>
          <w:bCs/>
        </w:rPr>
        <w:t>, tendrá como finalidad mantener un balance presupuestario positivo, procurando que las fuentes de ingreso financien el gasto del ejercicio, por lo que se es</w:t>
      </w:r>
      <w:r w:rsidR="000055DB">
        <w:rPr>
          <w:rFonts w:ascii="Times New Roman" w:hAnsi="Times New Roman"/>
          <w:bCs/>
        </w:rPr>
        <w:t>pera</w:t>
      </w:r>
      <w:r w:rsidRPr="007D1162">
        <w:rPr>
          <w:rFonts w:ascii="Times New Roman" w:hAnsi="Times New Roman"/>
          <w:bCs/>
        </w:rPr>
        <w:t xml:space="preserve"> que se sigan registrando márgenes operativos positivos al cierre de 202</w:t>
      </w:r>
      <w:r w:rsidR="000055DB">
        <w:rPr>
          <w:rFonts w:ascii="Times New Roman" w:hAnsi="Times New Roman"/>
          <w:bCs/>
        </w:rPr>
        <w:t>5</w:t>
      </w:r>
      <w:r w:rsidRPr="007D1162">
        <w:rPr>
          <w:rFonts w:ascii="Times New Roman" w:hAnsi="Times New Roman"/>
          <w:bCs/>
        </w:rPr>
        <w:t xml:space="preserve"> y en 202</w:t>
      </w:r>
      <w:r w:rsidR="000055DB">
        <w:rPr>
          <w:rFonts w:ascii="Times New Roman" w:hAnsi="Times New Roman"/>
          <w:bCs/>
        </w:rPr>
        <w:t>6</w:t>
      </w:r>
      <w:r w:rsidRPr="007D1162">
        <w:rPr>
          <w:rFonts w:ascii="Times New Roman" w:hAnsi="Times New Roman"/>
          <w:bCs/>
        </w:rPr>
        <w:t>, pero menores a los registrados en ejercicios anteriores. Los resultados financieros balanceados y la política de deuda conservadora, han permitido que desde el ejercicio 2008 el Estado de Tlaxcala haya registrado una posición libre de endeudamiento.</w:t>
      </w:r>
    </w:p>
    <w:p w14:paraId="460BFDD3" w14:textId="77777777" w:rsidR="00696753" w:rsidRPr="007D1162" w:rsidRDefault="00696753" w:rsidP="00696753">
      <w:pPr>
        <w:pStyle w:val="PRIMERAPLANA"/>
        <w:spacing w:line="360" w:lineRule="auto"/>
        <w:rPr>
          <w:rFonts w:ascii="Times New Roman" w:hAnsi="Times New Roman"/>
          <w:bCs/>
        </w:rPr>
      </w:pPr>
    </w:p>
    <w:p w14:paraId="55156204" w14:textId="7A1AC2CD" w:rsidR="00696753" w:rsidRPr="007D1162" w:rsidRDefault="00416FED" w:rsidP="00696753">
      <w:pPr>
        <w:pStyle w:val="PRIMERAPLANA"/>
        <w:spacing w:line="360" w:lineRule="auto"/>
        <w:rPr>
          <w:rFonts w:ascii="Times New Roman" w:hAnsi="Times New Roman"/>
          <w:bCs/>
        </w:rPr>
      </w:pPr>
      <w:r>
        <w:rPr>
          <w:rFonts w:ascii="Times New Roman" w:hAnsi="Times New Roman"/>
          <w:bCs/>
        </w:rPr>
        <w:t>C</w:t>
      </w:r>
      <w:r w:rsidRPr="007D1162">
        <w:rPr>
          <w:rFonts w:ascii="Times New Roman" w:hAnsi="Times New Roman"/>
          <w:bCs/>
        </w:rPr>
        <w:t>on la finalidad de controlar el crecimiento del gasto</w:t>
      </w:r>
      <w:r>
        <w:rPr>
          <w:rFonts w:ascii="Times New Roman" w:hAnsi="Times New Roman"/>
          <w:bCs/>
        </w:rPr>
        <w:t xml:space="preserve"> se</w:t>
      </w:r>
      <w:r w:rsidRPr="007D1162">
        <w:rPr>
          <w:rFonts w:ascii="Times New Roman" w:hAnsi="Times New Roman"/>
          <w:bCs/>
        </w:rPr>
        <w:t xml:space="preserve"> estableci</w:t>
      </w:r>
      <w:r>
        <w:rPr>
          <w:rFonts w:ascii="Times New Roman" w:hAnsi="Times New Roman"/>
          <w:bCs/>
        </w:rPr>
        <w:t>eron</w:t>
      </w:r>
      <w:r w:rsidRPr="007D1162">
        <w:rPr>
          <w:rFonts w:ascii="Times New Roman" w:hAnsi="Times New Roman"/>
          <w:bCs/>
        </w:rPr>
        <w:t xml:space="preserve"> topes a ciertos rubros del gasto</w:t>
      </w:r>
      <w:r>
        <w:rPr>
          <w:rFonts w:ascii="Times New Roman" w:hAnsi="Times New Roman"/>
          <w:bCs/>
        </w:rPr>
        <w:t xml:space="preserve">, mediante el </w:t>
      </w:r>
      <w:r w:rsidRPr="007D1162">
        <w:rPr>
          <w:rFonts w:ascii="Times New Roman" w:hAnsi="Times New Roman"/>
          <w:bCs/>
        </w:rPr>
        <w:t>Acuerdo que Establece los Lineamientos y Políticas Generales del Ejercicio del Presupuesto, las Medidas de Mejora y Modernización, así como de Austeridad del Gasto Público de la Gestión Administrativa</w:t>
      </w:r>
      <w:r>
        <w:rPr>
          <w:rFonts w:ascii="Times New Roman" w:hAnsi="Times New Roman"/>
          <w:bCs/>
        </w:rPr>
        <w:t>,</w:t>
      </w:r>
      <w:r w:rsidRPr="007D1162">
        <w:rPr>
          <w:rFonts w:ascii="Times New Roman" w:hAnsi="Times New Roman"/>
          <w:bCs/>
        </w:rPr>
        <w:t xml:space="preserve"> </w:t>
      </w:r>
      <w:r w:rsidR="00696753" w:rsidRPr="007D1162">
        <w:rPr>
          <w:rFonts w:ascii="Times New Roman" w:hAnsi="Times New Roman"/>
          <w:bCs/>
        </w:rPr>
        <w:t>limita</w:t>
      </w:r>
      <w:r>
        <w:rPr>
          <w:rFonts w:ascii="Times New Roman" w:hAnsi="Times New Roman"/>
          <w:bCs/>
        </w:rPr>
        <w:t>ndo</w:t>
      </w:r>
      <w:r w:rsidR="00696753" w:rsidRPr="007D1162">
        <w:rPr>
          <w:rFonts w:ascii="Times New Roman" w:hAnsi="Times New Roman"/>
          <w:bCs/>
        </w:rPr>
        <w:t xml:space="preserve"> el crecimiento del presupuesto.</w:t>
      </w:r>
    </w:p>
    <w:p w14:paraId="305E0F8B" w14:textId="77777777" w:rsidR="00696753" w:rsidRPr="007D1162" w:rsidRDefault="00696753" w:rsidP="00696753">
      <w:pPr>
        <w:pStyle w:val="PRIMERAPLANA"/>
        <w:spacing w:line="360" w:lineRule="auto"/>
        <w:rPr>
          <w:rFonts w:ascii="Times New Roman" w:hAnsi="Times New Roman"/>
          <w:bCs/>
        </w:rPr>
      </w:pPr>
    </w:p>
    <w:p w14:paraId="1E287C26" w14:textId="6C5CECA9"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Se estima que para 202</w:t>
      </w:r>
      <w:r w:rsidR="00416FED">
        <w:rPr>
          <w:rFonts w:ascii="Times New Roman" w:hAnsi="Times New Roman"/>
          <w:bCs/>
        </w:rPr>
        <w:t>6</w:t>
      </w:r>
      <w:r w:rsidRPr="007D1162">
        <w:rPr>
          <w:rFonts w:ascii="Times New Roman" w:hAnsi="Times New Roman"/>
          <w:bCs/>
        </w:rPr>
        <w:t>, los ingresos propios se mantengan en niveles similares a los de 202</w:t>
      </w:r>
      <w:r w:rsidR="00416FED">
        <w:rPr>
          <w:rFonts w:ascii="Times New Roman" w:hAnsi="Times New Roman"/>
          <w:bCs/>
        </w:rPr>
        <w:t>5</w:t>
      </w:r>
      <w:r w:rsidRPr="007D1162">
        <w:rPr>
          <w:rFonts w:ascii="Times New Roman" w:hAnsi="Times New Roman"/>
          <w:bCs/>
        </w:rPr>
        <w:t>, en línea con las previsiones efectuadas por el Gobierno Federal, considerando que los recursos destinados a las entidades federativas</w:t>
      </w:r>
      <w:r w:rsidR="00CE6938" w:rsidRPr="007D1162">
        <w:rPr>
          <w:rFonts w:ascii="Times New Roman" w:hAnsi="Times New Roman"/>
          <w:bCs/>
        </w:rPr>
        <w:t xml:space="preserve"> por participaciones</w:t>
      </w:r>
      <w:r w:rsidRPr="007D1162">
        <w:rPr>
          <w:rFonts w:ascii="Times New Roman" w:hAnsi="Times New Roman"/>
          <w:bCs/>
        </w:rPr>
        <w:t xml:space="preserve">, </w:t>
      </w:r>
      <w:r w:rsidR="00F700F2">
        <w:rPr>
          <w:rFonts w:ascii="Times New Roman" w:hAnsi="Times New Roman"/>
          <w:bCs/>
        </w:rPr>
        <w:t xml:space="preserve">al primer semestre de 2025 </w:t>
      </w:r>
      <w:r w:rsidR="004301B9" w:rsidRPr="007D1162">
        <w:rPr>
          <w:rFonts w:ascii="Times New Roman" w:hAnsi="Times New Roman"/>
          <w:bCs/>
        </w:rPr>
        <w:t>corresponde a</w:t>
      </w:r>
      <w:r w:rsidRPr="007D1162">
        <w:rPr>
          <w:rFonts w:ascii="Times New Roman" w:hAnsi="Times New Roman"/>
          <w:bCs/>
        </w:rPr>
        <w:t xml:space="preserve"> </w:t>
      </w:r>
      <w:r w:rsidR="00CE6938" w:rsidRPr="007D1162">
        <w:rPr>
          <w:rFonts w:ascii="Times New Roman" w:hAnsi="Times New Roman"/>
          <w:bCs/>
        </w:rPr>
        <w:t>6</w:t>
      </w:r>
      <w:r w:rsidR="00F700F2">
        <w:rPr>
          <w:rFonts w:ascii="Times New Roman" w:hAnsi="Times New Roman"/>
          <w:bCs/>
        </w:rPr>
        <w:t>32</w:t>
      </w:r>
      <w:r w:rsidR="00CE6938" w:rsidRPr="007D1162">
        <w:rPr>
          <w:rFonts w:ascii="Times New Roman" w:hAnsi="Times New Roman"/>
          <w:bCs/>
        </w:rPr>
        <w:t>,</w:t>
      </w:r>
      <w:r w:rsidR="00F700F2">
        <w:rPr>
          <w:rFonts w:ascii="Times New Roman" w:hAnsi="Times New Roman"/>
          <w:bCs/>
        </w:rPr>
        <w:t>369</w:t>
      </w:r>
      <w:r w:rsidR="00CE6938" w:rsidRPr="007D1162">
        <w:rPr>
          <w:rFonts w:ascii="Times New Roman" w:hAnsi="Times New Roman"/>
          <w:bCs/>
        </w:rPr>
        <w:t>.</w:t>
      </w:r>
      <w:r w:rsidR="00F700F2">
        <w:rPr>
          <w:rFonts w:ascii="Times New Roman" w:hAnsi="Times New Roman"/>
          <w:bCs/>
        </w:rPr>
        <w:t>1</w:t>
      </w:r>
      <w:r w:rsidRPr="007D1162">
        <w:rPr>
          <w:rFonts w:ascii="Times New Roman" w:hAnsi="Times New Roman"/>
          <w:bCs/>
        </w:rPr>
        <w:t xml:space="preserve"> millones de pesos, lo que representa un crecimiento de</w:t>
      </w:r>
      <w:r w:rsidR="00F700F2">
        <w:rPr>
          <w:rFonts w:ascii="Times New Roman" w:hAnsi="Times New Roman"/>
          <w:bCs/>
        </w:rPr>
        <w:t>l</w:t>
      </w:r>
      <w:r w:rsidRPr="007D1162">
        <w:rPr>
          <w:rFonts w:ascii="Times New Roman" w:hAnsi="Times New Roman"/>
          <w:bCs/>
        </w:rPr>
        <w:t xml:space="preserve"> </w:t>
      </w:r>
      <w:r w:rsidR="00F700F2">
        <w:rPr>
          <w:rFonts w:ascii="Times New Roman" w:hAnsi="Times New Roman"/>
          <w:bCs/>
        </w:rPr>
        <w:t>3.6</w:t>
      </w:r>
      <w:r w:rsidRPr="007D1162">
        <w:rPr>
          <w:rFonts w:ascii="Times New Roman" w:hAnsi="Times New Roman"/>
          <w:bCs/>
        </w:rPr>
        <w:t xml:space="preserve">% con respecto a </w:t>
      </w:r>
      <w:r w:rsidR="00CE6938" w:rsidRPr="007D1162">
        <w:rPr>
          <w:rFonts w:ascii="Times New Roman" w:hAnsi="Times New Roman"/>
          <w:bCs/>
        </w:rPr>
        <w:t>lo programado</w:t>
      </w:r>
      <w:r w:rsidRPr="007D1162">
        <w:rPr>
          <w:rFonts w:ascii="Times New Roman" w:hAnsi="Times New Roman"/>
          <w:bCs/>
        </w:rPr>
        <w:t>.</w:t>
      </w:r>
    </w:p>
    <w:p w14:paraId="122F9300" w14:textId="77777777" w:rsidR="00696753" w:rsidRPr="007D1162" w:rsidRDefault="00696753" w:rsidP="00696753">
      <w:pPr>
        <w:pStyle w:val="PRIMERAPLANA"/>
        <w:spacing w:line="360" w:lineRule="auto"/>
        <w:rPr>
          <w:rFonts w:ascii="Times New Roman" w:hAnsi="Times New Roman"/>
          <w:bCs/>
        </w:rPr>
      </w:pPr>
    </w:p>
    <w:p w14:paraId="46272EA2" w14:textId="64AC1B16"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lastRenderedPageBreak/>
        <w:t xml:space="preserve">La liquidez del Estado de Tlaxcala es un factor que permite enfrentar choques externos imprevistos, por lo que se espera que el efectivo del Estado cubra al menos el </w:t>
      </w:r>
      <w:r w:rsidR="00ED1FF3" w:rsidRPr="007D1162">
        <w:rPr>
          <w:rFonts w:ascii="Times New Roman" w:hAnsi="Times New Roman"/>
          <w:bCs/>
        </w:rPr>
        <w:t>0.</w:t>
      </w:r>
      <w:r w:rsidR="007F5F4B">
        <w:rPr>
          <w:rFonts w:ascii="Times New Roman" w:hAnsi="Times New Roman"/>
          <w:bCs/>
        </w:rPr>
        <w:t>6</w:t>
      </w:r>
      <w:r w:rsidRPr="007D1162">
        <w:rPr>
          <w:rFonts w:ascii="Times New Roman" w:hAnsi="Times New Roman"/>
          <w:bCs/>
        </w:rPr>
        <w:t>% de los pasivos promedio para 202</w:t>
      </w:r>
      <w:r w:rsidR="00F700F2">
        <w:rPr>
          <w:rFonts w:ascii="Times New Roman" w:hAnsi="Times New Roman"/>
          <w:bCs/>
        </w:rPr>
        <w:t>5</w:t>
      </w:r>
      <w:r w:rsidRPr="007D1162">
        <w:rPr>
          <w:rFonts w:ascii="Times New Roman" w:hAnsi="Times New Roman"/>
          <w:bCs/>
        </w:rPr>
        <w:t xml:space="preserve"> y 202</w:t>
      </w:r>
      <w:r w:rsidR="00F700F2">
        <w:rPr>
          <w:rFonts w:ascii="Times New Roman" w:hAnsi="Times New Roman"/>
          <w:bCs/>
        </w:rPr>
        <w:t>6</w:t>
      </w:r>
      <w:r w:rsidRPr="007D1162">
        <w:rPr>
          <w:rFonts w:ascii="Times New Roman" w:hAnsi="Times New Roman"/>
          <w:bCs/>
        </w:rPr>
        <w:t>, como resultado del buen manejo del presupuesto.</w:t>
      </w:r>
    </w:p>
    <w:p w14:paraId="6834C934" w14:textId="77777777" w:rsidR="00696753" w:rsidRPr="007D1162" w:rsidRDefault="00696753" w:rsidP="00696753">
      <w:pPr>
        <w:pStyle w:val="PRIMERAPLANA"/>
        <w:spacing w:line="360" w:lineRule="auto"/>
        <w:rPr>
          <w:rFonts w:ascii="Times New Roman" w:hAnsi="Times New Roman"/>
          <w:bCs/>
        </w:rPr>
      </w:pPr>
    </w:p>
    <w:p w14:paraId="4C17AD40" w14:textId="3513F847"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La Iniciativa de Ley Ingresos del Estado de Tlaxcala</w:t>
      </w:r>
      <w:r w:rsidR="007F5F4B">
        <w:rPr>
          <w:rFonts w:ascii="Times New Roman" w:hAnsi="Times New Roman"/>
          <w:bCs/>
        </w:rPr>
        <w:t>,</w:t>
      </w:r>
      <w:r w:rsidRPr="007D1162">
        <w:rPr>
          <w:rFonts w:ascii="Times New Roman" w:hAnsi="Times New Roman"/>
          <w:bCs/>
        </w:rPr>
        <w:t xml:space="preserve"> para el Ejercicio Fiscal 202</w:t>
      </w:r>
      <w:r w:rsidR="007F5F4B">
        <w:rPr>
          <w:rFonts w:ascii="Times New Roman" w:hAnsi="Times New Roman"/>
          <w:bCs/>
        </w:rPr>
        <w:t>6</w:t>
      </w:r>
      <w:r w:rsidRPr="007D1162">
        <w:rPr>
          <w:rFonts w:ascii="Times New Roman" w:hAnsi="Times New Roman"/>
          <w:bCs/>
        </w:rPr>
        <w:t xml:space="preserve">, presentada ante ese Congreso del Estado, establece una estimación con base en las cifras </w:t>
      </w:r>
      <w:r w:rsidR="00563A21" w:rsidRPr="007D1162">
        <w:rPr>
          <w:rFonts w:ascii="Times New Roman" w:hAnsi="Times New Roman"/>
          <w:bCs/>
        </w:rPr>
        <w:t>consider</w:t>
      </w:r>
      <w:r w:rsidR="00ED1FF3" w:rsidRPr="007D1162">
        <w:rPr>
          <w:rFonts w:ascii="Times New Roman" w:hAnsi="Times New Roman"/>
          <w:bCs/>
        </w:rPr>
        <w:t>a</w:t>
      </w:r>
      <w:r w:rsidRPr="007D1162">
        <w:rPr>
          <w:rFonts w:ascii="Times New Roman" w:hAnsi="Times New Roman"/>
          <w:bCs/>
        </w:rPr>
        <w:t>das por la Secretaría de Hacienda y Crédito Público para el ejercicio 202</w:t>
      </w:r>
      <w:r w:rsidR="007F5F4B">
        <w:rPr>
          <w:rFonts w:ascii="Times New Roman" w:hAnsi="Times New Roman"/>
          <w:bCs/>
        </w:rPr>
        <w:t>6</w:t>
      </w:r>
      <w:r w:rsidRPr="007D1162">
        <w:rPr>
          <w:rFonts w:ascii="Times New Roman" w:hAnsi="Times New Roman"/>
          <w:bCs/>
        </w:rPr>
        <w:t>, correspondientes a los conceptos por los cuales el Gobierno del Estado obtendrá los recursos económicos que requiere para la realización de sus funciones.</w:t>
      </w:r>
    </w:p>
    <w:p w14:paraId="435E5687" w14:textId="77777777" w:rsidR="00696753" w:rsidRPr="007D1162" w:rsidRDefault="00696753" w:rsidP="00696753">
      <w:pPr>
        <w:pStyle w:val="PRIMERAPLANA"/>
        <w:spacing w:line="360" w:lineRule="auto"/>
        <w:rPr>
          <w:rFonts w:ascii="Times New Roman" w:hAnsi="Times New Roman"/>
          <w:bCs/>
        </w:rPr>
      </w:pPr>
    </w:p>
    <w:p w14:paraId="152A5090" w14:textId="0A1AB27D"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w:t>
      </w:r>
      <w:r w:rsidR="00541030">
        <w:rPr>
          <w:bCs/>
          <w:sz w:val="20"/>
          <w:szCs w:val="20"/>
          <w:lang w:val="es-ES_tradnl"/>
        </w:rPr>
        <w:t>el</w:t>
      </w:r>
      <w:r w:rsidRPr="007D1162">
        <w:rPr>
          <w:bCs/>
          <w:sz w:val="20"/>
          <w:szCs w:val="20"/>
          <w:lang w:val="es-ES_tradnl"/>
        </w:rPr>
        <w:t xml:space="preserve"> COVID-19.</w:t>
      </w:r>
    </w:p>
    <w:p w14:paraId="42F19DEA" w14:textId="4A43F605" w:rsidR="007D1162" w:rsidRDefault="007D1162" w:rsidP="00FD37DE">
      <w:pPr>
        <w:pStyle w:val="PRIMERAPLANA"/>
        <w:spacing w:line="360" w:lineRule="auto"/>
        <w:rPr>
          <w:rFonts w:ascii="Times New Roman" w:hAnsi="Times New Roman"/>
          <w:bCs/>
        </w:rPr>
      </w:pPr>
    </w:p>
    <w:p w14:paraId="59544608" w14:textId="77777777" w:rsidR="00DB1F68" w:rsidRDefault="00DB1F68" w:rsidP="00FD37DE">
      <w:pPr>
        <w:pStyle w:val="PRIMERAPLANA"/>
        <w:spacing w:line="360" w:lineRule="auto"/>
        <w:rPr>
          <w:rFonts w:ascii="Times New Roman" w:hAnsi="Times New Roman"/>
          <w:bCs/>
        </w:rPr>
      </w:pPr>
    </w:p>
    <w:p w14:paraId="1957A7B6" w14:textId="3414D2BE" w:rsidR="00696753" w:rsidRPr="00906252" w:rsidRDefault="00696753" w:rsidP="00696753">
      <w:pPr>
        <w:spacing w:line="360" w:lineRule="auto"/>
        <w:jc w:val="center"/>
        <w:rPr>
          <w:b/>
          <w:sz w:val="20"/>
          <w:szCs w:val="22"/>
        </w:rPr>
      </w:pPr>
      <w:r w:rsidRPr="00906252">
        <w:rPr>
          <w:b/>
          <w:sz w:val="20"/>
          <w:szCs w:val="22"/>
        </w:rPr>
        <w:t>RECAUDACIÓN DE I</w:t>
      </w:r>
      <w:r w:rsidR="006E306C" w:rsidRPr="00906252">
        <w:rPr>
          <w:b/>
          <w:sz w:val="20"/>
          <w:szCs w:val="22"/>
        </w:rPr>
        <w:t>NGRESOS LOCALES</w:t>
      </w:r>
      <w:r w:rsidRPr="00906252">
        <w:rPr>
          <w:b/>
          <w:sz w:val="20"/>
          <w:szCs w:val="22"/>
        </w:rPr>
        <w:t xml:space="preserve"> 20</w:t>
      </w:r>
      <w:r w:rsidR="001D4071" w:rsidRPr="00906252">
        <w:rPr>
          <w:b/>
          <w:sz w:val="20"/>
          <w:szCs w:val="22"/>
        </w:rPr>
        <w:t>2</w:t>
      </w:r>
      <w:r w:rsidR="007F5F4B">
        <w:rPr>
          <w:b/>
          <w:sz w:val="20"/>
          <w:szCs w:val="22"/>
        </w:rPr>
        <w:t>1</w:t>
      </w:r>
      <w:r w:rsidRPr="00906252">
        <w:rPr>
          <w:b/>
          <w:sz w:val="20"/>
          <w:szCs w:val="22"/>
        </w:rPr>
        <w:t>-202</w:t>
      </w:r>
      <w:r w:rsidR="007F5F4B">
        <w:rPr>
          <w:b/>
          <w:sz w:val="20"/>
          <w:szCs w:val="22"/>
        </w:rPr>
        <w:t>5</w:t>
      </w:r>
      <w:r w:rsidRPr="00906252">
        <w:rPr>
          <w:b/>
          <w:sz w:val="20"/>
          <w:szCs w:val="22"/>
        </w:rPr>
        <w:t>* (</w:t>
      </w:r>
      <w:proofErr w:type="spellStart"/>
      <w:r w:rsidRPr="00906252">
        <w:rPr>
          <w:b/>
          <w:sz w:val="20"/>
          <w:szCs w:val="22"/>
        </w:rPr>
        <w:t>Mdp</w:t>
      </w:r>
      <w:proofErr w:type="spellEnd"/>
      <w:r w:rsidRPr="00906252">
        <w:rPr>
          <w:b/>
          <w:sz w:val="20"/>
          <w:szCs w:val="22"/>
        </w:rPr>
        <w:t>)</w:t>
      </w:r>
    </w:p>
    <w:tbl>
      <w:tblPr>
        <w:tblW w:w="7887" w:type="dxa"/>
        <w:tblCellMar>
          <w:left w:w="70" w:type="dxa"/>
          <w:right w:w="70" w:type="dxa"/>
        </w:tblCellMar>
        <w:tblLook w:val="04A0" w:firstRow="1" w:lastRow="0" w:firstColumn="1" w:lastColumn="0" w:noHBand="0" w:noVBand="1"/>
      </w:tblPr>
      <w:tblGrid>
        <w:gridCol w:w="1881"/>
        <w:gridCol w:w="1207"/>
        <w:gridCol w:w="1437"/>
        <w:gridCol w:w="1216"/>
        <w:gridCol w:w="1072"/>
        <w:gridCol w:w="1074"/>
      </w:tblGrid>
      <w:tr w:rsidR="00CA2F0D" w:rsidRPr="00CA2F0D" w14:paraId="7B71A57C" w14:textId="77777777" w:rsidTr="00CA2F0D">
        <w:trPr>
          <w:trHeight w:val="218"/>
        </w:trPr>
        <w:tc>
          <w:tcPr>
            <w:tcW w:w="7887" w:type="dxa"/>
            <w:gridSpan w:val="6"/>
            <w:tcBorders>
              <w:top w:val="single" w:sz="4" w:space="0" w:color="auto"/>
              <w:left w:val="single" w:sz="4" w:space="0" w:color="auto"/>
              <w:bottom w:val="nil"/>
              <w:right w:val="single" w:sz="4" w:space="0" w:color="auto"/>
            </w:tcBorders>
            <w:noWrap/>
            <w:vAlign w:val="bottom"/>
            <w:hideMark/>
          </w:tcPr>
          <w:p w14:paraId="2699F5A6" w14:textId="77777777" w:rsidR="00CA2F0D" w:rsidRPr="00CA2F0D" w:rsidRDefault="00CA2F0D">
            <w:pPr>
              <w:jc w:val="center"/>
              <w:rPr>
                <w:rFonts w:ascii="Arial" w:hAnsi="Arial" w:cs="Arial"/>
                <w:b/>
                <w:bCs/>
                <w:sz w:val="12"/>
                <w:szCs w:val="12"/>
                <w:lang w:eastAsia="es-MX"/>
              </w:rPr>
            </w:pPr>
            <w:r w:rsidRPr="00CA2F0D">
              <w:rPr>
                <w:rFonts w:ascii="Arial" w:hAnsi="Arial" w:cs="Arial"/>
                <w:b/>
                <w:bCs/>
                <w:sz w:val="12"/>
                <w:szCs w:val="12"/>
              </w:rPr>
              <w:t xml:space="preserve">GOBIERNO DEL ESTADO DE TLAXCALA </w:t>
            </w:r>
          </w:p>
        </w:tc>
      </w:tr>
      <w:tr w:rsidR="00CA2F0D" w:rsidRPr="00CA2F0D" w14:paraId="1568439A" w14:textId="77777777" w:rsidTr="00CA2F0D">
        <w:trPr>
          <w:trHeight w:val="73"/>
        </w:trPr>
        <w:tc>
          <w:tcPr>
            <w:tcW w:w="7887" w:type="dxa"/>
            <w:gridSpan w:val="6"/>
            <w:tcBorders>
              <w:top w:val="nil"/>
              <w:left w:val="single" w:sz="4" w:space="0" w:color="auto"/>
              <w:bottom w:val="single" w:sz="8" w:space="0" w:color="auto"/>
              <w:right w:val="single" w:sz="4" w:space="0" w:color="auto"/>
            </w:tcBorders>
            <w:noWrap/>
            <w:vAlign w:val="bottom"/>
            <w:hideMark/>
          </w:tcPr>
          <w:p w14:paraId="51E6917D"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RECAUDACION DE INGRESOS LOCALES   2021-2025</w:t>
            </w:r>
          </w:p>
        </w:tc>
      </w:tr>
      <w:tr w:rsidR="00CA2F0D" w:rsidRPr="00CA2F0D" w14:paraId="6F098545" w14:textId="77777777" w:rsidTr="00CA2F0D">
        <w:trPr>
          <w:trHeight w:val="472"/>
        </w:trPr>
        <w:tc>
          <w:tcPr>
            <w:tcW w:w="1881" w:type="dxa"/>
            <w:vMerge w:val="restart"/>
            <w:tcBorders>
              <w:top w:val="nil"/>
              <w:left w:val="single" w:sz="4" w:space="0" w:color="auto"/>
              <w:bottom w:val="single" w:sz="8" w:space="0" w:color="000000"/>
              <w:right w:val="single" w:sz="8" w:space="0" w:color="auto"/>
            </w:tcBorders>
            <w:shd w:val="clear" w:color="000000" w:fill="B1A0C7"/>
            <w:vAlign w:val="bottom"/>
            <w:hideMark/>
          </w:tcPr>
          <w:p w14:paraId="378009F5" w14:textId="77777777" w:rsidR="00CA2F0D" w:rsidRDefault="00CA2F0D">
            <w:pPr>
              <w:jc w:val="center"/>
              <w:rPr>
                <w:rFonts w:ascii="Arial" w:hAnsi="Arial" w:cs="Arial"/>
                <w:b/>
                <w:bCs/>
                <w:sz w:val="12"/>
                <w:szCs w:val="12"/>
              </w:rPr>
            </w:pPr>
            <w:r w:rsidRPr="00CA2F0D">
              <w:rPr>
                <w:rFonts w:ascii="Arial" w:hAnsi="Arial" w:cs="Arial"/>
                <w:b/>
                <w:bCs/>
                <w:sz w:val="12"/>
                <w:szCs w:val="12"/>
              </w:rPr>
              <w:t>INGRESOS PROVENIENTES DE FUENTES LOCALES</w:t>
            </w:r>
          </w:p>
          <w:p w14:paraId="5BF62098" w14:textId="77777777" w:rsidR="00CA2F0D" w:rsidRPr="00CA2F0D" w:rsidRDefault="00CA2F0D">
            <w:pPr>
              <w:jc w:val="center"/>
              <w:rPr>
                <w:rFonts w:ascii="Arial" w:hAnsi="Arial" w:cs="Arial"/>
                <w:b/>
                <w:bCs/>
                <w:sz w:val="12"/>
                <w:szCs w:val="12"/>
              </w:rPr>
            </w:pPr>
          </w:p>
        </w:tc>
        <w:tc>
          <w:tcPr>
            <w:tcW w:w="120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0C4D4329"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 xml:space="preserve"> Ejercicio 2021 </w:t>
            </w:r>
          </w:p>
        </w:tc>
        <w:tc>
          <w:tcPr>
            <w:tcW w:w="143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0B162A81"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 xml:space="preserve"> Ejercicio 2022 </w:t>
            </w:r>
          </w:p>
        </w:tc>
        <w:tc>
          <w:tcPr>
            <w:tcW w:w="1216"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6C694996"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 xml:space="preserve"> Ejercicio 2023 </w:t>
            </w:r>
          </w:p>
        </w:tc>
        <w:tc>
          <w:tcPr>
            <w:tcW w:w="1072"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1E38FE93"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 xml:space="preserve"> Ejercicio 2024 </w:t>
            </w:r>
          </w:p>
        </w:tc>
        <w:tc>
          <w:tcPr>
            <w:tcW w:w="1072" w:type="dxa"/>
            <w:vMerge w:val="restart"/>
            <w:tcBorders>
              <w:top w:val="nil"/>
              <w:left w:val="single" w:sz="8" w:space="0" w:color="auto"/>
              <w:bottom w:val="single" w:sz="8" w:space="0" w:color="000000"/>
              <w:right w:val="single" w:sz="4" w:space="0" w:color="auto"/>
            </w:tcBorders>
            <w:shd w:val="clear" w:color="000000" w:fill="B1A0C7"/>
            <w:vAlign w:val="center"/>
            <w:hideMark/>
          </w:tcPr>
          <w:p w14:paraId="0B8B0348" w14:textId="77777777" w:rsidR="00CA2F0D" w:rsidRPr="00CA2F0D" w:rsidRDefault="00CA2F0D">
            <w:pPr>
              <w:jc w:val="center"/>
              <w:rPr>
                <w:rFonts w:ascii="Arial" w:hAnsi="Arial" w:cs="Arial"/>
                <w:b/>
                <w:bCs/>
                <w:sz w:val="12"/>
                <w:szCs w:val="12"/>
              </w:rPr>
            </w:pPr>
            <w:r w:rsidRPr="00CA2F0D">
              <w:rPr>
                <w:rFonts w:ascii="Arial" w:hAnsi="Arial" w:cs="Arial"/>
                <w:b/>
                <w:bCs/>
                <w:sz w:val="12"/>
                <w:szCs w:val="12"/>
              </w:rPr>
              <w:t xml:space="preserve"> Cierre 2025 </w:t>
            </w:r>
          </w:p>
        </w:tc>
      </w:tr>
      <w:tr w:rsidR="00CA2F0D" w:rsidRPr="00CA2F0D" w14:paraId="1EC8FA1D" w14:textId="77777777" w:rsidTr="00CA2F0D">
        <w:trPr>
          <w:trHeight w:val="458"/>
        </w:trPr>
        <w:tc>
          <w:tcPr>
            <w:tcW w:w="1881" w:type="dxa"/>
            <w:vMerge/>
            <w:tcBorders>
              <w:top w:val="nil"/>
              <w:left w:val="single" w:sz="4" w:space="0" w:color="auto"/>
              <w:bottom w:val="single" w:sz="8" w:space="0" w:color="000000"/>
              <w:right w:val="single" w:sz="8" w:space="0" w:color="auto"/>
            </w:tcBorders>
            <w:vAlign w:val="center"/>
            <w:hideMark/>
          </w:tcPr>
          <w:p w14:paraId="5B4A9709" w14:textId="77777777" w:rsidR="00CA2F0D" w:rsidRPr="00CA2F0D" w:rsidRDefault="00CA2F0D">
            <w:pPr>
              <w:rPr>
                <w:rFonts w:ascii="Arial" w:hAnsi="Arial" w:cs="Arial"/>
                <w:b/>
                <w:bCs/>
                <w:sz w:val="12"/>
                <w:szCs w:val="12"/>
              </w:rPr>
            </w:pPr>
          </w:p>
        </w:tc>
        <w:tc>
          <w:tcPr>
            <w:tcW w:w="1207" w:type="dxa"/>
            <w:vMerge/>
            <w:tcBorders>
              <w:top w:val="nil"/>
              <w:left w:val="single" w:sz="8" w:space="0" w:color="auto"/>
              <w:bottom w:val="single" w:sz="8" w:space="0" w:color="000000"/>
              <w:right w:val="single" w:sz="8" w:space="0" w:color="auto"/>
            </w:tcBorders>
            <w:vAlign w:val="center"/>
            <w:hideMark/>
          </w:tcPr>
          <w:p w14:paraId="57910E8F" w14:textId="77777777" w:rsidR="00CA2F0D" w:rsidRPr="00CA2F0D" w:rsidRDefault="00CA2F0D">
            <w:pPr>
              <w:rPr>
                <w:rFonts w:ascii="Arial" w:hAnsi="Arial" w:cs="Arial"/>
                <w:b/>
                <w:bCs/>
                <w:sz w:val="12"/>
                <w:szCs w:val="12"/>
              </w:rPr>
            </w:pPr>
          </w:p>
        </w:tc>
        <w:tc>
          <w:tcPr>
            <w:tcW w:w="1437" w:type="dxa"/>
            <w:vMerge/>
            <w:tcBorders>
              <w:top w:val="nil"/>
              <w:left w:val="single" w:sz="8" w:space="0" w:color="auto"/>
              <w:bottom w:val="single" w:sz="8" w:space="0" w:color="000000"/>
              <w:right w:val="single" w:sz="8" w:space="0" w:color="auto"/>
            </w:tcBorders>
            <w:vAlign w:val="center"/>
            <w:hideMark/>
          </w:tcPr>
          <w:p w14:paraId="72E85911" w14:textId="77777777" w:rsidR="00CA2F0D" w:rsidRPr="00CA2F0D" w:rsidRDefault="00CA2F0D">
            <w:pPr>
              <w:rPr>
                <w:rFonts w:ascii="Arial" w:hAnsi="Arial" w:cs="Arial"/>
                <w:b/>
                <w:bCs/>
                <w:sz w:val="12"/>
                <w:szCs w:val="12"/>
              </w:rPr>
            </w:pPr>
          </w:p>
        </w:tc>
        <w:tc>
          <w:tcPr>
            <w:tcW w:w="1216" w:type="dxa"/>
            <w:vMerge/>
            <w:tcBorders>
              <w:top w:val="nil"/>
              <w:left w:val="single" w:sz="8" w:space="0" w:color="auto"/>
              <w:bottom w:val="single" w:sz="8" w:space="0" w:color="000000"/>
              <w:right w:val="single" w:sz="8" w:space="0" w:color="auto"/>
            </w:tcBorders>
            <w:vAlign w:val="center"/>
            <w:hideMark/>
          </w:tcPr>
          <w:p w14:paraId="56ADC833" w14:textId="77777777" w:rsidR="00CA2F0D" w:rsidRPr="00CA2F0D" w:rsidRDefault="00CA2F0D">
            <w:pPr>
              <w:rPr>
                <w:rFonts w:ascii="Arial" w:hAnsi="Arial" w:cs="Arial"/>
                <w:b/>
                <w:bCs/>
                <w:sz w:val="12"/>
                <w:szCs w:val="12"/>
              </w:rPr>
            </w:pPr>
          </w:p>
        </w:tc>
        <w:tc>
          <w:tcPr>
            <w:tcW w:w="1072" w:type="dxa"/>
            <w:vMerge/>
            <w:tcBorders>
              <w:top w:val="nil"/>
              <w:left w:val="single" w:sz="8" w:space="0" w:color="auto"/>
              <w:bottom w:val="single" w:sz="8" w:space="0" w:color="000000"/>
              <w:right w:val="single" w:sz="8" w:space="0" w:color="auto"/>
            </w:tcBorders>
            <w:vAlign w:val="center"/>
            <w:hideMark/>
          </w:tcPr>
          <w:p w14:paraId="63E64370" w14:textId="77777777" w:rsidR="00CA2F0D" w:rsidRPr="00CA2F0D" w:rsidRDefault="00CA2F0D">
            <w:pPr>
              <w:rPr>
                <w:rFonts w:ascii="Arial" w:hAnsi="Arial" w:cs="Arial"/>
                <w:b/>
                <w:bCs/>
                <w:sz w:val="12"/>
                <w:szCs w:val="12"/>
              </w:rPr>
            </w:pPr>
          </w:p>
        </w:tc>
        <w:tc>
          <w:tcPr>
            <w:tcW w:w="1072" w:type="dxa"/>
            <w:vMerge/>
            <w:tcBorders>
              <w:top w:val="nil"/>
              <w:left w:val="single" w:sz="8" w:space="0" w:color="auto"/>
              <w:bottom w:val="single" w:sz="8" w:space="0" w:color="000000"/>
              <w:right w:val="single" w:sz="4" w:space="0" w:color="auto"/>
            </w:tcBorders>
            <w:vAlign w:val="center"/>
            <w:hideMark/>
          </w:tcPr>
          <w:p w14:paraId="13B603A5" w14:textId="77777777" w:rsidR="00CA2F0D" w:rsidRPr="00CA2F0D" w:rsidRDefault="00CA2F0D">
            <w:pPr>
              <w:rPr>
                <w:rFonts w:ascii="Arial" w:hAnsi="Arial" w:cs="Arial"/>
                <w:b/>
                <w:bCs/>
                <w:sz w:val="12"/>
                <w:szCs w:val="12"/>
              </w:rPr>
            </w:pPr>
          </w:p>
        </w:tc>
      </w:tr>
      <w:tr w:rsidR="00CA2F0D" w:rsidRPr="00CA2F0D" w14:paraId="035DB80A" w14:textId="77777777" w:rsidTr="00CA2F0D">
        <w:trPr>
          <w:trHeight w:val="178"/>
        </w:trPr>
        <w:tc>
          <w:tcPr>
            <w:tcW w:w="1881" w:type="dxa"/>
            <w:tcBorders>
              <w:top w:val="nil"/>
              <w:left w:val="single" w:sz="4" w:space="0" w:color="auto"/>
              <w:bottom w:val="nil"/>
              <w:right w:val="single" w:sz="8" w:space="0" w:color="auto"/>
            </w:tcBorders>
            <w:vAlign w:val="bottom"/>
            <w:hideMark/>
          </w:tcPr>
          <w:p w14:paraId="1F2FDE9D" w14:textId="77777777" w:rsidR="00CA2F0D" w:rsidRPr="00CA2F0D" w:rsidRDefault="00CA2F0D">
            <w:pPr>
              <w:rPr>
                <w:rFonts w:ascii="Arial" w:hAnsi="Arial" w:cs="Arial"/>
                <w:sz w:val="12"/>
                <w:szCs w:val="12"/>
              </w:rPr>
            </w:pPr>
            <w:r w:rsidRPr="00CA2F0D">
              <w:rPr>
                <w:rFonts w:ascii="Arial" w:hAnsi="Arial" w:cs="Arial"/>
                <w:sz w:val="12"/>
                <w:szCs w:val="12"/>
              </w:rPr>
              <w:t>Impuestos</w:t>
            </w:r>
          </w:p>
        </w:tc>
        <w:tc>
          <w:tcPr>
            <w:tcW w:w="1207" w:type="dxa"/>
            <w:tcBorders>
              <w:top w:val="nil"/>
              <w:left w:val="nil"/>
              <w:bottom w:val="nil"/>
              <w:right w:val="single" w:sz="8" w:space="0" w:color="auto"/>
            </w:tcBorders>
            <w:noWrap/>
            <w:vAlign w:val="bottom"/>
            <w:hideMark/>
          </w:tcPr>
          <w:p w14:paraId="0A7BE9BB"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623,414,456 </w:t>
            </w:r>
          </w:p>
        </w:tc>
        <w:tc>
          <w:tcPr>
            <w:tcW w:w="1437" w:type="dxa"/>
            <w:tcBorders>
              <w:top w:val="nil"/>
              <w:left w:val="nil"/>
              <w:bottom w:val="nil"/>
              <w:right w:val="single" w:sz="8" w:space="0" w:color="auto"/>
            </w:tcBorders>
            <w:noWrap/>
            <w:vAlign w:val="bottom"/>
            <w:hideMark/>
          </w:tcPr>
          <w:p w14:paraId="4EC2635B"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746,947,529 </w:t>
            </w:r>
          </w:p>
        </w:tc>
        <w:tc>
          <w:tcPr>
            <w:tcW w:w="1216" w:type="dxa"/>
            <w:tcBorders>
              <w:top w:val="nil"/>
              <w:left w:val="nil"/>
              <w:bottom w:val="nil"/>
              <w:right w:val="single" w:sz="8" w:space="0" w:color="auto"/>
            </w:tcBorders>
            <w:noWrap/>
            <w:vAlign w:val="bottom"/>
            <w:hideMark/>
          </w:tcPr>
          <w:p w14:paraId="126A6B49"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864,347,652 </w:t>
            </w:r>
          </w:p>
        </w:tc>
        <w:tc>
          <w:tcPr>
            <w:tcW w:w="1072" w:type="dxa"/>
            <w:tcBorders>
              <w:top w:val="nil"/>
              <w:left w:val="nil"/>
              <w:bottom w:val="nil"/>
              <w:right w:val="single" w:sz="8" w:space="0" w:color="auto"/>
            </w:tcBorders>
            <w:noWrap/>
            <w:vAlign w:val="bottom"/>
            <w:hideMark/>
          </w:tcPr>
          <w:p w14:paraId="17A27F1A"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1,019,906,168 </w:t>
            </w:r>
          </w:p>
        </w:tc>
        <w:tc>
          <w:tcPr>
            <w:tcW w:w="1072" w:type="dxa"/>
            <w:tcBorders>
              <w:top w:val="nil"/>
              <w:left w:val="nil"/>
              <w:bottom w:val="nil"/>
              <w:right w:val="single" w:sz="4" w:space="0" w:color="auto"/>
            </w:tcBorders>
            <w:noWrap/>
            <w:vAlign w:val="bottom"/>
            <w:hideMark/>
          </w:tcPr>
          <w:p w14:paraId="4FF2C908"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1,073,185,664 </w:t>
            </w:r>
          </w:p>
        </w:tc>
      </w:tr>
      <w:tr w:rsidR="00CA2F0D" w:rsidRPr="00CA2F0D" w14:paraId="23CD3AB6" w14:textId="77777777" w:rsidTr="00CA2F0D">
        <w:trPr>
          <w:trHeight w:val="143"/>
        </w:trPr>
        <w:tc>
          <w:tcPr>
            <w:tcW w:w="1881" w:type="dxa"/>
            <w:tcBorders>
              <w:top w:val="nil"/>
              <w:left w:val="single" w:sz="4" w:space="0" w:color="auto"/>
              <w:bottom w:val="nil"/>
              <w:right w:val="single" w:sz="8" w:space="0" w:color="auto"/>
            </w:tcBorders>
            <w:vAlign w:val="bottom"/>
            <w:hideMark/>
          </w:tcPr>
          <w:p w14:paraId="3D6A1AB2" w14:textId="77777777" w:rsidR="00CA2F0D" w:rsidRPr="00CA2F0D" w:rsidRDefault="00CA2F0D">
            <w:pPr>
              <w:rPr>
                <w:rFonts w:ascii="Arial" w:hAnsi="Arial" w:cs="Arial"/>
                <w:sz w:val="12"/>
                <w:szCs w:val="12"/>
              </w:rPr>
            </w:pPr>
            <w:r w:rsidRPr="00CA2F0D">
              <w:rPr>
                <w:rFonts w:ascii="Arial" w:hAnsi="Arial" w:cs="Arial"/>
                <w:sz w:val="12"/>
                <w:szCs w:val="12"/>
              </w:rPr>
              <w:t>Derechos</w:t>
            </w:r>
          </w:p>
        </w:tc>
        <w:tc>
          <w:tcPr>
            <w:tcW w:w="1207" w:type="dxa"/>
            <w:tcBorders>
              <w:top w:val="nil"/>
              <w:left w:val="nil"/>
              <w:bottom w:val="nil"/>
              <w:right w:val="single" w:sz="8" w:space="0" w:color="auto"/>
            </w:tcBorders>
            <w:noWrap/>
            <w:vAlign w:val="bottom"/>
            <w:hideMark/>
          </w:tcPr>
          <w:p w14:paraId="2A8EE7F2"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482,822,379 </w:t>
            </w:r>
          </w:p>
        </w:tc>
        <w:tc>
          <w:tcPr>
            <w:tcW w:w="1437" w:type="dxa"/>
            <w:tcBorders>
              <w:top w:val="nil"/>
              <w:left w:val="nil"/>
              <w:bottom w:val="nil"/>
              <w:right w:val="single" w:sz="8" w:space="0" w:color="auto"/>
            </w:tcBorders>
            <w:noWrap/>
            <w:vAlign w:val="bottom"/>
            <w:hideMark/>
          </w:tcPr>
          <w:p w14:paraId="4764FB1E"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526,855,506 </w:t>
            </w:r>
          </w:p>
        </w:tc>
        <w:tc>
          <w:tcPr>
            <w:tcW w:w="1216" w:type="dxa"/>
            <w:tcBorders>
              <w:top w:val="nil"/>
              <w:left w:val="nil"/>
              <w:bottom w:val="nil"/>
              <w:right w:val="single" w:sz="8" w:space="0" w:color="auto"/>
            </w:tcBorders>
            <w:noWrap/>
            <w:vAlign w:val="bottom"/>
            <w:hideMark/>
          </w:tcPr>
          <w:p w14:paraId="08027D53"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715,086,288 </w:t>
            </w:r>
          </w:p>
        </w:tc>
        <w:tc>
          <w:tcPr>
            <w:tcW w:w="1072" w:type="dxa"/>
            <w:tcBorders>
              <w:top w:val="nil"/>
              <w:left w:val="nil"/>
              <w:bottom w:val="nil"/>
              <w:right w:val="single" w:sz="8" w:space="0" w:color="auto"/>
            </w:tcBorders>
            <w:noWrap/>
            <w:vAlign w:val="bottom"/>
            <w:hideMark/>
          </w:tcPr>
          <w:p w14:paraId="628EA14E"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682,062,695 </w:t>
            </w:r>
          </w:p>
        </w:tc>
        <w:tc>
          <w:tcPr>
            <w:tcW w:w="1072" w:type="dxa"/>
            <w:tcBorders>
              <w:top w:val="nil"/>
              <w:left w:val="nil"/>
              <w:bottom w:val="nil"/>
              <w:right w:val="single" w:sz="4" w:space="0" w:color="auto"/>
            </w:tcBorders>
            <w:noWrap/>
            <w:vAlign w:val="bottom"/>
            <w:hideMark/>
          </w:tcPr>
          <w:p w14:paraId="14CF2A78"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712,185,002 </w:t>
            </w:r>
          </w:p>
        </w:tc>
      </w:tr>
      <w:tr w:rsidR="00CA2F0D" w:rsidRPr="00CA2F0D" w14:paraId="64D41F3A" w14:textId="77777777" w:rsidTr="00CA2F0D">
        <w:trPr>
          <w:trHeight w:val="132"/>
        </w:trPr>
        <w:tc>
          <w:tcPr>
            <w:tcW w:w="1881" w:type="dxa"/>
            <w:tcBorders>
              <w:top w:val="nil"/>
              <w:left w:val="single" w:sz="4" w:space="0" w:color="auto"/>
              <w:bottom w:val="nil"/>
              <w:right w:val="single" w:sz="8" w:space="0" w:color="auto"/>
            </w:tcBorders>
            <w:vAlign w:val="bottom"/>
            <w:hideMark/>
          </w:tcPr>
          <w:p w14:paraId="135216FC" w14:textId="77777777" w:rsidR="00CA2F0D" w:rsidRPr="00CA2F0D" w:rsidRDefault="00CA2F0D">
            <w:pPr>
              <w:rPr>
                <w:rFonts w:ascii="Arial" w:hAnsi="Arial" w:cs="Arial"/>
                <w:sz w:val="12"/>
                <w:szCs w:val="12"/>
              </w:rPr>
            </w:pPr>
            <w:r w:rsidRPr="00CA2F0D">
              <w:rPr>
                <w:rFonts w:ascii="Arial" w:hAnsi="Arial" w:cs="Arial"/>
                <w:sz w:val="12"/>
                <w:szCs w:val="12"/>
              </w:rPr>
              <w:t>Productos</w:t>
            </w:r>
          </w:p>
        </w:tc>
        <w:tc>
          <w:tcPr>
            <w:tcW w:w="1207" w:type="dxa"/>
            <w:tcBorders>
              <w:top w:val="nil"/>
              <w:left w:val="nil"/>
              <w:bottom w:val="nil"/>
              <w:right w:val="single" w:sz="8" w:space="0" w:color="auto"/>
            </w:tcBorders>
            <w:noWrap/>
            <w:vAlign w:val="bottom"/>
            <w:hideMark/>
          </w:tcPr>
          <w:p w14:paraId="4F48843C"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118,104,463 </w:t>
            </w:r>
          </w:p>
        </w:tc>
        <w:tc>
          <w:tcPr>
            <w:tcW w:w="1437" w:type="dxa"/>
            <w:tcBorders>
              <w:top w:val="nil"/>
              <w:left w:val="nil"/>
              <w:bottom w:val="nil"/>
              <w:right w:val="single" w:sz="8" w:space="0" w:color="auto"/>
            </w:tcBorders>
            <w:noWrap/>
            <w:vAlign w:val="bottom"/>
            <w:hideMark/>
          </w:tcPr>
          <w:p w14:paraId="2C05BE9A"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181,857,532 </w:t>
            </w:r>
          </w:p>
        </w:tc>
        <w:tc>
          <w:tcPr>
            <w:tcW w:w="1216" w:type="dxa"/>
            <w:tcBorders>
              <w:top w:val="nil"/>
              <w:left w:val="nil"/>
              <w:bottom w:val="nil"/>
              <w:right w:val="single" w:sz="8" w:space="0" w:color="auto"/>
            </w:tcBorders>
            <w:noWrap/>
            <w:vAlign w:val="bottom"/>
            <w:hideMark/>
          </w:tcPr>
          <w:p w14:paraId="736DD463"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332,687,513 </w:t>
            </w:r>
          </w:p>
        </w:tc>
        <w:tc>
          <w:tcPr>
            <w:tcW w:w="1072" w:type="dxa"/>
            <w:tcBorders>
              <w:top w:val="nil"/>
              <w:left w:val="nil"/>
              <w:bottom w:val="nil"/>
              <w:right w:val="single" w:sz="8" w:space="0" w:color="auto"/>
            </w:tcBorders>
            <w:noWrap/>
            <w:vAlign w:val="bottom"/>
            <w:hideMark/>
          </w:tcPr>
          <w:p w14:paraId="5779CDE1"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410,872,465 </w:t>
            </w:r>
          </w:p>
        </w:tc>
        <w:tc>
          <w:tcPr>
            <w:tcW w:w="1072" w:type="dxa"/>
            <w:tcBorders>
              <w:top w:val="nil"/>
              <w:left w:val="nil"/>
              <w:bottom w:val="nil"/>
              <w:right w:val="single" w:sz="4" w:space="0" w:color="auto"/>
            </w:tcBorders>
            <w:noWrap/>
            <w:vAlign w:val="bottom"/>
            <w:hideMark/>
          </w:tcPr>
          <w:p w14:paraId="76DC0A93"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337,411,357 </w:t>
            </w:r>
          </w:p>
        </w:tc>
      </w:tr>
      <w:tr w:rsidR="00CA2F0D" w:rsidRPr="00CA2F0D" w14:paraId="0A979610" w14:textId="77777777" w:rsidTr="00CA2F0D">
        <w:trPr>
          <w:trHeight w:val="265"/>
        </w:trPr>
        <w:tc>
          <w:tcPr>
            <w:tcW w:w="1881" w:type="dxa"/>
            <w:tcBorders>
              <w:top w:val="nil"/>
              <w:left w:val="single" w:sz="4" w:space="0" w:color="auto"/>
              <w:bottom w:val="nil"/>
              <w:right w:val="single" w:sz="8" w:space="0" w:color="auto"/>
            </w:tcBorders>
            <w:vAlign w:val="bottom"/>
            <w:hideMark/>
          </w:tcPr>
          <w:p w14:paraId="38BED04F" w14:textId="77777777" w:rsidR="00CA2F0D" w:rsidRPr="00CA2F0D" w:rsidRDefault="00CA2F0D">
            <w:pPr>
              <w:rPr>
                <w:rFonts w:ascii="Arial" w:hAnsi="Arial" w:cs="Arial"/>
                <w:sz w:val="12"/>
                <w:szCs w:val="12"/>
              </w:rPr>
            </w:pPr>
            <w:r w:rsidRPr="00CA2F0D">
              <w:rPr>
                <w:rFonts w:ascii="Arial" w:hAnsi="Arial" w:cs="Arial"/>
                <w:sz w:val="12"/>
                <w:szCs w:val="12"/>
              </w:rPr>
              <w:t>Aprovechamientos</w:t>
            </w:r>
          </w:p>
        </w:tc>
        <w:tc>
          <w:tcPr>
            <w:tcW w:w="1207" w:type="dxa"/>
            <w:tcBorders>
              <w:top w:val="nil"/>
              <w:left w:val="nil"/>
              <w:bottom w:val="nil"/>
              <w:right w:val="single" w:sz="8" w:space="0" w:color="auto"/>
            </w:tcBorders>
            <w:noWrap/>
            <w:vAlign w:val="bottom"/>
            <w:hideMark/>
          </w:tcPr>
          <w:p w14:paraId="0B4A312E"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10,188,339 </w:t>
            </w:r>
          </w:p>
        </w:tc>
        <w:tc>
          <w:tcPr>
            <w:tcW w:w="1437" w:type="dxa"/>
            <w:tcBorders>
              <w:top w:val="nil"/>
              <w:left w:val="nil"/>
              <w:bottom w:val="nil"/>
              <w:right w:val="single" w:sz="8" w:space="0" w:color="auto"/>
            </w:tcBorders>
            <w:noWrap/>
            <w:vAlign w:val="bottom"/>
            <w:hideMark/>
          </w:tcPr>
          <w:p w14:paraId="384D7A51"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16,593,636 </w:t>
            </w:r>
          </w:p>
        </w:tc>
        <w:tc>
          <w:tcPr>
            <w:tcW w:w="1216" w:type="dxa"/>
            <w:tcBorders>
              <w:top w:val="nil"/>
              <w:left w:val="nil"/>
              <w:bottom w:val="nil"/>
              <w:right w:val="single" w:sz="8" w:space="0" w:color="auto"/>
            </w:tcBorders>
            <w:noWrap/>
            <w:vAlign w:val="bottom"/>
            <w:hideMark/>
          </w:tcPr>
          <w:p w14:paraId="0F5A4FA5"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20,477,392 </w:t>
            </w:r>
          </w:p>
        </w:tc>
        <w:tc>
          <w:tcPr>
            <w:tcW w:w="1072" w:type="dxa"/>
            <w:tcBorders>
              <w:top w:val="nil"/>
              <w:left w:val="nil"/>
              <w:bottom w:val="nil"/>
              <w:right w:val="single" w:sz="8" w:space="0" w:color="auto"/>
            </w:tcBorders>
            <w:noWrap/>
            <w:vAlign w:val="bottom"/>
            <w:hideMark/>
          </w:tcPr>
          <w:p w14:paraId="16AE14BB"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15,315,669 </w:t>
            </w:r>
          </w:p>
        </w:tc>
        <w:tc>
          <w:tcPr>
            <w:tcW w:w="1072" w:type="dxa"/>
            <w:tcBorders>
              <w:top w:val="nil"/>
              <w:left w:val="nil"/>
              <w:bottom w:val="nil"/>
              <w:right w:val="single" w:sz="4" w:space="0" w:color="auto"/>
            </w:tcBorders>
            <w:noWrap/>
            <w:vAlign w:val="bottom"/>
            <w:hideMark/>
          </w:tcPr>
          <w:p w14:paraId="2F5E0EB8"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1,511,581 </w:t>
            </w:r>
          </w:p>
        </w:tc>
      </w:tr>
      <w:tr w:rsidR="00CA2F0D" w:rsidRPr="00CA2F0D" w14:paraId="7DCD5C89" w14:textId="77777777" w:rsidTr="00016BF7">
        <w:trPr>
          <w:trHeight w:val="322"/>
        </w:trPr>
        <w:tc>
          <w:tcPr>
            <w:tcW w:w="1881" w:type="dxa"/>
            <w:tcBorders>
              <w:top w:val="nil"/>
              <w:left w:val="single" w:sz="4" w:space="0" w:color="auto"/>
              <w:bottom w:val="single" w:sz="8" w:space="0" w:color="auto"/>
              <w:right w:val="single" w:sz="8" w:space="0" w:color="auto"/>
            </w:tcBorders>
            <w:vAlign w:val="bottom"/>
            <w:hideMark/>
          </w:tcPr>
          <w:p w14:paraId="7464957D" w14:textId="77777777" w:rsidR="00CA2F0D" w:rsidRPr="00CA2F0D" w:rsidRDefault="00CA2F0D">
            <w:pPr>
              <w:rPr>
                <w:rFonts w:ascii="Arial" w:hAnsi="Arial" w:cs="Arial"/>
                <w:sz w:val="12"/>
                <w:szCs w:val="12"/>
              </w:rPr>
            </w:pPr>
            <w:r w:rsidRPr="00CA2F0D">
              <w:rPr>
                <w:rFonts w:ascii="Arial" w:hAnsi="Arial" w:cs="Arial"/>
                <w:sz w:val="12"/>
                <w:szCs w:val="12"/>
              </w:rPr>
              <w:t>Ingresos por Venta de Bienes y Servicios</w:t>
            </w:r>
          </w:p>
        </w:tc>
        <w:tc>
          <w:tcPr>
            <w:tcW w:w="1207" w:type="dxa"/>
            <w:tcBorders>
              <w:top w:val="nil"/>
              <w:left w:val="nil"/>
              <w:bottom w:val="single" w:sz="8" w:space="0" w:color="auto"/>
              <w:right w:val="single" w:sz="8" w:space="0" w:color="auto"/>
            </w:tcBorders>
            <w:noWrap/>
            <w:vAlign w:val="bottom"/>
            <w:hideMark/>
          </w:tcPr>
          <w:p w14:paraId="51C7C6A8"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106,638,170 </w:t>
            </w:r>
          </w:p>
        </w:tc>
        <w:tc>
          <w:tcPr>
            <w:tcW w:w="1437" w:type="dxa"/>
            <w:tcBorders>
              <w:top w:val="nil"/>
              <w:left w:val="nil"/>
              <w:bottom w:val="single" w:sz="8" w:space="0" w:color="auto"/>
              <w:right w:val="single" w:sz="8" w:space="0" w:color="auto"/>
            </w:tcBorders>
            <w:noWrap/>
            <w:vAlign w:val="bottom"/>
            <w:hideMark/>
          </w:tcPr>
          <w:p w14:paraId="781D0ABF"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124,194,640 </w:t>
            </w:r>
          </w:p>
        </w:tc>
        <w:tc>
          <w:tcPr>
            <w:tcW w:w="1216" w:type="dxa"/>
            <w:tcBorders>
              <w:top w:val="nil"/>
              <w:left w:val="nil"/>
              <w:bottom w:val="single" w:sz="8" w:space="0" w:color="auto"/>
              <w:right w:val="single" w:sz="8" w:space="0" w:color="auto"/>
            </w:tcBorders>
            <w:noWrap/>
            <w:vAlign w:val="bottom"/>
            <w:hideMark/>
          </w:tcPr>
          <w:p w14:paraId="0D323AED"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126,418,031 </w:t>
            </w:r>
          </w:p>
        </w:tc>
        <w:tc>
          <w:tcPr>
            <w:tcW w:w="1072" w:type="dxa"/>
            <w:tcBorders>
              <w:top w:val="nil"/>
              <w:left w:val="nil"/>
              <w:bottom w:val="single" w:sz="8" w:space="0" w:color="auto"/>
              <w:right w:val="single" w:sz="8" w:space="0" w:color="auto"/>
            </w:tcBorders>
            <w:noWrap/>
            <w:vAlign w:val="bottom"/>
            <w:hideMark/>
          </w:tcPr>
          <w:p w14:paraId="5B0B3B30"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136,112,828 </w:t>
            </w:r>
          </w:p>
        </w:tc>
        <w:tc>
          <w:tcPr>
            <w:tcW w:w="1072" w:type="dxa"/>
            <w:tcBorders>
              <w:top w:val="nil"/>
              <w:left w:val="nil"/>
              <w:bottom w:val="single" w:sz="8" w:space="0" w:color="auto"/>
              <w:right w:val="single" w:sz="4" w:space="0" w:color="auto"/>
            </w:tcBorders>
            <w:noWrap/>
            <w:vAlign w:val="bottom"/>
            <w:hideMark/>
          </w:tcPr>
          <w:p w14:paraId="58EA76E7"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144,841,749 </w:t>
            </w:r>
          </w:p>
        </w:tc>
      </w:tr>
      <w:tr w:rsidR="00CA2F0D" w:rsidRPr="00CA2F0D" w14:paraId="6658A092" w14:textId="77777777" w:rsidTr="00CA2F0D">
        <w:trPr>
          <w:trHeight w:val="224"/>
        </w:trPr>
        <w:tc>
          <w:tcPr>
            <w:tcW w:w="1881" w:type="dxa"/>
            <w:tcBorders>
              <w:top w:val="nil"/>
              <w:left w:val="single" w:sz="4" w:space="0" w:color="auto"/>
              <w:bottom w:val="single" w:sz="4" w:space="0" w:color="auto"/>
              <w:right w:val="single" w:sz="8" w:space="0" w:color="auto"/>
            </w:tcBorders>
            <w:shd w:val="clear" w:color="000000" w:fill="B1A0C7"/>
            <w:noWrap/>
            <w:vAlign w:val="bottom"/>
            <w:hideMark/>
          </w:tcPr>
          <w:p w14:paraId="4A63FDDD" w14:textId="77777777" w:rsidR="00CA2F0D" w:rsidRPr="00CA2F0D" w:rsidRDefault="00CA2F0D">
            <w:pPr>
              <w:rPr>
                <w:rFonts w:ascii="Arial" w:hAnsi="Arial" w:cs="Arial"/>
                <w:b/>
                <w:bCs/>
                <w:sz w:val="12"/>
                <w:szCs w:val="12"/>
              </w:rPr>
            </w:pPr>
            <w:proofErr w:type="gramStart"/>
            <w:r w:rsidRPr="00CA2F0D">
              <w:rPr>
                <w:rFonts w:ascii="Arial" w:hAnsi="Arial" w:cs="Arial"/>
                <w:b/>
                <w:bCs/>
                <w:sz w:val="12"/>
                <w:szCs w:val="12"/>
              </w:rPr>
              <w:t>TOTAL</w:t>
            </w:r>
            <w:proofErr w:type="gramEnd"/>
            <w:r w:rsidRPr="00CA2F0D">
              <w:rPr>
                <w:rFonts w:ascii="Arial" w:hAnsi="Arial" w:cs="Arial"/>
                <w:b/>
                <w:bCs/>
                <w:sz w:val="12"/>
                <w:szCs w:val="12"/>
              </w:rPr>
              <w:t xml:space="preserve"> INGRESOS </w:t>
            </w:r>
          </w:p>
        </w:tc>
        <w:tc>
          <w:tcPr>
            <w:tcW w:w="1207" w:type="dxa"/>
            <w:tcBorders>
              <w:top w:val="nil"/>
              <w:left w:val="nil"/>
              <w:bottom w:val="single" w:sz="4" w:space="0" w:color="auto"/>
              <w:right w:val="single" w:sz="8" w:space="0" w:color="auto"/>
            </w:tcBorders>
            <w:shd w:val="clear" w:color="000000" w:fill="B1A0C7"/>
            <w:noWrap/>
            <w:vAlign w:val="bottom"/>
            <w:hideMark/>
          </w:tcPr>
          <w:p w14:paraId="790ED821"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1,341,167,807 </w:t>
            </w:r>
          </w:p>
        </w:tc>
        <w:tc>
          <w:tcPr>
            <w:tcW w:w="1437" w:type="dxa"/>
            <w:tcBorders>
              <w:top w:val="nil"/>
              <w:left w:val="nil"/>
              <w:bottom w:val="single" w:sz="4" w:space="0" w:color="auto"/>
              <w:right w:val="single" w:sz="8" w:space="0" w:color="auto"/>
            </w:tcBorders>
            <w:shd w:val="clear" w:color="000000" w:fill="B1A0C7"/>
            <w:noWrap/>
            <w:vAlign w:val="bottom"/>
            <w:hideMark/>
          </w:tcPr>
          <w:p w14:paraId="498669D1"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1,596,448,843 </w:t>
            </w:r>
          </w:p>
        </w:tc>
        <w:tc>
          <w:tcPr>
            <w:tcW w:w="1216" w:type="dxa"/>
            <w:tcBorders>
              <w:top w:val="nil"/>
              <w:left w:val="nil"/>
              <w:bottom w:val="single" w:sz="4" w:space="0" w:color="auto"/>
              <w:right w:val="single" w:sz="8" w:space="0" w:color="auto"/>
            </w:tcBorders>
            <w:shd w:val="clear" w:color="000000" w:fill="B1A0C7"/>
            <w:noWrap/>
            <w:vAlign w:val="bottom"/>
            <w:hideMark/>
          </w:tcPr>
          <w:p w14:paraId="44964C45"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2,059,016,876 </w:t>
            </w:r>
          </w:p>
        </w:tc>
        <w:tc>
          <w:tcPr>
            <w:tcW w:w="1072" w:type="dxa"/>
            <w:tcBorders>
              <w:top w:val="nil"/>
              <w:left w:val="nil"/>
              <w:bottom w:val="single" w:sz="4" w:space="0" w:color="auto"/>
              <w:right w:val="single" w:sz="8" w:space="0" w:color="auto"/>
            </w:tcBorders>
            <w:shd w:val="clear" w:color="000000" w:fill="B1A0C7"/>
            <w:noWrap/>
            <w:vAlign w:val="bottom"/>
            <w:hideMark/>
          </w:tcPr>
          <w:p w14:paraId="54F8C8A2"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2,264,269,825 </w:t>
            </w:r>
          </w:p>
        </w:tc>
        <w:tc>
          <w:tcPr>
            <w:tcW w:w="1072" w:type="dxa"/>
            <w:tcBorders>
              <w:top w:val="nil"/>
              <w:left w:val="nil"/>
              <w:bottom w:val="single" w:sz="4" w:space="0" w:color="auto"/>
              <w:right w:val="single" w:sz="4" w:space="0" w:color="auto"/>
            </w:tcBorders>
            <w:shd w:val="clear" w:color="000000" w:fill="B1A0C7"/>
            <w:noWrap/>
            <w:vAlign w:val="bottom"/>
            <w:hideMark/>
          </w:tcPr>
          <w:p w14:paraId="6735D953" w14:textId="77777777" w:rsidR="00CA2F0D" w:rsidRPr="00CA2F0D" w:rsidRDefault="00CA2F0D" w:rsidP="00CA2F0D">
            <w:pPr>
              <w:jc w:val="right"/>
              <w:rPr>
                <w:rFonts w:ascii="Arial" w:hAnsi="Arial" w:cs="Arial"/>
                <w:b/>
                <w:bCs/>
                <w:sz w:val="12"/>
                <w:szCs w:val="12"/>
              </w:rPr>
            </w:pPr>
            <w:r w:rsidRPr="00CA2F0D">
              <w:rPr>
                <w:rFonts w:ascii="Arial" w:hAnsi="Arial" w:cs="Arial"/>
                <w:b/>
                <w:bCs/>
                <w:sz w:val="12"/>
                <w:szCs w:val="12"/>
              </w:rPr>
              <w:t xml:space="preserve">        2,269,135,353 </w:t>
            </w:r>
          </w:p>
        </w:tc>
      </w:tr>
    </w:tbl>
    <w:p w14:paraId="5D8C7720" w14:textId="1CB95877" w:rsidR="00696753" w:rsidRPr="00906252" w:rsidRDefault="00696753" w:rsidP="00696753">
      <w:pPr>
        <w:spacing w:line="360" w:lineRule="auto"/>
        <w:jc w:val="both"/>
        <w:rPr>
          <w:rFonts w:ascii="Arial" w:hAnsi="Arial" w:cs="Arial"/>
          <w:b/>
          <w:sz w:val="12"/>
          <w:szCs w:val="28"/>
        </w:rPr>
      </w:pPr>
      <w:r w:rsidRPr="00906252">
        <w:rPr>
          <w:rFonts w:ascii="Arial" w:hAnsi="Arial" w:cs="Arial"/>
          <w:b/>
          <w:sz w:val="12"/>
          <w:szCs w:val="28"/>
        </w:rPr>
        <w:t>Fuente: Dirección de Contabilidad Gubernamental y Coordinación Hacendaria</w:t>
      </w:r>
      <w:r w:rsidR="00E94933" w:rsidRPr="00906252">
        <w:rPr>
          <w:rFonts w:ascii="Arial" w:hAnsi="Arial" w:cs="Arial"/>
          <w:b/>
          <w:sz w:val="12"/>
          <w:szCs w:val="28"/>
        </w:rPr>
        <w:t>.</w:t>
      </w:r>
    </w:p>
    <w:p w14:paraId="70C2F118" w14:textId="64B77C37" w:rsidR="00696753" w:rsidRDefault="00696753" w:rsidP="00696753">
      <w:pPr>
        <w:spacing w:line="360" w:lineRule="auto"/>
        <w:jc w:val="both"/>
        <w:rPr>
          <w:rFonts w:ascii="Arial" w:hAnsi="Arial" w:cs="Arial"/>
          <w:b/>
          <w:sz w:val="12"/>
          <w:szCs w:val="28"/>
        </w:rPr>
      </w:pPr>
      <w:r w:rsidRPr="00906252">
        <w:rPr>
          <w:rFonts w:ascii="Arial" w:hAnsi="Arial" w:cs="Arial"/>
          <w:b/>
          <w:sz w:val="12"/>
          <w:szCs w:val="28"/>
        </w:rPr>
        <w:t>* Estimaciones al Cierre de 202</w:t>
      </w:r>
      <w:r w:rsidR="007F5F4B">
        <w:rPr>
          <w:rFonts w:ascii="Arial" w:hAnsi="Arial" w:cs="Arial"/>
          <w:b/>
          <w:sz w:val="12"/>
          <w:szCs w:val="28"/>
        </w:rPr>
        <w:t>5</w:t>
      </w:r>
      <w:r w:rsidRPr="00906252">
        <w:rPr>
          <w:rFonts w:ascii="Arial" w:hAnsi="Arial" w:cs="Arial"/>
          <w:b/>
          <w:sz w:val="12"/>
          <w:szCs w:val="28"/>
        </w:rPr>
        <w:t>.</w:t>
      </w:r>
    </w:p>
    <w:p w14:paraId="31D119F1" w14:textId="77777777" w:rsidR="00DB1F68" w:rsidRPr="00906252" w:rsidRDefault="00DB1F68" w:rsidP="00696753">
      <w:pPr>
        <w:spacing w:line="360" w:lineRule="auto"/>
        <w:jc w:val="both"/>
        <w:rPr>
          <w:rFonts w:ascii="Arial" w:hAnsi="Arial" w:cs="Arial"/>
          <w:b/>
          <w:sz w:val="12"/>
          <w:szCs w:val="28"/>
        </w:rPr>
      </w:pPr>
    </w:p>
    <w:p w14:paraId="2B677909" w14:textId="61795453" w:rsidR="00696753" w:rsidRPr="008D5C06" w:rsidRDefault="004A6DB1" w:rsidP="0069230A">
      <w:pPr>
        <w:spacing w:line="360" w:lineRule="auto"/>
        <w:jc w:val="center"/>
        <w:rPr>
          <w:rFonts w:ascii="Arial" w:hAnsi="Arial" w:cs="Arial"/>
          <w:b/>
          <w:sz w:val="10"/>
        </w:rPr>
      </w:pPr>
      <w:r>
        <w:rPr>
          <w:rFonts w:ascii="Arial" w:hAnsi="Arial" w:cs="Arial"/>
          <w:b/>
          <w:noProof/>
          <w:sz w:val="10"/>
        </w:rPr>
        <w:lastRenderedPageBreak/>
        <w:drawing>
          <wp:inline distT="0" distB="0" distL="0" distR="0" wp14:anchorId="125232E8" wp14:editId="247A9100">
            <wp:extent cx="4810539" cy="271907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1707" cy="2719730"/>
                    </a:xfrm>
                    <a:prstGeom prst="rect">
                      <a:avLst/>
                    </a:prstGeom>
                    <a:noFill/>
                  </pic:spPr>
                </pic:pic>
              </a:graphicData>
            </a:graphic>
          </wp:inline>
        </w:drawing>
      </w:r>
    </w:p>
    <w:p w14:paraId="3B9B22F1" w14:textId="77777777" w:rsidR="00696753" w:rsidRPr="00906252" w:rsidRDefault="00696753" w:rsidP="0069230A">
      <w:pPr>
        <w:spacing w:line="360" w:lineRule="auto"/>
        <w:ind w:left="426"/>
        <w:jc w:val="both"/>
        <w:rPr>
          <w:rFonts w:ascii="Arial" w:hAnsi="Arial" w:cs="Arial"/>
          <w:b/>
          <w:sz w:val="12"/>
          <w:szCs w:val="28"/>
        </w:rPr>
      </w:pPr>
      <w:r w:rsidRPr="00906252">
        <w:rPr>
          <w:rFonts w:ascii="Arial" w:hAnsi="Arial" w:cs="Arial"/>
          <w:b/>
          <w:sz w:val="12"/>
          <w:szCs w:val="28"/>
        </w:rPr>
        <w:t xml:space="preserve">Fuente: Dirección de Contabilidad Gubernamental y Coordinación Hacendaria </w:t>
      </w:r>
    </w:p>
    <w:p w14:paraId="49984045" w14:textId="20908D9D" w:rsidR="00696753" w:rsidRPr="00906252" w:rsidRDefault="00696753" w:rsidP="0069230A">
      <w:pPr>
        <w:spacing w:line="360" w:lineRule="auto"/>
        <w:ind w:left="426"/>
        <w:jc w:val="both"/>
        <w:rPr>
          <w:rFonts w:ascii="Arial" w:hAnsi="Arial" w:cs="Arial"/>
          <w:b/>
          <w:sz w:val="12"/>
          <w:szCs w:val="28"/>
        </w:rPr>
      </w:pPr>
      <w:r w:rsidRPr="00906252">
        <w:rPr>
          <w:rFonts w:ascii="Arial" w:hAnsi="Arial" w:cs="Arial"/>
          <w:b/>
          <w:sz w:val="12"/>
          <w:szCs w:val="28"/>
        </w:rPr>
        <w:t>* Estimaciones al Cierre de 202</w:t>
      </w:r>
      <w:r w:rsidR="00016BF7">
        <w:rPr>
          <w:rFonts w:ascii="Arial" w:hAnsi="Arial" w:cs="Arial"/>
          <w:b/>
          <w:sz w:val="12"/>
          <w:szCs w:val="28"/>
        </w:rPr>
        <w:t>5</w:t>
      </w:r>
      <w:r w:rsidRPr="00906252">
        <w:rPr>
          <w:rFonts w:ascii="Arial" w:hAnsi="Arial" w:cs="Arial"/>
          <w:b/>
          <w:sz w:val="12"/>
          <w:szCs w:val="28"/>
        </w:rPr>
        <w:t>.</w:t>
      </w:r>
    </w:p>
    <w:p w14:paraId="70E66896" w14:textId="77777777" w:rsidR="00696753" w:rsidRPr="00FD37DE" w:rsidRDefault="00696753" w:rsidP="00696753">
      <w:pPr>
        <w:pStyle w:val="PRIMERAPLANA"/>
        <w:spacing w:line="360" w:lineRule="auto"/>
        <w:rPr>
          <w:rFonts w:ascii="Times New Roman" w:hAnsi="Times New Roman"/>
          <w:bCs/>
        </w:rPr>
      </w:pPr>
    </w:p>
    <w:p w14:paraId="6BABEABB" w14:textId="50049FC5"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 xml:space="preserve">Ante un panorama económico que puede presentar riesgos en el corto y en el mediano plazo, esta administración no prevé la creación de nuevos impuestos ni el incremento de los ya vigentes, por lo que será una tarea fundamental </w:t>
      </w:r>
      <w:proofErr w:type="spellStart"/>
      <w:r w:rsidR="007F5F4B" w:rsidRPr="007D1162">
        <w:rPr>
          <w:rFonts w:ascii="Times New Roman" w:hAnsi="Times New Roman"/>
          <w:bCs/>
        </w:rPr>
        <w:t>eficientar</w:t>
      </w:r>
      <w:proofErr w:type="spellEnd"/>
      <w:r w:rsidR="007F5F4B" w:rsidRPr="007D1162">
        <w:rPr>
          <w:rFonts w:ascii="Times New Roman" w:hAnsi="Times New Roman"/>
          <w:bCs/>
        </w:rPr>
        <w:t xml:space="preserve"> la administración y recaudación de las diferentes fuentes de ingresos</w:t>
      </w:r>
      <w:r w:rsidR="007F5F4B">
        <w:rPr>
          <w:rFonts w:ascii="Times New Roman" w:hAnsi="Times New Roman"/>
          <w:bCs/>
        </w:rPr>
        <w:t xml:space="preserve">, mediante </w:t>
      </w:r>
      <w:r w:rsidRPr="007D1162">
        <w:rPr>
          <w:rFonts w:ascii="Times New Roman" w:hAnsi="Times New Roman"/>
          <w:bCs/>
        </w:rPr>
        <w:t>una política fiscal que favorezca el financiamiento del gasto público</w:t>
      </w:r>
      <w:r w:rsidR="007F5F4B">
        <w:rPr>
          <w:rFonts w:ascii="Times New Roman" w:hAnsi="Times New Roman"/>
          <w:bCs/>
        </w:rPr>
        <w:t xml:space="preserve">. </w:t>
      </w:r>
      <w:r w:rsidRPr="007D1162">
        <w:rPr>
          <w:rFonts w:ascii="Times New Roman" w:hAnsi="Times New Roman"/>
          <w:bCs/>
        </w:rPr>
        <w:t>En materia de incentivos fiscales estatales, se propo</w:t>
      </w:r>
      <w:r w:rsidR="007F5F4B">
        <w:rPr>
          <w:rFonts w:ascii="Times New Roman" w:hAnsi="Times New Roman"/>
          <w:bCs/>
        </w:rPr>
        <w:t>nen</w:t>
      </w:r>
      <w:r w:rsidRPr="007D1162">
        <w:rPr>
          <w:rFonts w:ascii="Times New Roman" w:hAnsi="Times New Roman"/>
          <w:bCs/>
        </w:rPr>
        <w:t xml:space="preserve"> políticas </w:t>
      </w:r>
      <w:r w:rsidR="007F5F4B">
        <w:rPr>
          <w:rFonts w:ascii="Times New Roman" w:hAnsi="Times New Roman"/>
          <w:bCs/>
        </w:rPr>
        <w:t xml:space="preserve">que </w:t>
      </w:r>
      <w:r w:rsidRPr="007D1162">
        <w:rPr>
          <w:rFonts w:ascii="Times New Roman" w:hAnsi="Times New Roman"/>
          <w:bCs/>
        </w:rPr>
        <w:t>foment</w:t>
      </w:r>
      <w:r w:rsidR="007F5F4B">
        <w:rPr>
          <w:rFonts w:ascii="Times New Roman" w:hAnsi="Times New Roman"/>
          <w:bCs/>
        </w:rPr>
        <w:t>an</w:t>
      </w:r>
      <w:r w:rsidRPr="007D1162">
        <w:rPr>
          <w:rFonts w:ascii="Times New Roman" w:hAnsi="Times New Roman"/>
          <w:bCs/>
        </w:rPr>
        <w:t xml:space="preserve"> la creación de nuevos empleos y</w:t>
      </w:r>
      <w:r w:rsidR="006D2751">
        <w:rPr>
          <w:rFonts w:ascii="Times New Roman" w:hAnsi="Times New Roman"/>
          <w:bCs/>
        </w:rPr>
        <w:t xml:space="preserve"> la</w:t>
      </w:r>
      <w:r w:rsidRPr="007D1162">
        <w:rPr>
          <w:rFonts w:ascii="Times New Roman" w:hAnsi="Times New Roman"/>
          <w:bCs/>
        </w:rPr>
        <w:t xml:space="preserve"> </w:t>
      </w:r>
      <w:r w:rsidR="006D2751">
        <w:rPr>
          <w:rFonts w:ascii="Times New Roman" w:hAnsi="Times New Roman"/>
          <w:bCs/>
        </w:rPr>
        <w:t>integración de</w:t>
      </w:r>
      <w:r w:rsidRPr="007D1162">
        <w:rPr>
          <w:rFonts w:ascii="Times New Roman" w:hAnsi="Times New Roman"/>
          <w:bCs/>
        </w:rPr>
        <w:t xml:space="preserve"> cadenas productivas, que </w:t>
      </w:r>
      <w:r w:rsidR="006D2751">
        <w:rPr>
          <w:rFonts w:ascii="Times New Roman" w:hAnsi="Times New Roman"/>
          <w:bCs/>
        </w:rPr>
        <w:t>propicien el desarrollo de los sectores económicos de</w:t>
      </w:r>
      <w:r w:rsidRPr="007D1162">
        <w:rPr>
          <w:rFonts w:ascii="Times New Roman" w:hAnsi="Times New Roman"/>
          <w:bCs/>
        </w:rPr>
        <w:t>l Estado.</w:t>
      </w:r>
    </w:p>
    <w:p w14:paraId="3D58FCD2" w14:textId="77777777" w:rsidR="00696753" w:rsidRPr="007D1162" w:rsidRDefault="00696753" w:rsidP="00696753">
      <w:pPr>
        <w:pStyle w:val="PRIMERAPLANA"/>
        <w:spacing w:line="360" w:lineRule="auto"/>
        <w:rPr>
          <w:rFonts w:ascii="Times New Roman" w:hAnsi="Times New Roman"/>
          <w:bCs/>
        </w:rPr>
      </w:pPr>
    </w:p>
    <w:p w14:paraId="19E7EBEB" w14:textId="649576CE" w:rsidR="00696753" w:rsidRPr="007D1162" w:rsidRDefault="006D2751" w:rsidP="00696753">
      <w:pPr>
        <w:pStyle w:val="PRIMERAPLANA"/>
        <w:spacing w:line="360" w:lineRule="auto"/>
        <w:rPr>
          <w:rFonts w:ascii="Times New Roman" w:hAnsi="Times New Roman"/>
          <w:bCs/>
        </w:rPr>
      </w:pPr>
      <w:r>
        <w:rPr>
          <w:rFonts w:ascii="Times New Roman" w:hAnsi="Times New Roman"/>
          <w:bCs/>
        </w:rPr>
        <w:t>Es por ello, que</w:t>
      </w:r>
      <w:r w:rsidR="00016BF7">
        <w:rPr>
          <w:rFonts w:ascii="Times New Roman" w:hAnsi="Times New Roman"/>
          <w:bCs/>
        </w:rPr>
        <w:t>,</w:t>
      </w:r>
      <w:r>
        <w:rPr>
          <w:rFonts w:ascii="Times New Roman" w:hAnsi="Times New Roman"/>
          <w:bCs/>
        </w:rPr>
        <w:t xml:space="preserve"> o</w:t>
      </w:r>
      <w:r w:rsidR="00696753" w:rsidRPr="007D1162">
        <w:rPr>
          <w:rFonts w:ascii="Times New Roman" w:hAnsi="Times New Roman"/>
          <w:bCs/>
        </w:rPr>
        <w:t xml:space="preserve">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w:t>
      </w:r>
      <w:r w:rsidR="00696753" w:rsidRPr="007D1162">
        <w:rPr>
          <w:rFonts w:ascii="Times New Roman" w:hAnsi="Times New Roman"/>
          <w:bCs/>
        </w:rPr>
        <w:lastRenderedPageBreak/>
        <w:t>continuará subsidiando el pago del Impuesto Estatal Sobre Tenencia o Uso de Vehículos</w:t>
      </w:r>
      <w:r>
        <w:rPr>
          <w:rFonts w:ascii="Times New Roman" w:hAnsi="Times New Roman"/>
          <w:bCs/>
        </w:rPr>
        <w:t xml:space="preserve"> en apoyo de las familias tlaxcaltecas</w:t>
      </w:r>
      <w:r w:rsidR="00C72649" w:rsidRPr="007D1162">
        <w:rPr>
          <w:rFonts w:ascii="Times New Roman" w:hAnsi="Times New Roman"/>
          <w:bCs/>
        </w:rPr>
        <w:t>.</w:t>
      </w:r>
    </w:p>
    <w:p w14:paraId="715251DD" w14:textId="77777777" w:rsidR="00696753" w:rsidRPr="007D1162" w:rsidRDefault="00696753" w:rsidP="00696753">
      <w:pPr>
        <w:pStyle w:val="PRIMERAPLANA"/>
        <w:spacing w:line="360" w:lineRule="auto"/>
        <w:rPr>
          <w:rFonts w:ascii="Times New Roman" w:hAnsi="Times New Roman"/>
          <w:bCs/>
        </w:rPr>
      </w:pPr>
    </w:p>
    <w:p w14:paraId="7E1B6DAA" w14:textId="02D0EAF1"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 xml:space="preserve">Asimismo, se otorgan beneficios a los propietarios, tenedores o usuarios de vehículos automotores híbridos que circulen en la Entidad, otorgándoles una exención del 100% en el pago del Impuesto </w:t>
      </w:r>
      <w:r w:rsidRPr="00FA18A9">
        <w:rPr>
          <w:rFonts w:ascii="Times New Roman" w:hAnsi="Times New Roman"/>
          <w:bCs/>
        </w:rPr>
        <w:t>Estatal Sobre Tenencia o Uso de Vehículos y de los Derechos por Registro y Control Vehicular</w:t>
      </w:r>
      <w:r w:rsidR="00C72649" w:rsidRPr="00FA18A9">
        <w:rPr>
          <w:rFonts w:ascii="Times New Roman" w:hAnsi="Times New Roman"/>
          <w:bCs/>
        </w:rPr>
        <w:t>;</w:t>
      </w:r>
      <w:r w:rsidRPr="00FA18A9">
        <w:rPr>
          <w:rFonts w:ascii="Times New Roman" w:hAnsi="Times New Roman"/>
          <w:bCs/>
        </w:rPr>
        <w:t xml:space="preserve">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w:t>
      </w:r>
      <w:r w:rsidR="00E756B5">
        <w:rPr>
          <w:rFonts w:ascii="Times New Roman" w:hAnsi="Times New Roman"/>
          <w:bCs/>
        </w:rPr>
        <w:t xml:space="preserve"> Vías de Comunicación,</w:t>
      </w:r>
      <w:r w:rsidRPr="00FA18A9">
        <w:rPr>
          <w:rFonts w:ascii="Times New Roman" w:hAnsi="Times New Roman"/>
          <w:bCs/>
        </w:rPr>
        <w:t xml:space="preserve"> Transporte Público y Privado</w:t>
      </w:r>
      <w:r w:rsidR="00C72649" w:rsidRPr="00FA18A9">
        <w:rPr>
          <w:rFonts w:ascii="Times New Roman" w:hAnsi="Times New Roman"/>
          <w:bCs/>
        </w:rPr>
        <w:t>, así como facilidades a los propietarios de motocicletas para su registro en el Padrón Estatal Vehicular.</w:t>
      </w:r>
    </w:p>
    <w:p w14:paraId="7D4AFFA0" w14:textId="77777777" w:rsidR="00696753" w:rsidRPr="007D1162" w:rsidRDefault="00696753" w:rsidP="00696753">
      <w:pPr>
        <w:pStyle w:val="PRIMERAPLANA"/>
        <w:spacing w:line="360" w:lineRule="auto"/>
        <w:rPr>
          <w:rFonts w:ascii="Times New Roman" w:hAnsi="Times New Roman"/>
          <w:bCs/>
        </w:rPr>
      </w:pPr>
    </w:p>
    <w:p w14:paraId="564AC26B" w14:textId="149251E1" w:rsidR="00696753" w:rsidRPr="007D1162" w:rsidRDefault="006D2751" w:rsidP="00696753">
      <w:pPr>
        <w:spacing w:line="360" w:lineRule="auto"/>
        <w:jc w:val="both"/>
        <w:rPr>
          <w:bCs/>
          <w:sz w:val="20"/>
          <w:szCs w:val="20"/>
          <w:lang w:val="es-ES_tradnl"/>
        </w:rPr>
      </w:pPr>
      <w:r>
        <w:rPr>
          <w:bCs/>
          <w:sz w:val="20"/>
          <w:szCs w:val="20"/>
          <w:lang w:val="es-ES_tradnl"/>
        </w:rPr>
        <w:t>L</w:t>
      </w:r>
      <w:r w:rsidRPr="007D1162">
        <w:rPr>
          <w:bCs/>
          <w:sz w:val="20"/>
          <w:szCs w:val="20"/>
          <w:lang w:val="es-ES_tradnl"/>
        </w:rPr>
        <w:t>a atención de los derechos de las niñas, niños y adolescentes de 0 a 5 años y adolescentes hasta los 18 años es fundamental</w:t>
      </w:r>
      <w:r>
        <w:rPr>
          <w:bCs/>
          <w:sz w:val="20"/>
          <w:szCs w:val="20"/>
          <w:lang w:val="es-ES_tradnl"/>
        </w:rPr>
        <w:t>, por lo que e</w:t>
      </w:r>
      <w:r w:rsidR="00696753" w:rsidRPr="007D1162">
        <w:rPr>
          <w:bCs/>
          <w:sz w:val="20"/>
          <w:szCs w:val="20"/>
          <w:lang w:val="es-ES_tradnl"/>
        </w:rPr>
        <w:t xml:space="preserve">l Gobierno del Estado considera prioritaria una estrategia de inclusión social con perspectiva de género, </w:t>
      </w:r>
      <w:r>
        <w:rPr>
          <w:bCs/>
          <w:sz w:val="20"/>
          <w:szCs w:val="20"/>
          <w:lang w:val="es-ES_tradnl"/>
        </w:rPr>
        <w:t>para lo cual se</w:t>
      </w:r>
      <w:r w:rsidR="00696753" w:rsidRPr="007D1162">
        <w:rPr>
          <w:bCs/>
          <w:sz w:val="20"/>
          <w:szCs w:val="20"/>
          <w:lang w:val="es-ES_tradnl"/>
        </w:rPr>
        <w:t xml:space="preserve"> han emprendido acciones que permit</w:t>
      </w:r>
      <w:r w:rsidR="004301B9" w:rsidRPr="007D1162">
        <w:rPr>
          <w:bCs/>
          <w:sz w:val="20"/>
          <w:szCs w:val="20"/>
          <w:lang w:val="es-ES_tradnl"/>
        </w:rPr>
        <w:t>e</w:t>
      </w:r>
      <w:r w:rsidR="00696753" w:rsidRPr="007D1162">
        <w:rPr>
          <w:bCs/>
          <w:sz w:val="20"/>
          <w:szCs w:val="20"/>
          <w:lang w:val="es-ES_tradnl"/>
        </w:rPr>
        <w:t xml:space="preserve">n identificar plenamente los recursos que son ejercidos en estos rubros por las </w:t>
      </w:r>
      <w:r>
        <w:rPr>
          <w:bCs/>
          <w:sz w:val="20"/>
          <w:szCs w:val="20"/>
          <w:lang w:val="es-ES_tradnl"/>
        </w:rPr>
        <w:t xml:space="preserve">diferentes </w:t>
      </w:r>
      <w:r w:rsidR="00696753" w:rsidRPr="007D1162">
        <w:rPr>
          <w:bCs/>
          <w:sz w:val="20"/>
          <w:szCs w:val="20"/>
          <w:lang w:val="es-ES_tradnl"/>
        </w:rPr>
        <w:t xml:space="preserve">Dependencias del Estado, previniendo rezagos y desigualdades, </w:t>
      </w:r>
      <w:r>
        <w:rPr>
          <w:bCs/>
          <w:sz w:val="20"/>
          <w:szCs w:val="20"/>
          <w:lang w:val="es-ES_tradnl"/>
        </w:rPr>
        <w:t>incorporando</w:t>
      </w:r>
      <w:r w:rsidR="00696753" w:rsidRPr="007D1162">
        <w:rPr>
          <w:bCs/>
          <w:sz w:val="20"/>
          <w:szCs w:val="20"/>
          <w:lang w:val="es-ES_tradnl"/>
        </w:rPr>
        <w:t xml:space="preserve"> estrategias de desarrollo con perspectiva de género al interior de éstas.</w:t>
      </w:r>
    </w:p>
    <w:p w14:paraId="0D11628F" w14:textId="77777777" w:rsidR="00696753" w:rsidRPr="007D1162" w:rsidRDefault="00696753" w:rsidP="00696753">
      <w:pPr>
        <w:spacing w:line="360" w:lineRule="auto"/>
        <w:jc w:val="both"/>
        <w:rPr>
          <w:bCs/>
          <w:sz w:val="20"/>
          <w:szCs w:val="20"/>
          <w:lang w:val="es-ES_tradnl"/>
        </w:rPr>
      </w:pPr>
    </w:p>
    <w:p w14:paraId="6EFEB9B3" w14:textId="40A8671A" w:rsidR="00696753" w:rsidRDefault="00696753" w:rsidP="00696753">
      <w:pPr>
        <w:spacing w:line="360" w:lineRule="auto"/>
        <w:jc w:val="both"/>
        <w:rPr>
          <w:bCs/>
          <w:sz w:val="20"/>
          <w:szCs w:val="20"/>
          <w:lang w:val="es-ES_tradnl"/>
        </w:rPr>
      </w:pPr>
      <w:r w:rsidRPr="002C78C7">
        <w:rPr>
          <w:bCs/>
          <w:sz w:val="20"/>
          <w:szCs w:val="20"/>
          <w:lang w:val="es-ES_tradnl"/>
        </w:rPr>
        <w:t xml:space="preserve">Al mes de </w:t>
      </w:r>
      <w:r w:rsidR="00E756B5">
        <w:rPr>
          <w:bCs/>
          <w:sz w:val="20"/>
          <w:szCs w:val="20"/>
          <w:lang w:val="es-ES_tradnl"/>
        </w:rPr>
        <w:t>a</w:t>
      </w:r>
      <w:r w:rsidR="00890C8D">
        <w:rPr>
          <w:bCs/>
          <w:sz w:val="20"/>
          <w:szCs w:val="20"/>
          <w:lang w:val="es-ES_tradnl"/>
        </w:rPr>
        <w:t>gosto</w:t>
      </w:r>
      <w:r w:rsidRPr="002C78C7">
        <w:rPr>
          <w:bCs/>
          <w:sz w:val="20"/>
          <w:szCs w:val="20"/>
          <w:lang w:val="es-ES_tradnl"/>
        </w:rPr>
        <w:t xml:space="preserve"> de 202</w:t>
      </w:r>
      <w:r w:rsidR="0039140C" w:rsidRPr="002C78C7">
        <w:rPr>
          <w:bCs/>
          <w:sz w:val="20"/>
          <w:szCs w:val="20"/>
          <w:lang w:val="es-ES_tradnl"/>
        </w:rPr>
        <w:t>5</w:t>
      </w:r>
      <w:r w:rsidRPr="002C78C7">
        <w:rPr>
          <w:bCs/>
          <w:sz w:val="20"/>
          <w:szCs w:val="20"/>
          <w:lang w:val="es-ES_tradnl"/>
        </w:rPr>
        <w:t xml:space="preserve"> la tasa de ocupación reflejó una participación del 1% al total nacional,</w:t>
      </w:r>
      <w:r w:rsidRPr="007D1162">
        <w:rPr>
          <w:bCs/>
          <w:sz w:val="20"/>
          <w:szCs w:val="20"/>
          <w:lang w:val="es-ES_tradnl"/>
        </w:rPr>
        <w:t xml:space="preserve"> presentando un incremento de </w:t>
      </w:r>
      <w:r w:rsidR="00890C8D">
        <w:rPr>
          <w:bCs/>
          <w:sz w:val="20"/>
          <w:szCs w:val="20"/>
          <w:lang w:val="es-ES_tradnl"/>
        </w:rPr>
        <w:t>563</w:t>
      </w:r>
      <w:r w:rsidRPr="007D1162">
        <w:rPr>
          <w:bCs/>
          <w:sz w:val="20"/>
          <w:szCs w:val="20"/>
          <w:lang w:val="es-ES_tradnl"/>
        </w:rPr>
        <w:t xml:space="preserve"> puestos de trabajo permanentes respecto a diciembre de 202</w:t>
      </w:r>
      <w:r w:rsidR="002C78C7">
        <w:rPr>
          <w:bCs/>
          <w:sz w:val="20"/>
          <w:szCs w:val="20"/>
          <w:lang w:val="es-ES_tradnl"/>
        </w:rPr>
        <w:t>4</w:t>
      </w:r>
      <w:r w:rsidRPr="007D1162">
        <w:rPr>
          <w:bCs/>
          <w:sz w:val="20"/>
          <w:szCs w:val="20"/>
          <w:lang w:val="es-ES_tradnl"/>
        </w:rPr>
        <w:t xml:space="preserve">. Al mes de </w:t>
      </w:r>
      <w:r w:rsidR="00890C8D">
        <w:rPr>
          <w:bCs/>
          <w:sz w:val="20"/>
          <w:szCs w:val="20"/>
          <w:lang w:val="es-ES_tradnl"/>
        </w:rPr>
        <w:t>agosto</w:t>
      </w:r>
      <w:r w:rsidRPr="007D1162">
        <w:rPr>
          <w:bCs/>
          <w:sz w:val="20"/>
          <w:szCs w:val="20"/>
          <w:lang w:val="es-ES_tradnl"/>
        </w:rPr>
        <w:t xml:space="preserve"> de 202</w:t>
      </w:r>
      <w:r w:rsidR="002C78C7">
        <w:rPr>
          <w:bCs/>
          <w:sz w:val="20"/>
          <w:szCs w:val="20"/>
          <w:lang w:val="es-ES_tradnl"/>
        </w:rPr>
        <w:t>5</w:t>
      </w:r>
      <w:r w:rsidRPr="007D1162">
        <w:rPr>
          <w:bCs/>
          <w:sz w:val="20"/>
          <w:szCs w:val="20"/>
          <w:lang w:val="es-ES_tradnl"/>
        </w:rPr>
        <w:t>, se tienen registrados 11</w:t>
      </w:r>
      <w:r w:rsidR="002C78C7">
        <w:rPr>
          <w:bCs/>
          <w:sz w:val="20"/>
          <w:szCs w:val="20"/>
          <w:lang w:val="es-ES_tradnl"/>
        </w:rPr>
        <w:t>6</w:t>
      </w:r>
      <w:r w:rsidRPr="007D1162">
        <w:rPr>
          <w:bCs/>
          <w:sz w:val="20"/>
          <w:szCs w:val="20"/>
          <w:lang w:val="es-ES_tradnl"/>
        </w:rPr>
        <w:t>,</w:t>
      </w:r>
      <w:r w:rsidR="00890C8D">
        <w:rPr>
          <w:bCs/>
          <w:sz w:val="20"/>
          <w:szCs w:val="20"/>
          <w:lang w:val="es-ES_tradnl"/>
        </w:rPr>
        <w:t>849</w:t>
      </w:r>
      <w:r w:rsidRPr="007D1162">
        <w:rPr>
          <w:bCs/>
          <w:sz w:val="20"/>
          <w:szCs w:val="20"/>
          <w:lang w:val="es-ES_tradnl"/>
        </w:rPr>
        <w:t xml:space="preserve"> trabajadores asegurados en el IMSS, tal y como se muestra en los cuadros siguientes:</w:t>
      </w:r>
    </w:p>
    <w:p w14:paraId="41546CA7" w14:textId="77777777" w:rsidR="002C78C7" w:rsidRDefault="002C78C7" w:rsidP="00696753">
      <w:pPr>
        <w:spacing w:line="360" w:lineRule="auto"/>
        <w:jc w:val="both"/>
        <w:rPr>
          <w:bCs/>
          <w:sz w:val="20"/>
          <w:szCs w:val="20"/>
          <w:lang w:val="es-ES_tradnl"/>
        </w:rPr>
      </w:pPr>
    </w:p>
    <w:p w14:paraId="4CDE2A71" w14:textId="24ECA2D3" w:rsidR="00890C8D" w:rsidRDefault="00890C8D" w:rsidP="00696753">
      <w:pPr>
        <w:spacing w:line="360" w:lineRule="auto"/>
        <w:jc w:val="both"/>
        <w:rPr>
          <w:bCs/>
          <w:sz w:val="20"/>
          <w:szCs w:val="20"/>
          <w:lang w:val="es-ES_tradnl"/>
        </w:rPr>
      </w:pPr>
      <w:r>
        <w:rPr>
          <w:noProof/>
        </w:rPr>
        <w:lastRenderedPageBreak/>
        <w:drawing>
          <wp:inline distT="0" distB="0" distL="0" distR="0" wp14:anchorId="252F3BB7" wp14:editId="1D18C8A5">
            <wp:extent cx="5132527" cy="3917619"/>
            <wp:effectExtent l="0" t="0" r="0" b="6985"/>
            <wp:docPr id="865858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58904" name=""/>
                    <pic:cNvPicPr/>
                  </pic:nvPicPr>
                  <pic:blipFill rotWithShape="1">
                    <a:blip r:embed="rId17"/>
                    <a:srcRect l="23593" t="23218" r="25172" b="7253"/>
                    <a:stretch>
                      <a:fillRect/>
                    </a:stretch>
                  </pic:blipFill>
                  <pic:spPr bwMode="auto">
                    <a:xfrm>
                      <a:off x="0" y="0"/>
                      <a:ext cx="5187997" cy="3959959"/>
                    </a:xfrm>
                    <a:prstGeom prst="rect">
                      <a:avLst/>
                    </a:prstGeom>
                    <a:ln>
                      <a:noFill/>
                    </a:ln>
                    <a:extLst>
                      <a:ext uri="{53640926-AAD7-44D8-BBD7-CCE9431645EC}">
                        <a14:shadowObscured xmlns:a14="http://schemas.microsoft.com/office/drawing/2010/main"/>
                      </a:ext>
                    </a:extLst>
                  </pic:spPr>
                </pic:pic>
              </a:graphicData>
            </a:graphic>
          </wp:inline>
        </w:drawing>
      </w:r>
    </w:p>
    <w:p w14:paraId="123BEF49" w14:textId="06D7C7D4"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De acuerdo </w:t>
      </w:r>
      <w:r w:rsidR="004E7178">
        <w:rPr>
          <w:bCs/>
          <w:sz w:val="20"/>
          <w:szCs w:val="20"/>
          <w:lang w:val="es-ES_tradnl"/>
        </w:rPr>
        <w:t>con el</w:t>
      </w:r>
      <w:r w:rsidRPr="007D1162">
        <w:rPr>
          <w:bCs/>
          <w:sz w:val="20"/>
          <w:szCs w:val="20"/>
          <w:lang w:val="es-ES_tradnl"/>
        </w:rPr>
        <w:t xml:space="preserve"> Directorio Estadístico Nacional de Unidades Económicas, Tlaxcala cuenta con </w:t>
      </w:r>
      <w:r w:rsidR="00541030">
        <w:rPr>
          <w:bCs/>
          <w:sz w:val="20"/>
          <w:szCs w:val="20"/>
          <w:lang w:val="es-ES_tradnl"/>
        </w:rPr>
        <w:t>98</w:t>
      </w:r>
      <w:r w:rsidRPr="007D1162">
        <w:rPr>
          <w:bCs/>
          <w:sz w:val="20"/>
          <w:szCs w:val="20"/>
          <w:lang w:val="es-ES_tradnl"/>
        </w:rPr>
        <w:t>,</w:t>
      </w:r>
      <w:r w:rsidR="00541030">
        <w:rPr>
          <w:bCs/>
          <w:sz w:val="20"/>
          <w:szCs w:val="20"/>
          <w:lang w:val="es-ES_tradnl"/>
        </w:rPr>
        <w:t>71</w:t>
      </w:r>
      <w:r w:rsidR="00150497" w:rsidRPr="007D1162">
        <w:rPr>
          <w:bCs/>
          <w:sz w:val="20"/>
          <w:szCs w:val="20"/>
          <w:lang w:val="es-ES_tradnl"/>
        </w:rPr>
        <w:t>1</w:t>
      </w:r>
      <w:r w:rsidRPr="007D1162">
        <w:rPr>
          <w:bCs/>
          <w:sz w:val="20"/>
          <w:szCs w:val="20"/>
          <w:lang w:val="es-ES_tradnl"/>
        </w:rPr>
        <w:t xml:space="preserve"> Unidades Económicas al mes de </w:t>
      </w:r>
      <w:r w:rsidR="00991389" w:rsidRPr="007D1162">
        <w:rPr>
          <w:bCs/>
          <w:sz w:val="20"/>
          <w:szCs w:val="20"/>
          <w:lang w:val="es-ES_tradnl"/>
        </w:rPr>
        <w:t>septiembre</w:t>
      </w:r>
      <w:r w:rsidRPr="007D1162">
        <w:rPr>
          <w:bCs/>
          <w:sz w:val="20"/>
          <w:szCs w:val="20"/>
          <w:lang w:val="es-ES_tradnl"/>
        </w:rPr>
        <w:t xml:space="preserve"> de 202</w:t>
      </w:r>
      <w:r w:rsidR="00541030">
        <w:rPr>
          <w:bCs/>
          <w:sz w:val="20"/>
          <w:szCs w:val="20"/>
          <w:lang w:val="es-ES_tradnl"/>
        </w:rPr>
        <w:t>5</w:t>
      </w:r>
      <w:r w:rsidRPr="007D1162">
        <w:rPr>
          <w:bCs/>
          <w:sz w:val="20"/>
          <w:szCs w:val="20"/>
          <w:lang w:val="es-ES_tradnl"/>
        </w:rPr>
        <w:t xml:space="preserve">, </w:t>
      </w:r>
      <w:r w:rsidR="00563A21" w:rsidRPr="007D1162">
        <w:rPr>
          <w:bCs/>
          <w:sz w:val="20"/>
          <w:szCs w:val="20"/>
          <w:lang w:val="es-ES_tradnl"/>
        </w:rPr>
        <w:t>l</w:t>
      </w:r>
      <w:r w:rsidRPr="007D1162">
        <w:rPr>
          <w:bCs/>
          <w:sz w:val="20"/>
          <w:szCs w:val="20"/>
          <w:lang w:val="es-ES_tradnl"/>
        </w:rPr>
        <w:t>o que representa una participación del 1</w:t>
      </w:r>
      <w:r w:rsidR="007232AC">
        <w:rPr>
          <w:bCs/>
          <w:sz w:val="20"/>
          <w:szCs w:val="20"/>
          <w:lang w:val="es-ES_tradnl"/>
        </w:rPr>
        <w:t>.6</w:t>
      </w:r>
      <w:r w:rsidRPr="007D1162">
        <w:rPr>
          <w:bCs/>
          <w:sz w:val="20"/>
          <w:szCs w:val="20"/>
          <w:lang w:val="es-ES_tradnl"/>
        </w:rPr>
        <w:t xml:space="preserve">% del Estado en el total nacional. Al </w:t>
      </w:r>
      <w:r w:rsidR="00991389" w:rsidRPr="007D1162">
        <w:rPr>
          <w:bCs/>
          <w:sz w:val="20"/>
          <w:szCs w:val="20"/>
          <w:lang w:val="es-ES_tradnl"/>
        </w:rPr>
        <w:t>segundo</w:t>
      </w:r>
      <w:r w:rsidRPr="007D1162">
        <w:rPr>
          <w:bCs/>
          <w:sz w:val="20"/>
          <w:szCs w:val="20"/>
          <w:lang w:val="es-ES_tradnl"/>
        </w:rPr>
        <w:t xml:space="preserve"> trimestre de 202</w:t>
      </w:r>
      <w:r w:rsidR="007232AC">
        <w:rPr>
          <w:bCs/>
          <w:sz w:val="20"/>
          <w:szCs w:val="20"/>
          <w:lang w:val="es-ES_tradnl"/>
        </w:rPr>
        <w:t>5</w:t>
      </w:r>
      <w:r w:rsidR="004E7178">
        <w:rPr>
          <w:bCs/>
          <w:sz w:val="20"/>
          <w:szCs w:val="20"/>
          <w:lang w:val="es-ES_tradnl"/>
        </w:rPr>
        <w:t>,</w:t>
      </w:r>
      <w:r w:rsidRPr="007D1162">
        <w:rPr>
          <w:bCs/>
          <w:sz w:val="20"/>
          <w:szCs w:val="20"/>
          <w:lang w:val="es-ES_tradnl"/>
        </w:rPr>
        <w:t xml:space="preserve"> la Población Económicamente Activa (PEA) ascendió a </w:t>
      </w:r>
      <w:r w:rsidR="007232AC">
        <w:rPr>
          <w:bCs/>
          <w:sz w:val="20"/>
          <w:szCs w:val="20"/>
          <w:lang w:val="es-ES_tradnl"/>
        </w:rPr>
        <w:t>703</w:t>
      </w:r>
      <w:r w:rsidRPr="007D1162">
        <w:rPr>
          <w:bCs/>
          <w:sz w:val="20"/>
          <w:szCs w:val="20"/>
          <w:lang w:val="es-ES_tradnl"/>
        </w:rPr>
        <w:t>,</w:t>
      </w:r>
      <w:r w:rsidR="007232AC">
        <w:rPr>
          <w:bCs/>
          <w:sz w:val="20"/>
          <w:szCs w:val="20"/>
          <w:lang w:val="es-ES_tradnl"/>
        </w:rPr>
        <w:t>274</w:t>
      </w:r>
      <w:r w:rsidRPr="007D1162">
        <w:rPr>
          <w:bCs/>
          <w:sz w:val="20"/>
          <w:szCs w:val="20"/>
          <w:lang w:val="es-ES_tradnl"/>
        </w:rPr>
        <w:t xml:space="preserve"> personas, representando el </w:t>
      </w:r>
      <w:r w:rsidR="00855A21" w:rsidRPr="007D1162">
        <w:rPr>
          <w:bCs/>
          <w:sz w:val="20"/>
          <w:szCs w:val="20"/>
          <w:lang w:val="es-ES_tradnl"/>
        </w:rPr>
        <w:t>61</w:t>
      </w:r>
      <w:r w:rsidRPr="007D1162">
        <w:rPr>
          <w:bCs/>
          <w:sz w:val="20"/>
          <w:szCs w:val="20"/>
          <w:lang w:val="es-ES_tradnl"/>
        </w:rPr>
        <w:t xml:space="preserve">% de la población en edad de trabajar. Del total de la PEA, el </w:t>
      </w:r>
      <w:r w:rsidR="00855A21" w:rsidRPr="007D1162">
        <w:rPr>
          <w:bCs/>
          <w:sz w:val="20"/>
          <w:szCs w:val="20"/>
          <w:lang w:val="es-ES_tradnl"/>
        </w:rPr>
        <w:t>9</w:t>
      </w:r>
      <w:r w:rsidR="007232AC">
        <w:rPr>
          <w:bCs/>
          <w:sz w:val="20"/>
          <w:szCs w:val="20"/>
          <w:lang w:val="es-ES_tradnl"/>
        </w:rPr>
        <w:t>8</w:t>
      </w:r>
      <w:r w:rsidRPr="007D1162">
        <w:rPr>
          <w:bCs/>
          <w:sz w:val="20"/>
          <w:szCs w:val="20"/>
          <w:lang w:val="es-ES_tradnl"/>
        </w:rPr>
        <w:t xml:space="preserve">% está ocupada y el </w:t>
      </w:r>
      <w:r w:rsidR="007232AC">
        <w:rPr>
          <w:bCs/>
          <w:sz w:val="20"/>
          <w:szCs w:val="20"/>
          <w:lang w:val="es-ES_tradnl"/>
        </w:rPr>
        <w:t>2</w:t>
      </w:r>
      <w:r w:rsidRPr="007D1162">
        <w:rPr>
          <w:bCs/>
          <w:sz w:val="20"/>
          <w:szCs w:val="20"/>
          <w:lang w:val="es-ES_tradnl"/>
        </w:rPr>
        <w:t>% se encuentra desocupada.</w:t>
      </w:r>
    </w:p>
    <w:p w14:paraId="20578695" w14:textId="77777777" w:rsidR="00696753" w:rsidRDefault="00696753" w:rsidP="00696753">
      <w:pPr>
        <w:spacing w:line="360" w:lineRule="auto"/>
        <w:jc w:val="both"/>
        <w:rPr>
          <w:bCs/>
          <w:sz w:val="20"/>
          <w:szCs w:val="20"/>
          <w:lang w:val="es-ES_tradnl"/>
        </w:rPr>
      </w:pPr>
    </w:p>
    <w:p w14:paraId="3845B966" w14:textId="4C82565A" w:rsidR="007232AC" w:rsidRDefault="0008551C" w:rsidP="00696753">
      <w:pPr>
        <w:spacing w:line="360" w:lineRule="auto"/>
        <w:jc w:val="both"/>
        <w:rPr>
          <w:bCs/>
          <w:sz w:val="20"/>
          <w:szCs w:val="20"/>
          <w:lang w:val="es-ES_tradnl"/>
        </w:rPr>
      </w:pPr>
      <w:r>
        <w:rPr>
          <w:noProof/>
        </w:rPr>
        <w:lastRenderedPageBreak/>
        <w:drawing>
          <wp:inline distT="0" distB="0" distL="0" distR="0" wp14:anchorId="3F37A35F" wp14:editId="2D6FD7AE">
            <wp:extent cx="5127976" cy="3774608"/>
            <wp:effectExtent l="0" t="0" r="0" b="0"/>
            <wp:docPr id="211544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8079" name=""/>
                    <pic:cNvPicPr/>
                  </pic:nvPicPr>
                  <pic:blipFill rotWithShape="1">
                    <a:blip r:embed="rId18"/>
                    <a:srcRect l="22755" t="24416" r="23896" b="5767"/>
                    <a:stretch>
                      <a:fillRect/>
                    </a:stretch>
                  </pic:blipFill>
                  <pic:spPr bwMode="auto">
                    <a:xfrm>
                      <a:off x="0" y="0"/>
                      <a:ext cx="5159261" cy="3797636"/>
                    </a:xfrm>
                    <a:prstGeom prst="rect">
                      <a:avLst/>
                    </a:prstGeom>
                    <a:ln>
                      <a:noFill/>
                    </a:ln>
                    <a:extLst>
                      <a:ext uri="{53640926-AAD7-44D8-BBD7-CCE9431645EC}">
                        <a14:shadowObscured xmlns:a14="http://schemas.microsoft.com/office/drawing/2010/main"/>
                      </a:ext>
                    </a:extLst>
                  </pic:spPr>
                </pic:pic>
              </a:graphicData>
            </a:graphic>
          </wp:inline>
        </w:drawing>
      </w:r>
    </w:p>
    <w:p w14:paraId="29D24759" w14:textId="77777777"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0307F0C3" w14:textId="77777777" w:rsidR="00696753" w:rsidRPr="00FD37DE" w:rsidRDefault="00696753" w:rsidP="00696753">
      <w:pPr>
        <w:spacing w:line="360" w:lineRule="auto"/>
        <w:jc w:val="both"/>
        <w:rPr>
          <w:bCs/>
          <w:sz w:val="20"/>
          <w:szCs w:val="20"/>
          <w:lang w:val="es-ES_tradnl"/>
        </w:rPr>
      </w:pPr>
    </w:p>
    <w:p w14:paraId="62AC0AA1" w14:textId="50CD5EEF" w:rsidR="00696753" w:rsidRPr="008D5C06" w:rsidRDefault="00696753" w:rsidP="00696753">
      <w:pPr>
        <w:spacing w:line="360" w:lineRule="auto"/>
        <w:jc w:val="both"/>
        <w:rPr>
          <w:rFonts w:ascii="Arial" w:hAnsi="Arial" w:cs="Arial"/>
        </w:rPr>
      </w:pPr>
      <w:r w:rsidRPr="007D1162">
        <w:rPr>
          <w:bCs/>
          <w:sz w:val="20"/>
          <w:szCs w:val="20"/>
          <w:lang w:val="es-ES_tradnl"/>
        </w:rPr>
        <w:lastRenderedPageBreak/>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w:t>
      </w:r>
      <w:r w:rsidRPr="008D5C06">
        <w:rPr>
          <w:rFonts w:ascii="Arial" w:hAnsi="Arial" w:cs="Arial"/>
        </w:rPr>
        <w:t xml:space="preserve"> </w:t>
      </w:r>
      <w:r w:rsidRPr="007D1162">
        <w:rPr>
          <w:bCs/>
          <w:sz w:val="20"/>
          <w:szCs w:val="20"/>
          <w:lang w:val="es-ES_tradnl"/>
        </w:rPr>
        <w:t>e internacional identificando las oportunidades de una economía globalizada y aprovecharlas, dado que se presentan mayores complejidades.</w:t>
      </w:r>
    </w:p>
    <w:p w14:paraId="186F240E" w14:textId="77777777" w:rsidR="00C72154" w:rsidRDefault="00C72154" w:rsidP="00E00355">
      <w:pPr>
        <w:spacing w:line="360" w:lineRule="auto"/>
        <w:jc w:val="both"/>
        <w:rPr>
          <w:bCs/>
          <w:sz w:val="20"/>
          <w:szCs w:val="20"/>
          <w:lang w:val="es-ES_tradnl"/>
        </w:rPr>
      </w:pPr>
    </w:p>
    <w:p w14:paraId="7C82F2F1" w14:textId="620A9177" w:rsidR="00E00355" w:rsidRDefault="00E00355" w:rsidP="00E00355">
      <w:pPr>
        <w:spacing w:line="360" w:lineRule="auto"/>
        <w:jc w:val="both"/>
        <w:rPr>
          <w:bCs/>
          <w:sz w:val="20"/>
          <w:szCs w:val="20"/>
          <w:lang w:val="es-ES_tradnl"/>
        </w:rPr>
      </w:pPr>
      <w:r w:rsidRPr="00E00355">
        <w:rPr>
          <w:bCs/>
          <w:sz w:val="20"/>
          <w:szCs w:val="20"/>
          <w:lang w:val="es-ES_tradnl"/>
        </w:rPr>
        <w:t xml:space="preserve">En </w:t>
      </w:r>
      <w:r>
        <w:rPr>
          <w:bCs/>
          <w:sz w:val="20"/>
          <w:szCs w:val="20"/>
          <w:lang w:val="es-ES_tradnl"/>
        </w:rPr>
        <w:t xml:space="preserve">lo que se refiere a </w:t>
      </w:r>
      <w:r w:rsidR="004E7178">
        <w:rPr>
          <w:bCs/>
          <w:sz w:val="20"/>
          <w:szCs w:val="20"/>
          <w:lang w:val="es-ES_tradnl"/>
        </w:rPr>
        <w:t xml:space="preserve">la </w:t>
      </w:r>
      <w:r w:rsidRPr="00E00355">
        <w:rPr>
          <w:bCs/>
          <w:sz w:val="20"/>
          <w:szCs w:val="20"/>
          <w:lang w:val="es-ES_tradnl"/>
        </w:rPr>
        <w:t xml:space="preserve">IED, Tlaxcala también ha tenido un desempeño notable. En 2024, el </w:t>
      </w:r>
      <w:r>
        <w:rPr>
          <w:bCs/>
          <w:sz w:val="20"/>
          <w:szCs w:val="20"/>
          <w:lang w:val="es-ES_tradnl"/>
        </w:rPr>
        <w:t>E</w:t>
      </w:r>
      <w:r w:rsidRPr="00E00355">
        <w:rPr>
          <w:bCs/>
          <w:sz w:val="20"/>
          <w:szCs w:val="20"/>
          <w:lang w:val="es-ES_tradnl"/>
        </w:rPr>
        <w:t>stado captó 94.2 millones de dólares</w:t>
      </w:r>
      <w:r>
        <w:rPr>
          <w:bCs/>
          <w:sz w:val="20"/>
          <w:szCs w:val="20"/>
          <w:lang w:val="es-ES_tradnl"/>
        </w:rPr>
        <w:t>,</w:t>
      </w:r>
      <w:r w:rsidRPr="00E00355">
        <w:rPr>
          <w:bCs/>
          <w:sz w:val="20"/>
          <w:szCs w:val="20"/>
          <w:lang w:val="es-ES_tradnl"/>
        </w:rPr>
        <w:t xml:space="preserve"> lo que refleja la confianza de los inversionistas en el potencial económico de la </w:t>
      </w:r>
      <w:r>
        <w:rPr>
          <w:bCs/>
          <w:sz w:val="20"/>
          <w:szCs w:val="20"/>
          <w:lang w:val="es-ES_tradnl"/>
        </w:rPr>
        <w:t>E</w:t>
      </w:r>
      <w:r w:rsidRPr="00E00355">
        <w:rPr>
          <w:bCs/>
          <w:sz w:val="20"/>
          <w:szCs w:val="20"/>
          <w:lang w:val="es-ES_tradnl"/>
        </w:rPr>
        <w:t xml:space="preserve">ntidad. Esta inversión proviene de una variedad de países, </w:t>
      </w:r>
      <w:r>
        <w:rPr>
          <w:bCs/>
          <w:sz w:val="20"/>
          <w:szCs w:val="20"/>
          <w:lang w:val="es-ES_tradnl"/>
        </w:rPr>
        <w:t xml:space="preserve">entre los que destacan </w:t>
      </w:r>
      <w:r w:rsidRPr="00E00355">
        <w:rPr>
          <w:bCs/>
          <w:sz w:val="20"/>
          <w:szCs w:val="20"/>
          <w:lang w:val="es-ES_tradnl"/>
        </w:rPr>
        <w:t>Alemania, España</w:t>
      </w:r>
      <w:r>
        <w:rPr>
          <w:bCs/>
          <w:sz w:val="20"/>
          <w:szCs w:val="20"/>
          <w:lang w:val="es-ES_tradnl"/>
        </w:rPr>
        <w:t xml:space="preserve"> y</w:t>
      </w:r>
      <w:r w:rsidRPr="00E00355">
        <w:rPr>
          <w:bCs/>
          <w:sz w:val="20"/>
          <w:szCs w:val="20"/>
          <w:lang w:val="es-ES_tradnl"/>
        </w:rPr>
        <w:t xml:space="preserve"> Estados Unidos, así como Argentina,</w:t>
      </w:r>
      <w:r>
        <w:rPr>
          <w:bCs/>
          <w:sz w:val="20"/>
          <w:szCs w:val="20"/>
          <w:lang w:val="es-ES_tradnl"/>
        </w:rPr>
        <w:t xml:space="preserve"> </w:t>
      </w:r>
      <w:r w:rsidRPr="00E00355">
        <w:rPr>
          <w:bCs/>
          <w:sz w:val="20"/>
          <w:szCs w:val="20"/>
          <w:lang w:val="es-ES_tradnl"/>
        </w:rPr>
        <w:t>Australia,</w:t>
      </w:r>
      <w:r>
        <w:rPr>
          <w:bCs/>
          <w:sz w:val="20"/>
          <w:szCs w:val="20"/>
          <w:lang w:val="es-ES_tradnl"/>
        </w:rPr>
        <w:t xml:space="preserve"> </w:t>
      </w:r>
      <w:r w:rsidRPr="00E00355">
        <w:rPr>
          <w:bCs/>
          <w:sz w:val="20"/>
          <w:szCs w:val="20"/>
          <w:lang w:val="es-ES_tradnl"/>
        </w:rPr>
        <w:t>Bélgica,</w:t>
      </w:r>
      <w:r>
        <w:rPr>
          <w:bCs/>
          <w:sz w:val="20"/>
          <w:szCs w:val="20"/>
          <w:lang w:val="es-ES_tradnl"/>
        </w:rPr>
        <w:t xml:space="preserve"> </w:t>
      </w:r>
      <w:r w:rsidRPr="00E00355">
        <w:rPr>
          <w:bCs/>
          <w:sz w:val="20"/>
          <w:szCs w:val="20"/>
          <w:lang w:val="es-ES_tradnl"/>
        </w:rPr>
        <w:t>Brasil,</w:t>
      </w:r>
      <w:r>
        <w:rPr>
          <w:bCs/>
          <w:sz w:val="20"/>
          <w:szCs w:val="20"/>
          <w:lang w:val="es-ES_tradnl"/>
        </w:rPr>
        <w:t xml:space="preserve"> </w:t>
      </w:r>
      <w:r w:rsidRPr="00E00355">
        <w:rPr>
          <w:bCs/>
          <w:sz w:val="20"/>
          <w:szCs w:val="20"/>
          <w:lang w:val="es-ES_tradnl"/>
        </w:rPr>
        <w:t>India,</w:t>
      </w:r>
      <w:r>
        <w:rPr>
          <w:bCs/>
          <w:sz w:val="20"/>
          <w:szCs w:val="20"/>
          <w:lang w:val="es-ES_tradnl"/>
        </w:rPr>
        <w:t xml:space="preserve"> </w:t>
      </w:r>
      <w:r w:rsidRPr="00E00355">
        <w:rPr>
          <w:bCs/>
          <w:sz w:val="20"/>
          <w:szCs w:val="20"/>
          <w:lang w:val="es-ES_tradnl"/>
        </w:rPr>
        <w:t>Japón,</w:t>
      </w:r>
      <w:r>
        <w:rPr>
          <w:bCs/>
          <w:sz w:val="20"/>
          <w:szCs w:val="20"/>
          <w:lang w:val="es-ES_tradnl"/>
        </w:rPr>
        <w:t xml:space="preserve"> </w:t>
      </w:r>
      <w:r w:rsidRPr="00E00355">
        <w:rPr>
          <w:bCs/>
          <w:sz w:val="20"/>
          <w:szCs w:val="20"/>
          <w:lang w:val="es-ES_tradnl"/>
        </w:rPr>
        <w:t>Países Bajos,</w:t>
      </w:r>
      <w:r>
        <w:rPr>
          <w:bCs/>
          <w:sz w:val="20"/>
          <w:szCs w:val="20"/>
          <w:lang w:val="es-ES_tradnl"/>
        </w:rPr>
        <w:t xml:space="preserve"> </w:t>
      </w:r>
      <w:r w:rsidRPr="00E00355">
        <w:rPr>
          <w:bCs/>
          <w:sz w:val="20"/>
          <w:szCs w:val="20"/>
          <w:lang w:val="es-ES_tradnl"/>
        </w:rPr>
        <w:t>Reino Unido</w:t>
      </w:r>
      <w:r>
        <w:rPr>
          <w:bCs/>
          <w:sz w:val="20"/>
          <w:szCs w:val="20"/>
          <w:lang w:val="es-ES_tradnl"/>
        </w:rPr>
        <w:t xml:space="preserve"> </w:t>
      </w:r>
      <w:r w:rsidRPr="00E00355">
        <w:rPr>
          <w:bCs/>
          <w:sz w:val="20"/>
          <w:szCs w:val="20"/>
          <w:lang w:val="es-ES_tradnl"/>
        </w:rPr>
        <w:t>y</w:t>
      </w:r>
      <w:r>
        <w:rPr>
          <w:bCs/>
          <w:sz w:val="20"/>
          <w:szCs w:val="20"/>
          <w:lang w:val="es-ES_tradnl"/>
        </w:rPr>
        <w:t xml:space="preserve"> </w:t>
      </w:r>
      <w:r w:rsidRPr="00E00355">
        <w:rPr>
          <w:bCs/>
          <w:sz w:val="20"/>
          <w:szCs w:val="20"/>
          <w:lang w:val="es-ES_tradnl"/>
        </w:rPr>
        <w:t xml:space="preserve">Suecia. La participación de </w:t>
      </w:r>
      <w:r>
        <w:rPr>
          <w:bCs/>
          <w:sz w:val="20"/>
          <w:szCs w:val="20"/>
          <w:lang w:val="es-ES_tradnl"/>
        </w:rPr>
        <w:t xml:space="preserve">diversos </w:t>
      </w:r>
      <w:r w:rsidRPr="00E00355">
        <w:rPr>
          <w:bCs/>
          <w:sz w:val="20"/>
          <w:szCs w:val="20"/>
          <w:lang w:val="es-ES_tradnl"/>
        </w:rPr>
        <w:t>inversionistas contribuye a la generación de empleo</w:t>
      </w:r>
      <w:r>
        <w:rPr>
          <w:bCs/>
          <w:sz w:val="20"/>
          <w:szCs w:val="20"/>
          <w:lang w:val="es-ES_tradnl"/>
        </w:rPr>
        <w:t>s</w:t>
      </w:r>
      <w:r w:rsidRPr="00E00355">
        <w:rPr>
          <w:bCs/>
          <w:sz w:val="20"/>
          <w:szCs w:val="20"/>
          <w:lang w:val="es-ES_tradnl"/>
        </w:rPr>
        <w:t xml:space="preserve">, al aumento del desarrollo local y a la captación de divisas que refuerzan la </w:t>
      </w:r>
      <w:r>
        <w:rPr>
          <w:bCs/>
          <w:sz w:val="20"/>
          <w:szCs w:val="20"/>
          <w:lang w:val="es-ES_tradnl"/>
        </w:rPr>
        <w:t xml:space="preserve">actividad </w:t>
      </w:r>
      <w:r w:rsidRPr="00E00355">
        <w:rPr>
          <w:bCs/>
          <w:sz w:val="20"/>
          <w:szCs w:val="20"/>
          <w:lang w:val="es-ES_tradnl"/>
        </w:rPr>
        <w:t>econ</w:t>
      </w:r>
      <w:r>
        <w:rPr>
          <w:bCs/>
          <w:sz w:val="20"/>
          <w:szCs w:val="20"/>
          <w:lang w:val="es-ES_tradnl"/>
        </w:rPr>
        <w:t>ó</w:t>
      </w:r>
      <w:r w:rsidRPr="00E00355">
        <w:rPr>
          <w:bCs/>
          <w:sz w:val="20"/>
          <w:szCs w:val="20"/>
          <w:lang w:val="es-ES_tradnl"/>
        </w:rPr>
        <w:t>m</w:t>
      </w:r>
      <w:r>
        <w:rPr>
          <w:bCs/>
          <w:sz w:val="20"/>
          <w:szCs w:val="20"/>
          <w:lang w:val="es-ES_tradnl"/>
        </w:rPr>
        <w:t>ic</w:t>
      </w:r>
      <w:r w:rsidRPr="00E00355">
        <w:rPr>
          <w:bCs/>
          <w:sz w:val="20"/>
          <w:szCs w:val="20"/>
          <w:lang w:val="es-ES_tradnl"/>
        </w:rPr>
        <w:t>a de Tlaxcala.</w:t>
      </w:r>
    </w:p>
    <w:p w14:paraId="3FA8C70D" w14:textId="77777777" w:rsidR="00E00355" w:rsidRPr="00E00355" w:rsidRDefault="00E00355" w:rsidP="00E00355">
      <w:pPr>
        <w:spacing w:line="360" w:lineRule="auto"/>
        <w:jc w:val="both"/>
        <w:rPr>
          <w:bCs/>
          <w:sz w:val="20"/>
          <w:szCs w:val="20"/>
          <w:lang w:val="es-ES_tradnl"/>
        </w:rPr>
      </w:pPr>
    </w:p>
    <w:p w14:paraId="558499A0" w14:textId="59679F74" w:rsidR="00696753" w:rsidRDefault="00696753" w:rsidP="00696753">
      <w:pPr>
        <w:spacing w:line="360" w:lineRule="auto"/>
        <w:jc w:val="both"/>
        <w:rPr>
          <w:bCs/>
          <w:sz w:val="20"/>
          <w:szCs w:val="20"/>
          <w:lang w:val="es-ES_tradnl"/>
        </w:rPr>
      </w:pPr>
      <w:r w:rsidRPr="007D1162">
        <w:rPr>
          <w:bCs/>
          <w:sz w:val="20"/>
          <w:szCs w:val="20"/>
          <w:lang w:val="es-ES_tradnl"/>
        </w:rPr>
        <w:t xml:space="preserve">Al </w:t>
      </w:r>
      <w:r w:rsidR="0042364D">
        <w:rPr>
          <w:bCs/>
          <w:sz w:val="20"/>
          <w:szCs w:val="20"/>
          <w:lang w:val="es-ES_tradnl"/>
        </w:rPr>
        <w:t>primer</w:t>
      </w:r>
      <w:r w:rsidRPr="007D1162">
        <w:rPr>
          <w:bCs/>
          <w:sz w:val="20"/>
          <w:szCs w:val="20"/>
          <w:lang w:val="es-ES_tradnl"/>
        </w:rPr>
        <w:t xml:space="preserve"> trimestre de 20</w:t>
      </w:r>
      <w:r w:rsidR="00B2523F" w:rsidRPr="007D1162">
        <w:rPr>
          <w:bCs/>
          <w:sz w:val="20"/>
          <w:szCs w:val="20"/>
          <w:lang w:val="es-ES_tradnl"/>
        </w:rPr>
        <w:t>2</w:t>
      </w:r>
      <w:r w:rsidR="0042364D">
        <w:rPr>
          <w:bCs/>
          <w:sz w:val="20"/>
          <w:szCs w:val="20"/>
          <w:lang w:val="es-ES_tradnl"/>
        </w:rPr>
        <w:t>5</w:t>
      </w:r>
      <w:r w:rsidRPr="007D1162">
        <w:rPr>
          <w:bCs/>
          <w:sz w:val="20"/>
          <w:szCs w:val="20"/>
          <w:lang w:val="es-ES_tradnl"/>
        </w:rPr>
        <w:t xml:space="preserve">, la Inversión Extranjera Directa Acumulada del año 2006 al mes de </w:t>
      </w:r>
      <w:r w:rsidR="0042364D">
        <w:rPr>
          <w:bCs/>
          <w:sz w:val="20"/>
          <w:szCs w:val="20"/>
          <w:lang w:val="es-ES_tradnl"/>
        </w:rPr>
        <w:t>marzo</w:t>
      </w:r>
      <w:r w:rsidRPr="007D1162">
        <w:rPr>
          <w:bCs/>
          <w:sz w:val="20"/>
          <w:szCs w:val="20"/>
          <w:lang w:val="es-ES_tradnl"/>
        </w:rPr>
        <w:t xml:space="preserve"> de 202</w:t>
      </w:r>
      <w:r w:rsidR="0042364D">
        <w:rPr>
          <w:bCs/>
          <w:sz w:val="20"/>
          <w:szCs w:val="20"/>
          <w:lang w:val="es-ES_tradnl"/>
        </w:rPr>
        <w:t>5</w:t>
      </w:r>
      <w:r w:rsidRPr="007D1162">
        <w:rPr>
          <w:bCs/>
          <w:sz w:val="20"/>
          <w:szCs w:val="20"/>
          <w:lang w:val="es-ES_tradnl"/>
        </w:rPr>
        <w:t xml:space="preserve"> en el Estado de Tlaxcala fue de 3,</w:t>
      </w:r>
      <w:r w:rsidR="0042364D">
        <w:rPr>
          <w:bCs/>
          <w:sz w:val="20"/>
          <w:szCs w:val="20"/>
          <w:lang w:val="es-ES_tradnl"/>
        </w:rPr>
        <w:t>342</w:t>
      </w:r>
      <w:r w:rsidRPr="007D1162">
        <w:rPr>
          <w:bCs/>
          <w:sz w:val="20"/>
          <w:szCs w:val="20"/>
          <w:lang w:val="es-ES_tradnl"/>
        </w:rPr>
        <w:t xml:space="preserve"> millones de dólares, lo que representó un aporte del </w:t>
      </w:r>
      <w:r w:rsidR="00991389" w:rsidRPr="007D1162">
        <w:rPr>
          <w:bCs/>
          <w:sz w:val="20"/>
          <w:szCs w:val="20"/>
          <w:lang w:val="es-ES_tradnl"/>
        </w:rPr>
        <w:t>0.5</w:t>
      </w:r>
      <w:r w:rsidR="0042364D">
        <w:rPr>
          <w:bCs/>
          <w:sz w:val="20"/>
          <w:szCs w:val="20"/>
          <w:lang w:val="es-ES_tradnl"/>
        </w:rPr>
        <w:t>4</w:t>
      </w:r>
      <w:r w:rsidRPr="007D1162">
        <w:rPr>
          <w:bCs/>
          <w:sz w:val="20"/>
          <w:szCs w:val="20"/>
          <w:lang w:val="es-ES_tradnl"/>
        </w:rPr>
        <w:t>% al total nacional, tal y como se observa en el cuadro comparativo siguiente:</w:t>
      </w:r>
    </w:p>
    <w:p w14:paraId="397215FD" w14:textId="77777777" w:rsidR="0042364D" w:rsidRDefault="0042364D" w:rsidP="00696753">
      <w:pPr>
        <w:spacing w:line="360" w:lineRule="auto"/>
        <w:jc w:val="both"/>
        <w:rPr>
          <w:bCs/>
          <w:sz w:val="20"/>
          <w:szCs w:val="20"/>
          <w:lang w:val="es-ES_tradnl"/>
        </w:rPr>
      </w:pPr>
    </w:p>
    <w:p w14:paraId="44A640C1" w14:textId="3E508D33" w:rsidR="0042364D" w:rsidRDefault="0042364D" w:rsidP="00696753">
      <w:pPr>
        <w:spacing w:line="360" w:lineRule="auto"/>
        <w:jc w:val="both"/>
        <w:rPr>
          <w:bCs/>
          <w:sz w:val="20"/>
          <w:szCs w:val="20"/>
          <w:lang w:val="es-ES_tradnl"/>
        </w:rPr>
      </w:pPr>
      <w:r w:rsidRPr="0042364D">
        <w:rPr>
          <w:noProof/>
        </w:rPr>
        <w:lastRenderedPageBreak/>
        <w:drawing>
          <wp:inline distT="0" distB="0" distL="0" distR="0" wp14:anchorId="3F539B89" wp14:editId="1EFD3357">
            <wp:extent cx="5143238" cy="4158244"/>
            <wp:effectExtent l="0" t="0" r="635" b="0"/>
            <wp:docPr id="7006706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9962" cy="4179850"/>
                    </a:xfrm>
                    <a:prstGeom prst="rect">
                      <a:avLst/>
                    </a:prstGeom>
                    <a:noFill/>
                    <a:ln>
                      <a:noFill/>
                    </a:ln>
                  </pic:spPr>
                </pic:pic>
              </a:graphicData>
            </a:graphic>
          </wp:inline>
        </w:drawing>
      </w:r>
    </w:p>
    <w:p w14:paraId="23811CC6" w14:textId="77777777" w:rsidR="00307BBE" w:rsidRDefault="00696753" w:rsidP="00696753">
      <w:pPr>
        <w:spacing w:line="360" w:lineRule="auto"/>
        <w:jc w:val="both"/>
        <w:rPr>
          <w:bCs/>
          <w:sz w:val="20"/>
          <w:szCs w:val="20"/>
          <w:lang w:val="es-ES_tradnl"/>
        </w:rPr>
      </w:pPr>
      <w:r w:rsidRPr="007D1162">
        <w:rPr>
          <w:bCs/>
          <w:sz w:val="20"/>
          <w:szCs w:val="20"/>
          <w:lang w:val="es-ES_tradnl"/>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w:t>
      </w:r>
    </w:p>
    <w:p w14:paraId="5BB3EEC9" w14:textId="77777777" w:rsidR="00307BBE" w:rsidRDefault="00307BBE" w:rsidP="00696753">
      <w:pPr>
        <w:spacing w:line="360" w:lineRule="auto"/>
        <w:jc w:val="both"/>
        <w:rPr>
          <w:bCs/>
          <w:sz w:val="20"/>
          <w:szCs w:val="20"/>
          <w:lang w:val="es-ES_tradnl"/>
        </w:rPr>
      </w:pPr>
    </w:p>
    <w:p w14:paraId="21CD0832" w14:textId="2B39991E" w:rsidR="00696753" w:rsidRPr="007D1162" w:rsidRDefault="00696753" w:rsidP="00696753">
      <w:pPr>
        <w:spacing w:line="360" w:lineRule="auto"/>
        <w:jc w:val="both"/>
        <w:rPr>
          <w:bCs/>
          <w:sz w:val="20"/>
          <w:szCs w:val="20"/>
          <w:lang w:val="es-ES_tradnl"/>
        </w:rPr>
      </w:pPr>
      <w:r w:rsidRPr="007D1162">
        <w:rPr>
          <w:bCs/>
          <w:sz w:val="20"/>
          <w:szCs w:val="20"/>
          <w:lang w:val="es-ES_tradnl"/>
        </w:rPr>
        <w:lastRenderedPageBreak/>
        <w:t>El BIPE tiene como propósito eliminar las condiciones de opacidad en el manejo de los recursos públicos y fomentar buenas prácticas presupuestales. Desde 2008, el IMCO evalúa la calidad de la información presupuestal de los estados sobre la base de un catálogo de buenas prácticas y las normas de contabilidad gubernamental. El BIPE ubica al Estado de Tlaxcala entre las 20 entidades mejor evaluadas en esta materia.</w:t>
      </w:r>
    </w:p>
    <w:p w14:paraId="51C027E0" w14:textId="5D5A06A3" w:rsidR="00696753" w:rsidRPr="008D5C06" w:rsidRDefault="00696753" w:rsidP="00880524">
      <w:pPr>
        <w:spacing w:line="360" w:lineRule="auto"/>
        <w:jc w:val="both"/>
        <w:rPr>
          <w:rFonts w:ascii="Arial" w:hAnsi="Arial" w:cs="Arial"/>
        </w:rPr>
      </w:pPr>
    </w:p>
    <w:p w14:paraId="651F3A87" w14:textId="43B47F71" w:rsidR="00ED73F2" w:rsidRDefault="00ED73F2" w:rsidP="00FD37DE">
      <w:pPr>
        <w:spacing w:line="360" w:lineRule="auto"/>
        <w:jc w:val="both"/>
        <w:rPr>
          <w:bCs/>
          <w:sz w:val="20"/>
          <w:szCs w:val="20"/>
          <w:lang w:val="es-ES_tradnl"/>
        </w:rPr>
      </w:pPr>
      <w:r>
        <w:rPr>
          <w:noProof/>
        </w:rPr>
        <w:drawing>
          <wp:anchor distT="0" distB="0" distL="114300" distR="114300" simplePos="0" relativeHeight="251674624" behindDoc="0" locked="0" layoutInCell="1" allowOverlap="1" wp14:anchorId="5AC5D781" wp14:editId="7E89E3B8">
            <wp:simplePos x="0" y="0"/>
            <wp:positionH relativeFrom="column">
              <wp:posOffset>102732</wp:posOffset>
            </wp:positionH>
            <wp:positionV relativeFrom="paragraph">
              <wp:posOffset>110545</wp:posOffset>
            </wp:positionV>
            <wp:extent cx="1248355" cy="429216"/>
            <wp:effectExtent l="0" t="0" r="0" b="9525"/>
            <wp:wrapNone/>
            <wp:docPr id="1132139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39664" name=""/>
                    <pic:cNvPicPr/>
                  </pic:nvPicPr>
                  <pic:blipFill rotWithShape="1">
                    <a:blip r:embed="rId20" cstate="print">
                      <a:extLst>
                        <a:ext uri="{28A0092B-C50C-407E-A947-70E740481C1C}">
                          <a14:useLocalDpi xmlns:a14="http://schemas.microsoft.com/office/drawing/2010/main" val="0"/>
                        </a:ext>
                      </a:extLst>
                    </a:blip>
                    <a:srcRect l="9897" t="61015" r="65821" b="24142"/>
                    <a:stretch>
                      <a:fillRect/>
                    </a:stretch>
                  </pic:blipFill>
                  <pic:spPr bwMode="auto">
                    <a:xfrm>
                      <a:off x="0" y="0"/>
                      <a:ext cx="1248355" cy="429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32C088" wp14:editId="3CB62735">
            <wp:extent cx="5176071" cy="1089329"/>
            <wp:effectExtent l="0" t="0" r="5715" b="0"/>
            <wp:docPr id="1294391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5400" name=""/>
                    <pic:cNvPicPr/>
                  </pic:nvPicPr>
                  <pic:blipFill rotWithShape="1">
                    <a:blip r:embed="rId21"/>
                    <a:srcRect l="33537" t="27562" r="9666" b="51186"/>
                    <a:stretch>
                      <a:fillRect/>
                    </a:stretch>
                  </pic:blipFill>
                  <pic:spPr bwMode="auto">
                    <a:xfrm>
                      <a:off x="0" y="0"/>
                      <a:ext cx="5268349" cy="11087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CD2866" wp14:editId="2631BE30">
            <wp:extent cx="5181816" cy="1630017"/>
            <wp:effectExtent l="0" t="0" r="0" b="8890"/>
            <wp:docPr id="876735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5400" name=""/>
                    <pic:cNvPicPr/>
                  </pic:nvPicPr>
                  <pic:blipFill rotWithShape="1">
                    <a:blip r:embed="rId21"/>
                    <a:srcRect l="32437" t="49913" r="9666" b="19541"/>
                    <a:stretch>
                      <a:fillRect/>
                    </a:stretch>
                  </pic:blipFill>
                  <pic:spPr bwMode="auto">
                    <a:xfrm>
                      <a:off x="0" y="0"/>
                      <a:ext cx="5233128" cy="1646158"/>
                    </a:xfrm>
                    <a:prstGeom prst="rect">
                      <a:avLst/>
                    </a:prstGeom>
                    <a:ln>
                      <a:noFill/>
                    </a:ln>
                    <a:extLst>
                      <a:ext uri="{53640926-AAD7-44D8-BBD7-CCE9431645EC}">
                        <a14:shadowObscured xmlns:a14="http://schemas.microsoft.com/office/drawing/2010/main"/>
                      </a:ext>
                    </a:extLst>
                  </pic:spPr>
                </pic:pic>
              </a:graphicData>
            </a:graphic>
          </wp:inline>
        </w:drawing>
      </w:r>
    </w:p>
    <w:p w14:paraId="439F8D32" w14:textId="3EB2743E" w:rsidR="00ED73F2" w:rsidRDefault="00ED73F2" w:rsidP="00FD37DE">
      <w:pPr>
        <w:spacing w:line="360" w:lineRule="auto"/>
        <w:jc w:val="both"/>
        <w:rPr>
          <w:bCs/>
          <w:sz w:val="20"/>
          <w:szCs w:val="20"/>
          <w:lang w:val="es-ES_tradnl"/>
        </w:rPr>
      </w:pPr>
      <w:r>
        <w:rPr>
          <w:noProof/>
        </w:rPr>
        <w:drawing>
          <wp:inline distT="0" distB="0" distL="0" distR="0" wp14:anchorId="5F224943" wp14:editId="5AA3D394">
            <wp:extent cx="5205347" cy="333955"/>
            <wp:effectExtent l="0" t="0" r="0" b="9525"/>
            <wp:docPr id="940605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5086" name=""/>
                    <pic:cNvPicPr/>
                  </pic:nvPicPr>
                  <pic:blipFill rotWithShape="1">
                    <a:blip r:embed="rId22"/>
                    <a:srcRect l="8851" t="46436" r="9714" b="44276"/>
                    <a:stretch>
                      <a:fillRect/>
                    </a:stretch>
                  </pic:blipFill>
                  <pic:spPr bwMode="auto">
                    <a:xfrm>
                      <a:off x="0" y="0"/>
                      <a:ext cx="5258185" cy="337345"/>
                    </a:xfrm>
                    <a:prstGeom prst="rect">
                      <a:avLst/>
                    </a:prstGeom>
                    <a:ln>
                      <a:noFill/>
                    </a:ln>
                    <a:extLst>
                      <a:ext uri="{53640926-AAD7-44D8-BBD7-CCE9431645EC}">
                        <a14:shadowObscured xmlns:a14="http://schemas.microsoft.com/office/drawing/2010/main"/>
                      </a:ext>
                    </a:extLst>
                  </pic:spPr>
                </pic:pic>
              </a:graphicData>
            </a:graphic>
          </wp:inline>
        </w:drawing>
      </w:r>
    </w:p>
    <w:p w14:paraId="5F3D3F9E" w14:textId="77777777" w:rsidR="00E00355" w:rsidRDefault="00E00355" w:rsidP="00563A21">
      <w:pPr>
        <w:shd w:val="clear" w:color="auto" w:fill="FFFFFF" w:themeFill="background1"/>
        <w:spacing w:line="360" w:lineRule="auto"/>
        <w:jc w:val="both"/>
        <w:rPr>
          <w:bCs/>
          <w:sz w:val="20"/>
          <w:szCs w:val="20"/>
          <w:lang w:val="es-ES_tradnl"/>
        </w:rPr>
      </w:pPr>
    </w:p>
    <w:p w14:paraId="0325AAB1" w14:textId="6C5E57A8" w:rsidR="00696753" w:rsidRPr="007D1162" w:rsidRDefault="00696753" w:rsidP="00563A21">
      <w:pPr>
        <w:shd w:val="clear" w:color="auto" w:fill="FFFFFF" w:themeFill="background1"/>
        <w:spacing w:line="360" w:lineRule="auto"/>
        <w:jc w:val="both"/>
        <w:rPr>
          <w:bCs/>
          <w:sz w:val="20"/>
          <w:szCs w:val="20"/>
          <w:lang w:val="es-ES_tradnl"/>
        </w:rPr>
      </w:pPr>
      <w:r w:rsidRPr="005B2E2A">
        <w:rPr>
          <w:bCs/>
          <w:sz w:val="20"/>
          <w:szCs w:val="20"/>
          <w:lang w:val="es-ES_tradnl"/>
        </w:rPr>
        <w:t>En materia de ingresos provenientes de fuentes locales</w:t>
      </w:r>
      <w:r w:rsidR="00E1382C" w:rsidRPr="005B2E2A">
        <w:rPr>
          <w:bCs/>
          <w:sz w:val="20"/>
          <w:szCs w:val="20"/>
          <w:lang w:val="es-ES_tradnl"/>
        </w:rPr>
        <w:t>,</w:t>
      </w:r>
      <w:r w:rsidRPr="005B2E2A">
        <w:rPr>
          <w:bCs/>
          <w:sz w:val="20"/>
          <w:szCs w:val="20"/>
          <w:lang w:val="es-ES_tradnl"/>
        </w:rPr>
        <w:t xml:space="preserve"> se estima que para el ejercicio fiscal 202</w:t>
      </w:r>
      <w:r w:rsidR="0042364D" w:rsidRPr="005B2E2A">
        <w:rPr>
          <w:bCs/>
          <w:sz w:val="20"/>
          <w:szCs w:val="20"/>
          <w:lang w:val="es-ES_tradnl"/>
        </w:rPr>
        <w:t>6</w:t>
      </w:r>
      <w:r w:rsidRPr="005B2E2A">
        <w:rPr>
          <w:bCs/>
          <w:sz w:val="20"/>
          <w:szCs w:val="20"/>
          <w:lang w:val="es-ES_tradnl"/>
        </w:rPr>
        <w:t xml:space="preserve">, se tenga una variación </w:t>
      </w:r>
      <w:r w:rsidR="005B2E2A" w:rsidRPr="005B2E2A">
        <w:rPr>
          <w:bCs/>
          <w:sz w:val="20"/>
          <w:szCs w:val="20"/>
          <w:lang w:val="es-ES_tradnl"/>
        </w:rPr>
        <w:t>cercana al 15</w:t>
      </w:r>
      <w:r w:rsidRPr="005B2E2A">
        <w:rPr>
          <w:bCs/>
          <w:sz w:val="20"/>
          <w:szCs w:val="20"/>
          <w:lang w:val="es-ES_tradnl"/>
        </w:rPr>
        <w:t>% con relación a la Ley de Ingresos aprobada para el ejercicio fiscal de 202</w:t>
      </w:r>
      <w:r w:rsidR="0042364D" w:rsidRPr="005B2E2A">
        <w:rPr>
          <w:bCs/>
          <w:sz w:val="20"/>
          <w:szCs w:val="20"/>
          <w:lang w:val="es-ES_tradnl"/>
        </w:rPr>
        <w:t>5</w:t>
      </w:r>
      <w:r w:rsidR="00563A21" w:rsidRPr="005B2E2A">
        <w:rPr>
          <w:bCs/>
          <w:sz w:val="20"/>
          <w:szCs w:val="20"/>
          <w:lang w:val="es-ES_tradnl"/>
        </w:rPr>
        <w:t xml:space="preserve">. </w:t>
      </w:r>
      <w:r w:rsidRPr="005B2E2A">
        <w:rPr>
          <w:bCs/>
          <w:sz w:val="20"/>
          <w:szCs w:val="20"/>
          <w:lang w:val="es-ES_tradnl"/>
        </w:rPr>
        <w:t>En esta estimación se incluyen los ingresos que se esperan captar por parte de los Organismos</w:t>
      </w:r>
      <w:r w:rsidRPr="007D1162">
        <w:rPr>
          <w:bCs/>
          <w:sz w:val="20"/>
          <w:szCs w:val="20"/>
          <w:lang w:val="es-ES_tradnl"/>
        </w:rPr>
        <w:t xml:space="preserve"> Públicos </w:t>
      </w:r>
      <w:r w:rsidRPr="007D1162">
        <w:rPr>
          <w:bCs/>
          <w:sz w:val="20"/>
          <w:szCs w:val="20"/>
          <w:lang w:val="es-ES_tradnl"/>
        </w:rPr>
        <w:lastRenderedPageBreak/>
        <w:t>Descentralizados, por la prestación de servicios inherentes a sus funciones, mismos que serán recaudados a través de la Secretaría de Finanzas.</w:t>
      </w:r>
    </w:p>
    <w:p w14:paraId="5711EA64" w14:textId="77777777" w:rsidR="00696753" w:rsidRPr="007D1162" w:rsidRDefault="00696753" w:rsidP="00696753">
      <w:pPr>
        <w:spacing w:line="360" w:lineRule="auto"/>
        <w:jc w:val="both"/>
        <w:rPr>
          <w:bCs/>
          <w:sz w:val="20"/>
          <w:szCs w:val="20"/>
          <w:lang w:val="es-ES_tradnl"/>
        </w:rPr>
      </w:pPr>
    </w:p>
    <w:p w14:paraId="6559F0F8" w14:textId="67FFAA58" w:rsidR="00696753" w:rsidRPr="008D5C06" w:rsidRDefault="00696753" w:rsidP="00696753">
      <w:pPr>
        <w:spacing w:line="360" w:lineRule="auto"/>
        <w:jc w:val="both"/>
        <w:rPr>
          <w:rFonts w:ascii="Arial" w:hAnsi="Arial" w:cs="Arial"/>
        </w:rPr>
      </w:pPr>
      <w:r w:rsidRPr="008108AB">
        <w:rPr>
          <w:bCs/>
          <w:sz w:val="20"/>
          <w:szCs w:val="20"/>
          <w:lang w:val="es-ES_tradnl"/>
        </w:rPr>
        <w:t xml:space="preserve">En lo que corresponde a participaciones federales referenciadas a la Recaudación Federal Participable en el presente ejercicio (al mes de </w:t>
      </w:r>
      <w:r w:rsidR="00A31B3A" w:rsidRPr="008108AB">
        <w:rPr>
          <w:bCs/>
          <w:sz w:val="20"/>
          <w:szCs w:val="20"/>
          <w:lang w:val="es-ES_tradnl"/>
        </w:rPr>
        <w:t>septiembre</w:t>
      </w:r>
      <w:r w:rsidRPr="008108AB">
        <w:rPr>
          <w:bCs/>
          <w:sz w:val="20"/>
          <w:szCs w:val="20"/>
          <w:lang w:val="es-ES_tradnl"/>
        </w:rPr>
        <w:t xml:space="preserve"> de 202</w:t>
      </w:r>
      <w:r w:rsidR="00BD7387" w:rsidRPr="008108AB">
        <w:rPr>
          <w:bCs/>
          <w:sz w:val="20"/>
          <w:szCs w:val="20"/>
          <w:lang w:val="es-ES_tradnl"/>
        </w:rPr>
        <w:t>5</w:t>
      </w:r>
      <w:r w:rsidRPr="008108AB">
        <w:rPr>
          <w:bCs/>
          <w:sz w:val="20"/>
          <w:szCs w:val="20"/>
          <w:lang w:val="es-ES_tradnl"/>
        </w:rPr>
        <w:t xml:space="preserve">), la distribución por Entidad Federativa, muestra una variación promedio de </w:t>
      </w:r>
      <w:r w:rsidR="008108AB" w:rsidRPr="008108AB">
        <w:rPr>
          <w:bCs/>
          <w:sz w:val="20"/>
          <w:szCs w:val="20"/>
          <w:lang w:val="es-ES_tradnl"/>
        </w:rPr>
        <w:t>1</w:t>
      </w:r>
      <w:r w:rsidR="00A31B3A" w:rsidRPr="008108AB">
        <w:rPr>
          <w:bCs/>
          <w:sz w:val="20"/>
          <w:szCs w:val="20"/>
          <w:lang w:val="es-ES_tradnl"/>
        </w:rPr>
        <w:t>.</w:t>
      </w:r>
      <w:r w:rsidR="008108AB" w:rsidRPr="008108AB">
        <w:rPr>
          <w:bCs/>
          <w:sz w:val="20"/>
          <w:szCs w:val="20"/>
          <w:lang w:val="es-ES_tradnl"/>
        </w:rPr>
        <w:t>44</w:t>
      </w:r>
      <w:r w:rsidRPr="008108AB">
        <w:rPr>
          <w:bCs/>
          <w:sz w:val="20"/>
          <w:szCs w:val="20"/>
          <w:lang w:val="es-ES_tradnl"/>
        </w:rPr>
        <w:t xml:space="preserve">%; Tlaxcala se sitúa con un </w:t>
      </w:r>
      <w:r w:rsidR="00A31B3A" w:rsidRPr="008108AB">
        <w:rPr>
          <w:bCs/>
          <w:sz w:val="20"/>
          <w:szCs w:val="20"/>
          <w:lang w:val="es-ES_tradnl"/>
        </w:rPr>
        <w:t>-0.</w:t>
      </w:r>
      <w:r w:rsidR="008108AB" w:rsidRPr="008108AB">
        <w:rPr>
          <w:bCs/>
          <w:sz w:val="20"/>
          <w:szCs w:val="20"/>
          <w:lang w:val="es-ES_tradnl"/>
        </w:rPr>
        <w:t>40</w:t>
      </w:r>
      <w:r w:rsidRPr="008108AB">
        <w:rPr>
          <w:bCs/>
          <w:sz w:val="20"/>
          <w:szCs w:val="20"/>
          <w:lang w:val="es-ES_tradnl"/>
        </w:rPr>
        <w:t>%; esto derivado de la recaudación de los impuestos y derechos locales (incluye</w:t>
      </w:r>
      <w:r w:rsidRPr="008108AB">
        <w:rPr>
          <w:rFonts w:ascii="Arial" w:hAnsi="Arial" w:cs="Arial"/>
        </w:rPr>
        <w:t xml:space="preserve"> </w:t>
      </w:r>
      <w:r w:rsidRPr="008108AB">
        <w:rPr>
          <w:bCs/>
          <w:sz w:val="20"/>
          <w:szCs w:val="20"/>
          <w:lang w:val="es-ES_tradnl"/>
        </w:rPr>
        <w:t>predial y agua municipal) en los periodos 202</w:t>
      </w:r>
      <w:r w:rsidR="008108AB" w:rsidRPr="008108AB">
        <w:rPr>
          <w:bCs/>
          <w:sz w:val="20"/>
          <w:szCs w:val="20"/>
          <w:lang w:val="es-ES_tradnl"/>
        </w:rPr>
        <w:t>3</w:t>
      </w:r>
      <w:r w:rsidRPr="008108AB">
        <w:rPr>
          <w:bCs/>
          <w:sz w:val="20"/>
          <w:szCs w:val="20"/>
          <w:lang w:val="es-ES_tradnl"/>
        </w:rPr>
        <w:t>-202</w:t>
      </w:r>
      <w:r w:rsidR="008108AB" w:rsidRPr="008108AB">
        <w:rPr>
          <w:bCs/>
          <w:sz w:val="20"/>
          <w:szCs w:val="20"/>
          <w:lang w:val="es-ES_tradnl"/>
        </w:rPr>
        <w:t>4</w:t>
      </w:r>
      <w:r w:rsidR="00503227">
        <w:rPr>
          <w:bCs/>
          <w:sz w:val="20"/>
          <w:szCs w:val="20"/>
          <w:lang w:val="es-ES_tradnl"/>
        </w:rPr>
        <w:t>,</w:t>
      </w:r>
      <w:r w:rsidRPr="008108AB">
        <w:rPr>
          <w:bCs/>
          <w:sz w:val="20"/>
          <w:szCs w:val="20"/>
          <w:lang w:val="es-ES_tradnl"/>
        </w:rPr>
        <w:t xml:space="preserve"> tal </w:t>
      </w:r>
      <w:r w:rsidR="00503227">
        <w:rPr>
          <w:bCs/>
          <w:sz w:val="20"/>
          <w:szCs w:val="20"/>
          <w:lang w:val="es-ES_tradnl"/>
        </w:rPr>
        <w:t xml:space="preserve">y </w:t>
      </w:r>
      <w:r w:rsidRPr="008108AB">
        <w:rPr>
          <w:bCs/>
          <w:sz w:val="20"/>
          <w:szCs w:val="20"/>
          <w:lang w:val="es-ES_tradnl"/>
        </w:rPr>
        <w:t>como se aprecia en el gráfico siguiente:</w:t>
      </w:r>
      <w:r w:rsidRPr="008D5C06">
        <w:rPr>
          <w:rFonts w:ascii="Arial" w:hAnsi="Arial" w:cs="Arial"/>
        </w:rPr>
        <w:t xml:space="preserve"> </w:t>
      </w:r>
    </w:p>
    <w:p w14:paraId="467E477D" w14:textId="77777777" w:rsidR="00696753" w:rsidRPr="00FD37DE" w:rsidRDefault="00696753" w:rsidP="00696753">
      <w:pPr>
        <w:spacing w:line="360" w:lineRule="auto"/>
        <w:jc w:val="both"/>
        <w:rPr>
          <w:bCs/>
          <w:sz w:val="20"/>
          <w:szCs w:val="20"/>
          <w:lang w:val="es-ES_tradnl"/>
        </w:rPr>
      </w:pPr>
    </w:p>
    <w:p w14:paraId="758967BD" w14:textId="424110EA" w:rsidR="00696753" w:rsidRPr="00503227" w:rsidRDefault="00696753" w:rsidP="00906252">
      <w:pPr>
        <w:spacing w:line="360" w:lineRule="auto"/>
        <w:jc w:val="center"/>
        <w:rPr>
          <w:rFonts w:ascii="Arial" w:hAnsi="Arial" w:cs="Arial"/>
          <w:b/>
          <w:sz w:val="14"/>
        </w:rPr>
      </w:pPr>
      <w:r w:rsidRPr="00503227">
        <w:rPr>
          <w:rFonts w:ascii="Arial" w:hAnsi="Arial" w:cs="Arial"/>
          <w:noProof/>
          <w:lang w:eastAsia="en-US"/>
        </w:rPr>
        <mc:AlternateContent>
          <mc:Choice Requires="wps">
            <w:drawing>
              <wp:anchor distT="0" distB="0" distL="114300" distR="114300" simplePos="0" relativeHeight="251673600" behindDoc="0" locked="0" layoutInCell="1" allowOverlap="1" wp14:anchorId="3DB6F4B4" wp14:editId="70970AF4">
                <wp:simplePos x="0" y="0"/>
                <wp:positionH relativeFrom="column">
                  <wp:posOffset>4243070</wp:posOffset>
                </wp:positionH>
                <wp:positionV relativeFrom="paragraph">
                  <wp:posOffset>1081405</wp:posOffset>
                </wp:positionV>
                <wp:extent cx="120650" cy="174625"/>
                <wp:effectExtent l="19050" t="0" r="31750" b="34925"/>
                <wp:wrapNone/>
                <wp:docPr id="338881923"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650" cy="174625"/>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47E28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34.1pt;margin-top:85.15pt;width:9.5pt;height:13.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" adj="14138" fillcolor="#c00000" strokecolor="#c00000" strokeweight="1pt">
                <v:path arrowok="t"/>
              </v:shape>
            </w:pict>
          </mc:Fallback>
        </mc:AlternateContent>
      </w:r>
      <w:r w:rsidR="008108AB" w:rsidRPr="00503227">
        <w:rPr>
          <w:rFonts w:ascii="Arial" w:hAnsi="Arial" w:cs="Arial"/>
          <w:b/>
          <w:noProof/>
          <w:sz w:val="14"/>
        </w:rPr>
        <w:drawing>
          <wp:inline distT="0" distB="0" distL="0" distR="0" wp14:anchorId="32C62350" wp14:editId="77136CC3">
            <wp:extent cx="4749017" cy="24187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5" t="11456" r="4982" b="7702"/>
                    <a:stretch>
                      <a:fillRect/>
                    </a:stretch>
                  </pic:blipFill>
                  <pic:spPr bwMode="auto">
                    <a:xfrm>
                      <a:off x="0" y="0"/>
                      <a:ext cx="4752750" cy="2420616"/>
                    </a:xfrm>
                    <a:prstGeom prst="rect">
                      <a:avLst/>
                    </a:prstGeom>
                    <a:noFill/>
                    <a:ln>
                      <a:noFill/>
                    </a:ln>
                    <a:extLst>
                      <a:ext uri="{53640926-AAD7-44D8-BBD7-CCE9431645EC}">
                        <a14:shadowObscured xmlns:a14="http://schemas.microsoft.com/office/drawing/2010/main"/>
                      </a:ext>
                    </a:extLst>
                  </pic:spPr>
                </pic:pic>
              </a:graphicData>
            </a:graphic>
          </wp:inline>
        </w:drawing>
      </w:r>
    </w:p>
    <w:p w14:paraId="335DBBFE" w14:textId="77777777" w:rsidR="00696753" w:rsidRPr="00906252" w:rsidRDefault="00696753" w:rsidP="00696753">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2E01BC57" w14:textId="77777777" w:rsidR="00696753" w:rsidRPr="008D5C06" w:rsidRDefault="00696753" w:rsidP="00696753">
      <w:pPr>
        <w:spacing w:line="360" w:lineRule="auto"/>
        <w:jc w:val="both"/>
        <w:rPr>
          <w:rFonts w:ascii="Arial" w:hAnsi="Arial" w:cs="Arial"/>
          <w:b/>
          <w:sz w:val="14"/>
          <w:highlight w:val="yellow"/>
        </w:rPr>
      </w:pPr>
    </w:p>
    <w:p w14:paraId="13A330DF" w14:textId="388A9747" w:rsidR="00696753" w:rsidRPr="007D1162" w:rsidRDefault="00696753" w:rsidP="00696753">
      <w:pPr>
        <w:spacing w:line="360" w:lineRule="auto"/>
        <w:jc w:val="both"/>
        <w:rPr>
          <w:bCs/>
          <w:sz w:val="20"/>
          <w:szCs w:val="20"/>
          <w:lang w:val="es-ES_tradnl"/>
        </w:rPr>
      </w:pPr>
      <w:r w:rsidRPr="008108AB">
        <w:rPr>
          <w:bCs/>
          <w:sz w:val="20"/>
          <w:szCs w:val="20"/>
          <w:lang w:val="es-ES_tradnl"/>
        </w:rPr>
        <w:t>Para el ejercicio fiscal 202</w:t>
      </w:r>
      <w:r w:rsidR="0042364D" w:rsidRPr="008108AB">
        <w:rPr>
          <w:bCs/>
          <w:sz w:val="20"/>
          <w:szCs w:val="20"/>
          <w:lang w:val="es-ES_tradnl"/>
        </w:rPr>
        <w:t>6</w:t>
      </w:r>
      <w:r w:rsidRPr="008108AB">
        <w:rPr>
          <w:bCs/>
          <w:sz w:val="20"/>
          <w:szCs w:val="20"/>
          <w:lang w:val="es-ES_tradnl"/>
        </w:rPr>
        <w:t xml:space="preserve">, se prevé una variación del </w:t>
      </w:r>
      <w:r w:rsidR="008108AB" w:rsidRPr="008108AB">
        <w:rPr>
          <w:bCs/>
          <w:sz w:val="20"/>
          <w:szCs w:val="20"/>
          <w:lang w:val="es-ES_tradnl"/>
        </w:rPr>
        <w:t>9.83</w:t>
      </w:r>
      <w:r w:rsidRPr="008108AB">
        <w:rPr>
          <w:bCs/>
          <w:sz w:val="20"/>
          <w:szCs w:val="20"/>
          <w:lang w:val="es-ES_tradnl"/>
        </w:rPr>
        <w:t>% en las participaciones federales</w:t>
      </w:r>
      <w:r w:rsidR="00281FE2" w:rsidRPr="008108AB">
        <w:rPr>
          <w:bCs/>
          <w:sz w:val="20"/>
          <w:szCs w:val="20"/>
          <w:lang w:val="es-ES_tradnl"/>
        </w:rPr>
        <w:t xml:space="preserve"> e incentivos económicos</w:t>
      </w:r>
      <w:r w:rsidRPr="008108AB">
        <w:rPr>
          <w:bCs/>
          <w:sz w:val="20"/>
          <w:szCs w:val="20"/>
          <w:lang w:val="es-ES_tradnl"/>
        </w:rPr>
        <w:t>, respecto de las cifras autorizadas en la Ley de Ingresos del Estado de Tlaxcala para el Ejercicio Fiscal 202</w:t>
      </w:r>
      <w:r w:rsidR="0042364D" w:rsidRPr="008108AB">
        <w:rPr>
          <w:bCs/>
          <w:sz w:val="20"/>
          <w:szCs w:val="20"/>
          <w:lang w:val="es-ES_tradnl"/>
        </w:rPr>
        <w:t>5</w:t>
      </w:r>
      <w:r w:rsidRPr="008108AB">
        <w:rPr>
          <w:bCs/>
          <w:sz w:val="20"/>
          <w:szCs w:val="20"/>
          <w:lang w:val="es-ES_tradnl"/>
        </w:rPr>
        <w:t>, tal y como se muestra en la gráfica siguiente:</w:t>
      </w:r>
    </w:p>
    <w:p w14:paraId="32322201" w14:textId="6400BA43" w:rsidR="00906252" w:rsidRPr="00016BF7" w:rsidRDefault="008108AB" w:rsidP="00906252">
      <w:pPr>
        <w:spacing w:line="360" w:lineRule="auto"/>
        <w:jc w:val="center"/>
        <w:rPr>
          <w:rFonts w:ascii="Arial" w:hAnsi="Arial" w:cs="Arial"/>
          <w:b/>
          <w:color w:val="E2D4EC"/>
          <w:sz w:val="14"/>
        </w:rPr>
      </w:pPr>
      <w:r>
        <w:rPr>
          <w:noProof/>
        </w:rPr>
        <w:lastRenderedPageBreak/>
        <mc:AlternateContent>
          <mc:Choice Requires="wps">
            <w:drawing>
              <wp:anchor distT="0" distB="0" distL="114300" distR="114300" simplePos="0" relativeHeight="251676672" behindDoc="0" locked="0" layoutInCell="1" allowOverlap="1" wp14:anchorId="5E79533C" wp14:editId="1A7ED943">
                <wp:simplePos x="0" y="0"/>
                <wp:positionH relativeFrom="column">
                  <wp:posOffset>1939925</wp:posOffset>
                </wp:positionH>
                <wp:positionV relativeFrom="paragraph">
                  <wp:posOffset>483870</wp:posOffset>
                </wp:positionV>
                <wp:extent cx="1152525" cy="301625"/>
                <wp:effectExtent l="0" t="0" r="0" b="0"/>
                <wp:wrapNone/>
                <wp:docPr id="7" name="1 CuadroTexto">
                  <a:extLst xmlns:a="http://schemas.openxmlformats.org/drawingml/2006/main">
                    <a:ext uri="{FF2B5EF4-FFF2-40B4-BE49-F238E27FC236}">
                      <a16:creationId xmlns:a16="http://schemas.microsoft.com/office/drawing/2014/main" id="{B74B03BB-83F2-0705-0A1B-D990CAAA134E}"/>
                    </a:ext>
                  </a:extLst>
                </wp:docPr>
                <wp:cNvGraphicFramePr/>
                <a:graphic xmlns:a="http://schemas.openxmlformats.org/drawingml/2006/main">
                  <a:graphicData uri="http://schemas.microsoft.com/office/word/2010/wordprocessingShape">
                    <wps:wsp>
                      <wps:cNvSpPr txBox="1"/>
                      <wps:spPr>
                        <a:xfrm>
                          <a:off x="0" y="0"/>
                          <a:ext cx="1152525" cy="301625"/>
                        </a:xfrm>
                        <a:prstGeom prst="rect">
                          <a:avLst/>
                        </a:prstGeom>
                      </wps:spPr>
                      <wps:txbx>
                        <w:txbxContent>
                          <w:p w14:paraId="627A9C09" w14:textId="77777777" w:rsidR="008108AB" w:rsidRPr="00016BF7" w:rsidRDefault="008108AB" w:rsidP="008108AB">
                            <w:pPr>
                              <w:jc w:val="center"/>
                              <w:rPr>
                                <w:rFonts w:asciiTheme="minorHAnsi" w:hAnsi="Calibri" w:cstheme="minorBidi"/>
                                <w:b/>
                                <w:bCs/>
                                <w:color w:val="000000"/>
                                <w:sz w:val="20"/>
                                <w:szCs w:val="20"/>
                              </w:rPr>
                            </w:pPr>
                            <w:r w:rsidRPr="00016BF7">
                              <w:rPr>
                                <w:rFonts w:asciiTheme="minorHAnsi" w:hAnsi="Calibri" w:cstheme="minorBidi"/>
                                <w:b/>
                                <w:bCs/>
                                <w:color w:val="000000"/>
                                <w:sz w:val="20"/>
                                <w:szCs w:val="20"/>
                              </w:rPr>
                              <w:t>9.83%</w:t>
                            </w:r>
                          </w:p>
                        </w:txbxContent>
                      </wps:txbx>
                      <wps:bodyPr wrap="square" rtlCol="0"/>
                    </wps:wsp>
                  </a:graphicData>
                </a:graphic>
              </wp:anchor>
            </w:drawing>
          </mc:Choice>
          <mc:Fallback xmlns:w16sdtfl="http://schemas.microsoft.com/office/word/2024/wordml/sdtformatlock" xmlns:w16du="http://schemas.microsoft.com/office/word/2023/wordml/word16du">
            <w:pict>
              <v:shape w14:anchorId="5E79533C" id="1 CuadroTexto" o:spid="_x0000_s1027" type="#_x0000_t202" style="position:absolute;left:0;text-align:left;margin-left:152.75pt;margin-top:38.1pt;width:90.75pt;height:23.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" filled="f" stroked="f">
                <v:textbox>
                  <w:txbxContent>
                    <w:p w14:paraId="627A9C09" w14:textId="77777777" w:rsidR="008108AB" w:rsidRPr="00016BF7" w:rsidRDefault="008108AB" w:rsidP="008108AB">
                      <w:pPr>
                        <w:jc w:val="center"/>
                        <w:rPr>
                          <w:rFonts w:asciiTheme="minorHAnsi" w:hAnsi="Calibri" w:cstheme="minorBidi"/>
                          <w:b/>
                          <w:bCs/>
                          <w:color w:val="000000"/>
                          <w:sz w:val="20"/>
                          <w:szCs w:val="20"/>
                        </w:rPr>
                      </w:pPr>
                      <w:r w:rsidRPr="00016BF7">
                        <w:rPr>
                          <w:rFonts w:asciiTheme="minorHAnsi" w:hAnsi="Calibri" w:cstheme="minorBidi"/>
                          <w:b/>
                          <w:bCs/>
                          <w:color w:val="000000"/>
                          <w:sz w:val="20"/>
                          <w:szCs w:val="20"/>
                        </w:rPr>
                        <w:t>9.83%</w:t>
                      </w:r>
                    </w:p>
                  </w:txbxContent>
                </v:textbox>
              </v:shape>
            </w:pict>
          </mc:Fallback>
        </mc:AlternateContent>
      </w:r>
      <w:r w:rsidR="00016BF7">
        <w:rPr>
          <w:noProof/>
        </w:rPr>
        <w:drawing>
          <wp:inline distT="0" distB="0" distL="0" distR="0" wp14:anchorId="0AF68372" wp14:editId="5D9CAA86">
            <wp:extent cx="4972685" cy="2733788"/>
            <wp:effectExtent l="0" t="0" r="0" b="0"/>
            <wp:docPr id="1" name="Gráfico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C077B6" w14:textId="74C7DB39" w:rsidR="00906252" w:rsidRPr="00906252" w:rsidRDefault="00906252" w:rsidP="00906252">
      <w:pPr>
        <w:spacing w:line="360" w:lineRule="auto"/>
        <w:jc w:val="both"/>
        <w:rPr>
          <w:rFonts w:ascii="Arial" w:hAnsi="Arial" w:cs="Arial"/>
          <w:b/>
          <w:sz w:val="12"/>
          <w:szCs w:val="22"/>
        </w:rPr>
      </w:pPr>
      <w:r w:rsidRPr="008D5C06">
        <w:rPr>
          <w:rFonts w:ascii="Arial" w:hAnsi="Arial" w:cs="Arial"/>
          <w:b/>
          <w:sz w:val="14"/>
        </w:rPr>
        <w:t xml:space="preserve">Fuente: </w:t>
      </w:r>
      <w:r w:rsidRPr="00906252">
        <w:rPr>
          <w:rFonts w:ascii="Arial" w:hAnsi="Arial" w:cs="Arial"/>
          <w:b/>
          <w:sz w:val="12"/>
          <w:szCs w:val="22"/>
        </w:rPr>
        <w:t>Elaboración propia DCGCH.</w:t>
      </w:r>
    </w:p>
    <w:p w14:paraId="00DE02C0" w14:textId="77777777" w:rsidR="00016BF7" w:rsidRDefault="00016BF7" w:rsidP="00696753">
      <w:pPr>
        <w:spacing w:line="360" w:lineRule="auto"/>
        <w:jc w:val="both"/>
        <w:rPr>
          <w:bCs/>
          <w:sz w:val="20"/>
          <w:szCs w:val="20"/>
          <w:lang w:val="es-ES_tradnl"/>
        </w:rPr>
      </w:pPr>
    </w:p>
    <w:p w14:paraId="735990C3" w14:textId="359DC6BD" w:rsidR="00696753" w:rsidRPr="007D1162" w:rsidRDefault="00696753" w:rsidP="00696753">
      <w:pPr>
        <w:spacing w:line="360" w:lineRule="auto"/>
        <w:jc w:val="both"/>
        <w:rPr>
          <w:bCs/>
          <w:sz w:val="20"/>
          <w:szCs w:val="20"/>
          <w:lang w:val="es-ES_tradnl"/>
        </w:rPr>
      </w:pPr>
      <w:r w:rsidRPr="008108AB">
        <w:rPr>
          <w:bCs/>
          <w:sz w:val="20"/>
          <w:szCs w:val="20"/>
          <w:lang w:val="es-ES_tradnl"/>
        </w:rPr>
        <w:t xml:space="preserve">En el caso de las aportaciones federales, se espera un </w:t>
      </w:r>
      <w:r w:rsidR="00503227">
        <w:rPr>
          <w:bCs/>
          <w:sz w:val="20"/>
          <w:szCs w:val="20"/>
          <w:lang w:val="es-ES_tradnl"/>
        </w:rPr>
        <w:t xml:space="preserve">crecimiento </w:t>
      </w:r>
      <w:r w:rsidR="008108AB" w:rsidRPr="008108AB">
        <w:rPr>
          <w:bCs/>
          <w:sz w:val="20"/>
          <w:szCs w:val="20"/>
          <w:lang w:val="es-ES_tradnl"/>
        </w:rPr>
        <w:t>moderado</w:t>
      </w:r>
      <w:r w:rsidRPr="008108AB">
        <w:rPr>
          <w:bCs/>
          <w:sz w:val="20"/>
          <w:szCs w:val="20"/>
          <w:lang w:val="es-ES_tradnl"/>
        </w:rPr>
        <w:t xml:space="preserve">, </w:t>
      </w:r>
      <w:r w:rsidR="00812CCB" w:rsidRPr="008108AB">
        <w:rPr>
          <w:bCs/>
          <w:sz w:val="20"/>
          <w:szCs w:val="20"/>
          <w:lang w:val="es-ES_tradnl"/>
        </w:rPr>
        <w:t xml:space="preserve">derivado de la aportación al IMSS Bienestar, y considerando </w:t>
      </w:r>
      <w:r w:rsidRPr="008108AB">
        <w:rPr>
          <w:bCs/>
          <w:sz w:val="20"/>
          <w:szCs w:val="20"/>
          <w:lang w:val="es-ES_tradnl"/>
        </w:rPr>
        <w:t xml:space="preserve">que son recursos </w:t>
      </w:r>
      <w:r w:rsidR="00503227">
        <w:rPr>
          <w:bCs/>
          <w:sz w:val="20"/>
          <w:szCs w:val="20"/>
          <w:lang w:val="es-ES_tradnl"/>
        </w:rPr>
        <w:t xml:space="preserve">con un destino específico o </w:t>
      </w:r>
      <w:r w:rsidRPr="008108AB">
        <w:rPr>
          <w:bCs/>
          <w:sz w:val="20"/>
          <w:szCs w:val="20"/>
          <w:lang w:val="es-ES_tradnl"/>
        </w:rPr>
        <w:t>etiquetados</w:t>
      </w:r>
      <w:r w:rsidR="00503227">
        <w:rPr>
          <w:bCs/>
          <w:sz w:val="20"/>
          <w:szCs w:val="20"/>
          <w:lang w:val="es-ES_tradnl"/>
        </w:rPr>
        <w:t xml:space="preserve">, por lo que </w:t>
      </w:r>
      <w:r w:rsidRPr="008108AB">
        <w:rPr>
          <w:bCs/>
          <w:sz w:val="20"/>
          <w:szCs w:val="20"/>
          <w:lang w:val="es-ES_tradnl"/>
        </w:rPr>
        <w:t xml:space="preserve">se estima una variación </w:t>
      </w:r>
      <w:r w:rsidR="008108AB" w:rsidRPr="008108AB">
        <w:rPr>
          <w:bCs/>
          <w:sz w:val="20"/>
          <w:szCs w:val="20"/>
          <w:lang w:val="es-ES_tradnl"/>
        </w:rPr>
        <w:t>de</w:t>
      </w:r>
      <w:r w:rsidR="00503227">
        <w:rPr>
          <w:bCs/>
          <w:sz w:val="20"/>
          <w:szCs w:val="20"/>
          <w:lang w:val="es-ES_tradnl"/>
        </w:rPr>
        <w:t>l</w:t>
      </w:r>
      <w:r w:rsidRPr="008108AB">
        <w:rPr>
          <w:bCs/>
          <w:sz w:val="20"/>
          <w:szCs w:val="20"/>
          <w:lang w:val="es-ES_tradnl"/>
        </w:rPr>
        <w:t xml:space="preserve"> </w:t>
      </w:r>
      <w:r w:rsidR="008108AB" w:rsidRPr="008108AB">
        <w:rPr>
          <w:bCs/>
          <w:sz w:val="20"/>
          <w:szCs w:val="20"/>
          <w:lang w:val="es-ES_tradnl"/>
        </w:rPr>
        <w:t>3</w:t>
      </w:r>
      <w:r w:rsidR="005563A4" w:rsidRPr="008108AB">
        <w:rPr>
          <w:bCs/>
          <w:sz w:val="20"/>
          <w:szCs w:val="20"/>
          <w:lang w:val="es-ES_tradnl"/>
        </w:rPr>
        <w:t>.</w:t>
      </w:r>
      <w:r w:rsidR="00812CCB" w:rsidRPr="008108AB">
        <w:rPr>
          <w:bCs/>
          <w:sz w:val="20"/>
          <w:szCs w:val="20"/>
          <w:lang w:val="es-ES_tradnl"/>
        </w:rPr>
        <w:t>77</w:t>
      </w:r>
      <w:r w:rsidRPr="008108AB">
        <w:rPr>
          <w:bCs/>
          <w:sz w:val="20"/>
          <w:szCs w:val="20"/>
          <w:lang w:val="es-ES_tradnl"/>
        </w:rPr>
        <w:t xml:space="preserve">% con relación a las cifras aprobadas </w:t>
      </w:r>
      <w:r w:rsidR="00503227">
        <w:rPr>
          <w:bCs/>
          <w:sz w:val="20"/>
          <w:szCs w:val="20"/>
          <w:lang w:val="es-ES_tradnl"/>
        </w:rPr>
        <w:t>para</w:t>
      </w:r>
      <w:r w:rsidRPr="008108AB">
        <w:rPr>
          <w:bCs/>
          <w:sz w:val="20"/>
          <w:szCs w:val="20"/>
          <w:lang w:val="es-ES_tradnl"/>
        </w:rPr>
        <w:t xml:space="preserve"> el ejercicio fiscal 202</w:t>
      </w:r>
      <w:r w:rsidR="008108AB" w:rsidRPr="008108AB">
        <w:rPr>
          <w:bCs/>
          <w:sz w:val="20"/>
          <w:szCs w:val="20"/>
          <w:lang w:val="es-ES_tradnl"/>
        </w:rPr>
        <w:t>5</w:t>
      </w:r>
      <w:r w:rsidRPr="008108AB">
        <w:rPr>
          <w:bCs/>
          <w:sz w:val="20"/>
          <w:szCs w:val="20"/>
          <w:lang w:val="es-ES_tradnl"/>
        </w:rPr>
        <w:t xml:space="preserve">, como se </w:t>
      </w:r>
      <w:r w:rsidR="00503227">
        <w:rPr>
          <w:bCs/>
          <w:sz w:val="20"/>
          <w:szCs w:val="20"/>
          <w:lang w:val="es-ES_tradnl"/>
        </w:rPr>
        <w:t>representa</w:t>
      </w:r>
      <w:r w:rsidRPr="008108AB">
        <w:rPr>
          <w:bCs/>
          <w:sz w:val="20"/>
          <w:szCs w:val="20"/>
          <w:lang w:val="es-ES_tradnl"/>
        </w:rPr>
        <w:t xml:space="preserve"> a continuación:</w:t>
      </w:r>
      <w:r w:rsidRPr="007D1162">
        <w:rPr>
          <w:bCs/>
          <w:sz w:val="20"/>
          <w:szCs w:val="20"/>
          <w:lang w:val="es-ES_tradnl"/>
        </w:rPr>
        <w:t xml:space="preserve"> </w:t>
      </w:r>
    </w:p>
    <w:p w14:paraId="3036E294" w14:textId="1792180D" w:rsidR="00F25AAD" w:rsidRPr="00292FD1" w:rsidRDefault="008108AB" w:rsidP="00FD37DE">
      <w:pPr>
        <w:spacing w:line="360" w:lineRule="auto"/>
        <w:jc w:val="center"/>
        <w:rPr>
          <w:rFonts w:ascii="Arial" w:hAnsi="Arial" w:cs="Arial"/>
          <w:lang w:val="es-ES_tradnl"/>
        </w:rPr>
      </w:pPr>
      <w:r>
        <w:rPr>
          <w:rFonts w:ascii="Arial" w:hAnsi="Arial" w:cs="Arial"/>
          <w:noProof/>
          <w:lang w:val="es-ES_tradnl"/>
        </w:rPr>
        <w:lastRenderedPageBreak/>
        <w:drawing>
          <wp:inline distT="0" distB="0" distL="0" distR="0" wp14:anchorId="10236021" wp14:editId="4FF78F33">
            <wp:extent cx="4796918" cy="2633472"/>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851" cy="2635631"/>
                    </a:xfrm>
                    <a:prstGeom prst="rect">
                      <a:avLst/>
                    </a:prstGeom>
                    <a:noFill/>
                  </pic:spPr>
                </pic:pic>
              </a:graphicData>
            </a:graphic>
          </wp:inline>
        </w:drawing>
      </w:r>
    </w:p>
    <w:p w14:paraId="7AACA9AA" w14:textId="77777777" w:rsidR="0092056F" w:rsidRPr="00906252" w:rsidRDefault="0092056F" w:rsidP="0092056F">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53AE5C5F" w14:textId="76E85681" w:rsidR="00696753" w:rsidRDefault="00696753" w:rsidP="00696753">
      <w:pPr>
        <w:spacing w:line="360" w:lineRule="auto"/>
        <w:jc w:val="both"/>
        <w:rPr>
          <w:sz w:val="20"/>
          <w:szCs w:val="20"/>
          <w:lang w:val="es-ES"/>
        </w:rPr>
      </w:pPr>
      <w:bookmarkStart w:id="7" w:name="_Hlk182993553"/>
      <w:r w:rsidRPr="009C2CC6">
        <w:rPr>
          <w:sz w:val="20"/>
          <w:szCs w:val="20"/>
          <w:lang w:val="es-ES"/>
        </w:rPr>
        <w:t>Para el ejercicio fiscal 202</w:t>
      </w:r>
      <w:r w:rsidR="0042364D" w:rsidRPr="009C2CC6">
        <w:rPr>
          <w:sz w:val="20"/>
          <w:szCs w:val="20"/>
          <w:lang w:val="es-ES"/>
        </w:rPr>
        <w:t>6</w:t>
      </w:r>
      <w:r w:rsidRPr="009C2CC6">
        <w:rPr>
          <w:sz w:val="20"/>
          <w:szCs w:val="20"/>
          <w:lang w:val="es-ES"/>
        </w:rPr>
        <w:t xml:space="preserve">, se prevé obtener un total de ingresos para el Estado de Tlaxcala por </w:t>
      </w:r>
      <w:r w:rsidR="0013099F" w:rsidRPr="009C2CC6">
        <w:rPr>
          <w:sz w:val="20"/>
          <w:szCs w:val="20"/>
          <w:lang w:val="es-ES"/>
        </w:rPr>
        <w:t>$</w:t>
      </w:r>
      <w:r w:rsidR="009C2CC6" w:rsidRPr="009C2CC6">
        <w:rPr>
          <w:sz w:val="20"/>
          <w:szCs w:val="20"/>
          <w:lang w:val="es-ES"/>
        </w:rPr>
        <w:t>30</w:t>
      </w:r>
      <w:r w:rsidR="004C1739" w:rsidRPr="009C2CC6">
        <w:rPr>
          <w:sz w:val="20"/>
          <w:szCs w:val="20"/>
          <w:lang w:val="es-ES"/>
        </w:rPr>
        <w:t>,</w:t>
      </w:r>
      <w:r w:rsidR="009C2CC6" w:rsidRPr="009C2CC6">
        <w:rPr>
          <w:sz w:val="20"/>
          <w:szCs w:val="20"/>
          <w:lang w:val="es-ES"/>
        </w:rPr>
        <w:t>086</w:t>
      </w:r>
      <w:r w:rsidR="004C1739" w:rsidRPr="009C2CC6">
        <w:rPr>
          <w:sz w:val="20"/>
          <w:szCs w:val="20"/>
          <w:lang w:val="es-ES"/>
        </w:rPr>
        <w:t>,079,0</w:t>
      </w:r>
      <w:r w:rsidR="009C2CC6" w:rsidRPr="009C2CC6">
        <w:rPr>
          <w:sz w:val="20"/>
          <w:szCs w:val="20"/>
          <w:lang w:val="es-ES"/>
        </w:rPr>
        <w:t>2</w:t>
      </w:r>
      <w:r w:rsidR="004C1739" w:rsidRPr="009C2CC6">
        <w:rPr>
          <w:sz w:val="20"/>
          <w:szCs w:val="20"/>
          <w:lang w:val="es-ES"/>
        </w:rPr>
        <w:t>8 00/100 M.N.</w:t>
      </w:r>
      <w:r w:rsidRPr="009C2CC6">
        <w:rPr>
          <w:sz w:val="20"/>
          <w:szCs w:val="20"/>
          <w:lang w:val="es-ES"/>
        </w:rPr>
        <w:t xml:space="preserve">, provenientes de fuentes locales, participaciones e incentivos económicos, aportaciones federales, convenios suscritos con el Gobierno Federal y extraordinarios, lo que representa una variación del </w:t>
      </w:r>
      <w:r w:rsidR="009C2CC6" w:rsidRPr="009C2CC6">
        <w:rPr>
          <w:sz w:val="20"/>
          <w:szCs w:val="20"/>
          <w:lang w:val="es-ES"/>
        </w:rPr>
        <w:t>7.32</w:t>
      </w:r>
      <w:r w:rsidR="00FF1096" w:rsidRPr="009C2CC6">
        <w:rPr>
          <w:sz w:val="20"/>
          <w:szCs w:val="20"/>
          <w:lang w:val="es-ES"/>
        </w:rPr>
        <w:t xml:space="preserve">% </w:t>
      </w:r>
      <w:r w:rsidRPr="009C2CC6">
        <w:rPr>
          <w:sz w:val="20"/>
          <w:szCs w:val="20"/>
          <w:lang w:val="es-ES"/>
        </w:rPr>
        <w:t>respecto de las cifras autorizadas en la Ley de Ingresos del Estado de Tlaxcala, para el Ejercicio Fiscal 202</w:t>
      </w:r>
      <w:r w:rsidR="0042364D" w:rsidRPr="009C2CC6">
        <w:rPr>
          <w:sz w:val="20"/>
          <w:szCs w:val="20"/>
          <w:lang w:val="es-ES"/>
        </w:rPr>
        <w:t>5</w:t>
      </w:r>
      <w:r w:rsidRPr="009C2CC6">
        <w:rPr>
          <w:sz w:val="20"/>
          <w:szCs w:val="20"/>
          <w:lang w:val="es-ES"/>
        </w:rPr>
        <w:t>, tal y como se observa en la gráfica siguiente:</w:t>
      </w:r>
      <w:bookmarkEnd w:id="7"/>
    </w:p>
    <w:p w14:paraId="1E2DA864" w14:textId="77777777" w:rsidR="008A5D7E" w:rsidRPr="008A5D7E" w:rsidRDefault="008A5D7E" w:rsidP="00696753">
      <w:pPr>
        <w:spacing w:line="360" w:lineRule="auto"/>
        <w:jc w:val="both"/>
        <w:rPr>
          <w:sz w:val="14"/>
          <w:szCs w:val="14"/>
          <w:lang w:val="es-ES"/>
        </w:rPr>
      </w:pPr>
    </w:p>
    <w:p w14:paraId="631A91B6" w14:textId="48792BF7" w:rsidR="00696753" w:rsidRPr="008D5C06" w:rsidRDefault="009C2CC6" w:rsidP="00696753">
      <w:pPr>
        <w:spacing w:line="360" w:lineRule="auto"/>
        <w:jc w:val="center"/>
        <w:rPr>
          <w:rFonts w:ascii="Arial" w:hAnsi="Arial" w:cs="Arial"/>
        </w:rPr>
      </w:pPr>
      <w:r>
        <w:rPr>
          <w:rFonts w:ascii="Arial" w:hAnsi="Arial" w:cs="Arial"/>
          <w:noProof/>
        </w:rPr>
        <w:lastRenderedPageBreak/>
        <w:drawing>
          <wp:inline distT="0" distB="0" distL="0" distR="0" wp14:anchorId="3C05964D" wp14:editId="4AD0C795">
            <wp:extent cx="5076749" cy="24788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53" cy="2479484"/>
                    </a:xfrm>
                    <a:prstGeom prst="rect">
                      <a:avLst/>
                    </a:prstGeom>
                    <a:noFill/>
                  </pic:spPr>
                </pic:pic>
              </a:graphicData>
            </a:graphic>
          </wp:inline>
        </w:drawing>
      </w:r>
    </w:p>
    <w:p w14:paraId="0D54CDDC" w14:textId="77777777" w:rsidR="00696753" w:rsidRPr="00906252" w:rsidRDefault="00696753" w:rsidP="00696753">
      <w:pPr>
        <w:spacing w:line="360" w:lineRule="auto"/>
        <w:jc w:val="both"/>
        <w:rPr>
          <w:rFonts w:ascii="Arial" w:hAnsi="Arial" w:cs="Arial"/>
          <w:b/>
          <w:sz w:val="12"/>
          <w:szCs w:val="22"/>
        </w:rPr>
      </w:pPr>
      <w:r w:rsidRPr="00906252">
        <w:rPr>
          <w:rFonts w:ascii="Arial" w:hAnsi="Arial" w:cs="Arial"/>
          <w:b/>
          <w:sz w:val="12"/>
          <w:szCs w:val="22"/>
        </w:rPr>
        <w:t>Fuente: Elaboración propia DCGCH.</w:t>
      </w:r>
    </w:p>
    <w:p w14:paraId="3D78D833" w14:textId="77777777" w:rsidR="00AA7AB0" w:rsidRDefault="00AA7AB0" w:rsidP="00696753">
      <w:pPr>
        <w:spacing w:line="360" w:lineRule="auto"/>
        <w:jc w:val="both"/>
        <w:rPr>
          <w:sz w:val="20"/>
          <w:szCs w:val="20"/>
          <w:lang w:val="es-ES"/>
        </w:rPr>
      </w:pPr>
    </w:p>
    <w:p w14:paraId="096A2321" w14:textId="02241651" w:rsidR="00696753" w:rsidRPr="00DF7F1D" w:rsidRDefault="00696753" w:rsidP="00696753">
      <w:pPr>
        <w:spacing w:line="360" w:lineRule="auto"/>
        <w:jc w:val="both"/>
        <w:rPr>
          <w:sz w:val="20"/>
          <w:szCs w:val="20"/>
          <w:lang w:val="es-ES"/>
        </w:rPr>
      </w:pPr>
      <w:r w:rsidRPr="00DF7F1D">
        <w:rPr>
          <w:sz w:val="20"/>
          <w:szCs w:val="20"/>
          <w:lang w:val="es-ES"/>
        </w:rPr>
        <w:t>La presente Iniciativa, garantiza que las fuentes de financiamiento de los programas y proyectos previstos en la Iniciativa de Decreto de Presupuesto de Egresos del Estado de Tlaxcala, para el Ejercicio Fiscal 202</w:t>
      </w:r>
      <w:r w:rsidR="0039140C">
        <w:rPr>
          <w:sz w:val="20"/>
          <w:szCs w:val="20"/>
          <w:lang w:val="es-ES"/>
        </w:rPr>
        <w:t>6</w:t>
      </w:r>
      <w:r w:rsidRPr="00DF7F1D">
        <w:rPr>
          <w:sz w:val="20"/>
          <w:szCs w:val="20"/>
          <w:lang w:val="es-ES"/>
        </w:rPr>
        <w:t>, se aplicará</w:t>
      </w:r>
      <w:r w:rsidR="0039140C">
        <w:rPr>
          <w:sz w:val="20"/>
          <w:szCs w:val="20"/>
          <w:lang w:val="es-ES"/>
        </w:rPr>
        <w:t>n</w:t>
      </w:r>
      <w:r w:rsidRPr="00DF7F1D">
        <w:rPr>
          <w:sz w:val="20"/>
          <w:szCs w:val="20"/>
          <w:lang w:val="es-ES"/>
        </w:rPr>
        <w:t xml:space="preserve"> observando los principios de eficiencia, </w:t>
      </w:r>
      <w:r w:rsidR="00281FE2" w:rsidRPr="00DF7F1D">
        <w:rPr>
          <w:sz w:val="20"/>
          <w:szCs w:val="20"/>
          <w:lang w:val="es-ES"/>
        </w:rPr>
        <w:t xml:space="preserve">eficacia, </w:t>
      </w:r>
      <w:r w:rsidRPr="00DF7F1D">
        <w:rPr>
          <w:sz w:val="20"/>
          <w:szCs w:val="20"/>
          <w:lang w:val="es-ES"/>
        </w:rPr>
        <w:t>economía</w:t>
      </w:r>
      <w:r w:rsidR="00281FE2" w:rsidRPr="00DF7F1D">
        <w:rPr>
          <w:sz w:val="20"/>
          <w:szCs w:val="20"/>
          <w:lang w:val="es-ES"/>
        </w:rPr>
        <w:t xml:space="preserve"> y</w:t>
      </w:r>
      <w:r w:rsidRPr="00DF7F1D">
        <w:rPr>
          <w:sz w:val="20"/>
          <w:szCs w:val="20"/>
          <w:lang w:val="es-ES"/>
        </w:rPr>
        <w:t xml:space="preserve"> austeridad.</w:t>
      </w:r>
    </w:p>
    <w:p w14:paraId="6A86417B" w14:textId="77777777" w:rsidR="004641BE" w:rsidRPr="0092056F" w:rsidRDefault="004641BE" w:rsidP="0092056F">
      <w:pPr>
        <w:spacing w:line="360" w:lineRule="auto"/>
        <w:jc w:val="both"/>
        <w:rPr>
          <w:sz w:val="20"/>
          <w:szCs w:val="20"/>
          <w:lang w:val="es-ES"/>
        </w:rPr>
      </w:pPr>
    </w:p>
    <w:p w14:paraId="61934E17" w14:textId="5560F8E9" w:rsidR="001C6D5B" w:rsidRPr="00DF7F1D" w:rsidRDefault="001C6D5B" w:rsidP="001C6D5B">
      <w:pPr>
        <w:pStyle w:val="PRIMERAPLANA"/>
        <w:numPr>
          <w:ilvl w:val="0"/>
          <w:numId w:val="8"/>
        </w:numPr>
        <w:spacing w:line="360" w:lineRule="auto"/>
        <w:ind w:left="567" w:hanging="567"/>
        <w:rPr>
          <w:rFonts w:ascii="Times New Roman" w:hAnsi="Times New Roman"/>
          <w:b/>
          <w:lang w:val="es-MX"/>
        </w:rPr>
      </w:pPr>
      <w:r w:rsidRPr="00DF7F1D">
        <w:rPr>
          <w:rFonts w:ascii="Times New Roman" w:hAnsi="Times New Roman"/>
          <w:b/>
          <w:lang w:val="es-MX"/>
        </w:rPr>
        <w:t>OBJETIVOS ANUALES, ESTRATEGIAS Y METAS.</w:t>
      </w:r>
    </w:p>
    <w:p w14:paraId="6CAB8142" w14:textId="77777777" w:rsidR="00514242" w:rsidRPr="0092056F" w:rsidRDefault="00514242" w:rsidP="0092056F">
      <w:pPr>
        <w:spacing w:line="360" w:lineRule="auto"/>
        <w:jc w:val="both"/>
        <w:rPr>
          <w:sz w:val="20"/>
          <w:szCs w:val="20"/>
          <w:lang w:val="es-ES"/>
        </w:rPr>
      </w:pPr>
    </w:p>
    <w:p w14:paraId="4D3DAA74" w14:textId="3189C22F" w:rsidR="00514242" w:rsidRPr="00DF7F1D" w:rsidRDefault="00514242" w:rsidP="00DF7F1D">
      <w:pPr>
        <w:spacing w:line="360" w:lineRule="auto"/>
        <w:jc w:val="both"/>
        <w:rPr>
          <w:sz w:val="20"/>
          <w:szCs w:val="20"/>
          <w:lang w:val="es-ES"/>
        </w:rPr>
      </w:pPr>
      <w:r w:rsidRPr="00DF7F1D">
        <w:rPr>
          <w:sz w:val="20"/>
          <w:szCs w:val="20"/>
          <w:lang w:val="es-ES"/>
        </w:rPr>
        <w:t>En cumplimiento al artículo 5 fracción I de Ley de Disciplina Financiera de las Entidades Federativas y los Municipios, se presentan los objetivos anuales, estrategias y metas en materia de ingresos para 202</w:t>
      </w:r>
      <w:r w:rsidR="0039140C">
        <w:rPr>
          <w:sz w:val="20"/>
          <w:szCs w:val="20"/>
          <w:lang w:val="es-ES"/>
        </w:rPr>
        <w:t>6</w:t>
      </w:r>
      <w:r w:rsidRPr="00DF7F1D">
        <w:rPr>
          <w:sz w:val="20"/>
          <w:szCs w:val="20"/>
          <w:lang w:val="es-ES"/>
        </w:rPr>
        <w:t>.</w:t>
      </w:r>
    </w:p>
    <w:p w14:paraId="21C3B2D5" w14:textId="77777777" w:rsidR="00DF7F1D" w:rsidRDefault="00DF7F1D" w:rsidP="00DF7F1D">
      <w:pPr>
        <w:spacing w:line="360" w:lineRule="auto"/>
        <w:jc w:val="both"/>
        <w:rPr>
          <w:sz w:val="20"/>
          <w:szCs w:val="20"/>
          <w:lang w:val="es-ES"/>
        </w:rPr>
      </w:pPr>
    </w:p>
    <w:p w14:paraId="503E41D1" w14:textId="77777777" w:rsidR="00616ACA" w:rsidRDefault="00616ACA" w:rsidP="00DF7F1D">
      <w:pPr>
        <w:spacing w:line="360" w:lineRule="auto"/>
        <w:jc w:val="both"/>
        <w:rPr>
          <w:sz w:val="20"/>
          <w:szCs w:val="20"/>
          <w:lang w:val="es-ES"/>
        </w:rPr>
      </w:pPr>
    </w:p>
    <w:p w14:paraId="01025B86" w14:textId="77777777" w:rsidR="00616ACA" w:rsidRPr="00DF7F1D" w:rsidRDefault="00616ACA" w:rsidP="00DF7F1D">
      <w:pPr>
        <w:spacing w:line="360" w:lineRule="auto"/>
        <w:jc w:val="both"/>
        <w:rPr>
          <w:sz w:val="20"/>
          <w:szCs w:val="20"/>
          <w:lang w:val="es-ES"/>
        </w:rPr>
      </w:pPr>
    </w:p>
    <w:p w14:paraId="51C10A1E" w14:textId="77777777" w:rsidR="00514242" w:rsidRPr="00DF7F1D" w:rsidRDefault="00514242" w:rsidP="00514242">
      <w:pPr>
        <w:pStyle w:val="PRIMERAPLANA"/>
        <w:numPr>
          <w:ilvl w:val="0"/>
          <w:numId w:val="13"/>
        </w:numPr>
        <w:spacing w:line="360" w:lineRule="auto"/>
        <w:ind w:left="426" w:hanging="426"/>
        <w:rPr>
          <w:rFonts w:ascii="Times New Roman" w:hAnsi="Times New Roman"/>
          <w:b/>
          <w:lang w:val="es-MX"/>
        </w:rPr>
      </w:pPr>
      <w:r w:rsidRPr="00DF7F1D">
        <w:rPr>
          <w:rFonts w:ascii="Times New Roman" w:hAnsi="Times New Roman"/>
          <w:b/>
          <w:lang w:val="es-MX"/>
        </w:rPr>
        <w:lastRenderedPageBreak/>
        <w:t>OBJETIVOS ANUALES.</w:t>
      </w:r>
    </w:p>
    <w:p w14:paraId="75AE02E7" w14:textId="77777777" w:rsidR="00514242" w:rsidRPr="0092056F" w:rsidRDefault="00514242" w:rsidP="0092056F">
      <w:pPr>
        <w:spacing w:line="360" w:lineRule="auto"/>
        <w:jc w:val="both"/>
        <w:rPr>
          <w:sz w:val="20"/>
          <w:szCs w:val="20"/>
          <w:lang w:val="es-ES"/>
        </w:rPr>
      </w:pPr>
    </w:p>
    <w:p w14:paraId="2FB2483D" w14:textId="77777777" w:rsidR="00514242" w:rsidRPr="00DF7F1D" w:rsidRDefault="00514242" w:rsidP="00514242">
      <w:pPr>
        <w:pStyle w:val="PRIMERAPLANA"/>
        <w:spacing w:line="360" w:lineRule="auto"/>
        <w:rPr>
          <w:rFonts w:ascii="Times New Roman" w:hAnsi="Times New Roman"/>
          <w:lang w:val="es-ES"/>
        </w:rPr>
      </w:pPr>
      <w:r w:rsidRPr="00DF7F1D">
        <w:rPr>
          <w:rFonts w:ascii="Times New Roman" w:hAnsi="Times New Roman"/>
          <w:lang w:val="es-ES"/>
        </w:rPr>
        <w:t>Los ingresos que obtenga el Gobierno del Estado y su aplicación, estarán en función de los preceptos establecidos en el Plan Estatal de Desarrollo 2021-2027, buscando siempre mantener finanzas públicas sanas con transparencia en el ejercicio del quehacer gubernamental, por lo que los esfuerzos del Gobierno del Estado se centrarán en:</w:t>
      </w:r>
    </w:p>
    <w:p w14:paraId="658A0A6C" w14:textId="77777777" w:rsidR="00514242" w:rsidRPr="00DF7F1D" w:rsidRDefault="00514242" w:rsidP="00514242">
      <w:pPr>
        <w:pStyle w:val="PRIMERAPLANA"/>
        <w:spacing w:line="360" w:lineRule="auto"/>
        <w:rPr>
          <w:rFonts w:ascii="Times New Roman" w:hAnsi="Times New Roman"/>
          <w:bCs/>
          <w:lang w:val="es-MX"/>
        </w:rPr>
      </w:pPr>
    </w:p>
    <w:p w14:paraId="702CBFA8" w14:textId="110485B9" w:rsidR="00112F31" w:rsidRPr="00DF7F1D" w:rsidRDefault="00112F31" w:rsidP="00514242">
      <w:pPr>
        <w:pStyle w:val="Prrafodelista"/>
        <w:numPr>
          <w:ilvl w:val="0"/>
          <w:numId w:val="9"/>
        </w:numPr>
        <w:spacing w:line="360" w:lineRule="auto"/>
        <w:jc w:val="both"/>
        <w:rPr>
          <w:sz w:val="20"/>
          <w:szCs w:val="20"/>
        </w:rPr>
      </w:pPr>
      <w:r w:rsidRPr="00DF7F1D">
        <w:rPr>
          <w:sz w:val="20"/>
          <w:szCs w:val="20"/>
        </w:rPr>
        <w:t>Fortalecer la recaudación de contribuciones locales, especialmente en lo relativo a impuestos y derechos para obtener mayores recursos e incrementar los coeficientes de participaciones federales.</w:t>
      </w:r>
    </w:p>
    <w:p w14:paraId="3B7D10F2" w14:textId="77777777" w:rsidR="00112F31" w:rsidRPr="00DF7F1D" w:rsidRDefault="00112F31" w:rsidP="00112F31">
      <w:pPr>
        <w:pStyle w:val="Prrafodelista"/>
        <w:spacing w:line="360" w:lineRule="auto"/>
        <w:ind w:left="720"/>
        <w:jc w:val="both"/>
        <w:rPr>
          <w:sz w:val="20"/>
          <w:szCs w:val="20"/>
        </w:rPr>
      </w:pPr>
    </w:p>
    <w:p w14:paraId="53DCAF0E" w14:textId="758AB61D" w:rsidR="00514242" w:rsidRPr="00DF7F1D" w:rsidRDefault="00514242" w:rsidP="00514242">
      <w:pPr>
        <w:pStyle w:val="Prrafodelista"/>
        <w:numPr>
          <w:ilvl w:val="0"/>
          <w:numId w:val="9"/>
        </w:numPr>
        <w:spacing w:line="360" w:lineRule="auto"/>
        <w:jc w:val="both"/>
        <w:rPr>
          <w:sz w:val="20"/>
          <w:szCs w:val="20"/>
        </w:rPr>
      </w:pPr>
      <w:r w:rsidRPr="00DF7F1D">
        <w:rPr>
          <w:sz w:val="20"/>
          <w:szCs w:val="20"/>
        </w:rPr>
        <w:t>Fortalecer los Ingresos Ordinarios del Estado; teniendo como finalidad la mejora del Balance Presupuestario de Recursos Disponibles y el consecuente financiamiento del gasto en desarrollo social e inversión en obra pública</w:t>
      </w:r>
      <w:r w:rsidR="00112F31" w:rsidRPr="00DF7F1D">
        <w:rPr>
          <w:sz w:val="20"/>
          <w:szCs w:val="20"/>
        </w:rPr>
        <w:t>, a través del uso eficiente de las potestades tributarias delegadas y de la ampliación de la base de contribuyentes.</w:t>
      </w:r>
    </w:p>
    <w:p w14:paraId="54349CC7" w14:textId="77777777" w:rsidR="00514242" w:rsidRPr="00DF7F1D" w:rsidRDefault="00514242" w:rsidP="00514242">
      <w:pPr>
        <w:spacing w:line="360" w:lineRule="auto"/>
        <w:ind w:left="-11"/>
        <w:jc w:val="both"/>
        <w:rPr>
          <w:sz w:val="20"/>
          <w:szCs w:val="20"/>
        </w:rPr>
      </w:pPr>
    </w:p>
    <w:p w14:paraId="70178F12" w14:textId="1299F6BE" w:rsidR="00514242" w:rsidRPr="00DF7F1D" w:rsidRDefault="00514242" w:rsidP="00514242">
      <w:pPr>
        <w:pStyle w:val="Prrafodelista"/>
        <w:numPr>
          <w:ilvl w:val="0"/>
          <w:numId w:val="9"/>
        </w:numPr>
        <w:spacing w:line="360" w:lineRule="auto"/>
        <w:jc w:val="both"/>
        <w:rPr>
          <w:sz w:val="20"/>
          <w:szCs w:val="20"/>
        </w:rPr>
      </w:pPr>
      <w:r w:rsidRPr="00DF7F1D">
        <w:rPr>
          <w:sz w:val="20"/>
          <w:szCs w:val="20"/>
        </w:rPr>
        <w:t xml:space="preserve">Fortalecer </w:t>
      </w:r>
      <w:r w:rsidR="00112F31" w:rsidRPr="00DF7F1D">
        <w:rPr>
          <w:sz w:val="20"/>
          <w:szCs w:val="20"/>
        </w:rPr>
        <w:t xml:space="preserve">los mecanismos de Coordinación Fiscal, en congruencia con la Administración Pública </w:t>
      </w:r>
      <w:proofErr w:type="gramStart"/>
      <w:r w:rsidR="00112F31" w:rsidRPr="00DF7F1D">
        <w:rPr>
          <w:sz w:val="20"/>
          <w:szCs w:val="20"/>
        </w:rPr>
        <w:t>Federal</w:t>
      </w:r>
      <w:proofErr w:type="gramEnd"/>
      <w:r w:rsidR="00112F31" w:rsidRPr="00DF7F1D">
        <w:rPr>
          <w:sz w:val="20"/>
          <w:szCs w:val="20"/>
        </w:rPr>
        <w:t xml:space="preserve"> así como </w:t>
      </w:r>
      <w:r w:rsidRPr="00DF7F1D">
        <w:rPr>
          <w:sz w:val="20"/>
          <w:szCs w:val="20"/>
        </w:rPr>
        <w:t>la coordinación con los municipios del Estado</w:t>
      </w:r>
      <w:r w:rsidR="00112F31" w:rsidRPr="00DF7F1D">
        <w:rPr>
          <w:sz w:val="20"/>
          <w:szCs w:val="20"/>
        </w:rPr>
        <w:t>,</w:t>
      </w:r>
      <w:r w:rsidRPr="00DF7F1D">
        <w:rPr>
          <w:sz w:val="20"/>
          <w:szCs w:val="20"/>
        </w:rPr>
        <w:t xml:space="preserve"> para incrementar las fuentes de ingresos locales.</w:t>
      </w:r>
    </w:p>
    <w:p w14:paraId="52D8A33B" w14:textId="77777777" w:rsidR="00514242" w:rsidRPr="00DF7F1D" w:rsidRDefault="00514242" w:rsidP="00514242">
      <w:pPr>
        <w:spacing w:line="360" w:lineRule="auto"/>
        <w:ind w:left="-11"/>
        <w:jc w:val="both"/>
        <w:rPr>
          <w:sz w:val="20"/>
          <w:szCs w:val="20"/>
        </w:rPr>
      </w:pPr>
    </w:p>
    <w:p w14:paraId="5BFAF010" w14:textId="77777777" w:rsidR="00514242" w:rsidRPr="00DF7F1D" w:rsidRDefault="00514242" w:rsidP="00514242">
      <w:pPr>
        <w:pStyle w:val="Prrafodelista"/>
        <w:numPr>
          <w:ilvl w:val="0"/>
          <w:numId w:val="9"/>
        </w:numPr>
        <w:spacing w:line="360" w:lineRule="auto"/>
        <w:jc w:val="both"/>
        <w:rPr>
          <w:sz w:val="20"/>
          <w:szCs w:val="20"/>
        </w:rPr>
      </w:pPr>
      <w:r w:rsidRPr="00DF7F1D">
        <w:rPr>
          <w:sz w:val="20"/>
          <w:szCs w:val="20"/>
        </w:rPr>
        <w:t>Cumplir con las metas de Ingresos Presupuestarios; que permitan mantener finanzas públicas sanas.</w:t>
      </w:r>
    </w:p>
    <w:p w14:paraId="42259E77" w14:textId="77777777" w:rsidR="00514242" w:rsidRPr="0092056F" w:rsidRDefault="00514242" w:rsidP="00514242">
      <w:pPr>
        <w:spacing w:line="360" w:lineRule="auto"/>
        <w:ind w:left="-11"/>
        <w:jc w:val="both"/>
        <w:rPr>
          <w:sz w:val="20"/>
          <w:szCs w:val="20"/>
        </w:rPr>
      </w:pPr>
    </w:p>
    <w:p w14:paraId="383D0A0E" w14:textId="77777777" w:rsidR="00514242" w:rsidRPr="00DF7F1D" w:rsidRDefault="00514242" w:rsidP="00514242">
      <w:pPr>
        <w:pStyle w:val="PRIMERAPLANA"/>
        <w:numPr>
          <w:ilvl w:val="0"/>
          <w:numId w:val="13"/>
        </w:numPr>
        <w:spacing w:line="360" w:lineRule="auto"/>
        <w:ind w:left="426" w:hanging="426"/>
        <w:rPr>
          <w:rFonts w:ascii="Times New Roman" w:hAnsi="Times New Roman"/>
          <w:b/>
          <w:lang w:val="es-MX"/>
        </w:rPr>
      </w:pPr>
      <w:r w:rsidRPr="00DF7F1D">
        <w:rPr>
          <w:rFonts w:ascii="Times New Roman" w:hAnsi="Times New Roman"/>
          <w:b/>
          <w:lang w:val="es-MX"/>
        </w:rPr>
        <w:t>ESTRATEGIAS</w:t>
      </w:r>
    </w:p>
    <w:p w14:paraId="18B79839" w14:textId="77777777" w:rsidR="00514242" w:rsidRPr="0092056F" w:rsidRDefault="00514242" w:rsidP="00514242">
      <w:pPr>
        <w:spacing w:line="360" w:lineRule="auto"/>
        <w:ind w:left="-11"/>
        <w:jc w:val="both"/>
        <w:rPr>
          <w:sz w:val="20"/>
          <w:szCs w:val="20"/>
        </w:rPr>
      </w:pPr>
    </w:p>
    <w:p w14:paraId="56579414" w14:textId="78B66331" w:rsidR="00514242" w:rsidRPr="008D5C06" w:rsidRDefault="00514242" w:rsidP="00514242">
      <w:pPr>
        <w:spacing w:line="360" w:lineRule="auto"/>
        <w:ind w:left="-11"/>
        <w:jc w:val="both"/>
        <w:rPr>
          <w:rFonts w:ascii="Arial" w:hAnsi="Arial" w:cs="Arial"/>
        </w:rPr>
      </w:pPr>
      <w:r w:rsidRPr="00DF7F1D">
        <w:rPr>
          <w:sz w:val="20"/>
          <w:szCs w:val="20"/>
          <w:lang w:val="es-ES"/>
        </w:rPr>
        <w:lastRenderedPageBreak/>
        <w:t xml:space="preserve">Para tales fines, se propone la consolidación de un gobierno cercano con visión extendida, comprometido y de resultados, transparente y de rendición de cuentas, de </w:t>
      </w:r>
      <w:proofErr w:type="gramStart"/>
      <w:r w:rsidR="00016BF7" w:rsidRPr="00DF7F1D">
        <w:rPr>
          <w:sz w:val="20"/>
          <w:szCs w:val="20"/>
          <w:lang w:val="es-ES"/>
        </w:rPr>
        <w:t>cero tolerancia</w:t>
      </w:r>
      <w:proofErr w:type="gramEnd"/>
      <w:r w:rsidRPr="00DF7F1D">
        <w:rPr>
          <w:sz w:val="20"/>
          <w:szCs w:val="20"/>
          <w:lang w:val="es-ES"/>
        </w:rPr>
        <w:t xml:space="preserve"> a la corrupción y sensible a las necesidades sociales, a través de las siguientes estrategias:</w:t>
      </w:r>
    </w:p>
    <w:p w14:paraId="78D8A724" w14:textId="77777777" w:rsidR="00514242" w:rsidRPr="0092056F" w:rsidRDefault="00514242" w:rsidP="00514242">
      <w:pPr>
        <w:spacing w:line="360" w:lineRule="auto"/>
        <w:ind w:left="-11"/>
        <w:jc w:val="both"/>
        <w:rPr>
          <w:sz w:val="20"/>
          <w:szCs w:val="20"/>
        </w:rPr>
      </w:pPr>
    </w:p>
    <w:p w14:paraId="49DE9BEC" w14:textId="1AA2489C" w:rsidR="00787F8F" w:rsidRPr="00A27D68" w:rsidRDefault="000B3CD8" w:rsidP="00787F8F">
      <w:pPr>
        <w:pStyle w:val="PRIMERAPLANA"/>
        <w:numPr>
          <w:ilvl w:val="0"/>
          <w:numId w:val="27"/>
        </w:numPr>
        <w:spacing w:line="360" w:lineRule="auto"/>
        <w:rPr>
          <w:rFonts w:ascii="Times New Roman" w:hAnsi="Times New Roman"/>
          <w:bCs/>
          <w:lang w:val="es-MX"/>
        </w:rPr>
      </w:pPr>
      <w:r>
        <w:rPr>
          <w:rFonts w:ascii="Times New Roman" w:hAnsi="Times New Roman"/>
          <w:bCs/>
          <w:lang w:val="es-MX"/>
        </w:rPr>
        <w:t>Realizar</w:t>
      </w:r>
      <w:r w:rsidR="00787F8F" w:rsidRPr="00A27D68">
        <w:rPr>
          <w:rFonts w:ascii="Times New Roman" w:hAnsi="Times New Roman"/>
          <w:bCs/>
          <w:lang w:val="es-MX"/>
        </w:rPr>
        <w:t xml:space="preserve"> campañas </w:t>
      </w:r>
      <w:r>
        <w:rPr>
          <w:rFonts w:ascii="Times New Roman" w:hAnsi="Times New Roman"/>
          <w:bCs/>
          <w:lang w:val="es-MX"/>
        </w:rPr>
        <w:t xml:space="preserve">de </w:t>
      </w:r>
      <w:r w:rsidR="00787F8F" w:rsidRPr="00A27D68">
        <w:rPr>
          <w:rFonts w:ascii="Times New Roman" w:hAnsi="Times New Roman"/>
          <w:bCs/>
          <w:lang w:val="es-MX"/>
        </w:rPr>
        <w:t>difusión</w:t>
      </w:r>
      <w:r>
        <w:rPr>
          <w:rFonts w:ascii="Times New Roman" w:hAnsi="Times New Roman"/>
          <w:bCs/>
          <w:lang w:val="es-MX"/>
        </w:rPr>
        <w:t>;</w:t>
      </w:r>
      <w:r w:rsidR="00787F8F" w:rsidRPr="00A27D68">
        <w:rPr>
          <w:rFonts w:ascii="Times New Roman" w:hAnsi="Times New Roman"/>
          <w:bCs/>
          <w:lang w:val="es-MX"/>
        </w:rPr>
        <w:t xml:space="preserve"> </w:t>
      </w:r>
      <w:r>
        <w:rPr>
          <w:rFonts w:ascii="Times New Roman" w:hAnsi="Times New Roman"/>
          <w:bCs/>
          <w:lang w:val="es-MX"/>
        </w:rPr>
        <w:t xml:space="preserve">así como, </w:t>
      </w:r>
      <w:r w:rsidR="00787F8F" w:rsidRPr="00A27D68">
        <w:rPr>
          <w:rFonts w:ascii="Times New Roman" w:hAnsi="Times New Roman"/>
          <w:bCs/>
          <w:lang w:val="es-MX"/>
        </w:rPr>
        <w:t xml:space="preserve">proporcionar asistencia y asesorías a los contribuyentes </w:t>
      </w:r>
      <w:r w:rsidRPr="00A27D68">
        <w:rPr>
          <w:rFonts w:ascii="Times New Roman" w:hAnsi="Times New Roman"/>
          <w:bCs/>
          <w:lang w:val="es-MX"/>
        </w:rPr>
        <w:t>aumenta</w:t>
      </w:r>
      <w:r>
        <w:rPr>
          <w:rFonts w:ascii="Times New Roman" w:hAnsi="Times New Roman"/>
          <w:bCs/>
          <w:lang w:val="es-MX"/>
        </w:rPr>
        <w:t>ndo</w:t>
      </w:r>
      <w:r w:rsidRPr="00A27D68">
        <w:rPr>
          <w:rFonts w:ascii="Times New Roman" w:hAnsi="Times New Roman"/>
          <w:bCs/>
          <w:lang w:val="es-MX"/>
        </w:rPr>
        <w:t xml:space="preserve"> la presencia fiscal </w:t>
      </w:r>
      <w:r w:rsidR="00787F8F" w:rsidRPr="00A27D68">
        <w:rPr>
          <w:rFonts w:ascii="Times New Roman" w:hAnsi="Times New Roman"/>
          <w:bCs/>
          <w:lang w:val="es-MX"/>
        </w:rPr>
        <w:t>para disminuir la informalidad.</w:t>
      </w:r>
    </w:p>
    <w:p w14:paraId="214F63D8" w14:textId="77777777" w:rsidR="00787F8F" w:rsidRPr="00A27D68" w:rsidRDefault="00787F8F" w:rsidP="00787F8F">
      <w:pPr>
        <w:pStyle w:val="PRIMERAPLANA"/>
        <w:spacing w:line="360" w:lineRule="auto"/>
        <w:ind w:left="720"/>
        <w:rPr>
          <w:rFonts w:ascii="Times New Roman" w:hAnsi="Times New Roman"/>
          <w:bCs/>
          <w:lang w:val="es-MX"/>
        </w:rPr>
      </w:pPr>
    </w:p>
    <w:p w14:paraId="79F9EC37" w14:textId="0311F0CE" w:rsidR="00955A2D" w:rsidRPr="00FA18A9" w:rsidRDefault="00787F8F" w:rsidP="00787F8F">
      <w:pPr>
        <w:pStyle w:val="PRIMERAPLANA"/>
        <w:numPr>
          <w:ilvl w:val="0"/>
          <w:numId w:val="27"/>
        </w:numPr>
        <w:spacing w:line="360" w:lineRule="auto"/>
        <w:rPr>
          <w:rFonts w:ascii="Times New Roman" w:hAnsi="Times New Roman"/>
          <w:bCs/>
          <w:lang w:val="es-MX"/>
        </w:rPr>
      </w:pPr>
      <w:r w:rsidRPr="00FA18A9">
        <w:rPr>
          <w:rFonts w:ascii="Times New Roman" w:hAnsi="Times New Roman"/>
          <w:bCs/>
          <w:lang w:val="es-MX"/>
        </w:rPr>
        <w:t>Otorgar incentivos fiscales a las micro y pequeña</w:t>
      </w:r>
      <w:r w:rsidR="00510AE4" w:rsidRPr="00FA18A9">
        <w:rPr>
          <w:rFonts w:ascii="Times New Roman" w:hAnsi="Times New Roman"/>
          <w:bCs/>
          <w:lang w:val="es-MX"/>
        </w:rPr>
        <w:t>s</w:t>
      </w:r>
      <w:r w:rsidRPr="00FA18A9">
        <w:rPr>
          <w:rFonts w:ascii="Times New Roman" w:hAnsi="Times New Roman"/>
          <w:bCs/>
          <w:lang w:val="es-MX"/>
        </w:rPr>
        <w:t xml:space="preserve"> empresas, </w:t>
      </w:r>
      <w:r w:rsidR="00955A2D" w:rsidRPr="00FA18A9">
        <w:rPr>
          <w:rFonts w:ascii="Times New Roman" w:hAnsi="Times New Roman"/>
          <w:bCs/>
          <w:lang w:val="es-MX"/>
        </w:rPr>
        <w:t xml:space="preserve">que </w:t>
      </w:r>
      <w:r w:rsidR="000B3CD8" w:rsidRPr="00FA18A9">
        <w:rPr>
          <w:rFonts w:ascii="Times New Roman" w:hAnsi="Times New Roman"/>
          <w:bCs/>
          <w:lang w:val="es-MX"/>
        </w:rPr>
        <w:t>promuevan</w:t>
      </w:r>
      <w:r w:rsidRPr="00FA18A9">
        <w:rPr>
          <w:rFonts w:ascii="Times New Roman" w:hAnsi="Times New Roman"/>
          <w:bCs/>
          <w:lang w:val="es-MX"/>
        </w:rPr>
        <w:t xml:space="preserve"> la inversión en el Estado. </w:t>
      </w:r>
    </w:p>
    <w:p w14:paraId="03E80101" w14:textId="77777777" w:rsidR="00955A2D" w:rsidRPr="00A27D68" w:rsidRDefault="00955A2D" w:rsidP="00955A2D">
      <w:pPr>
        <w:pStyle w:val="Prrafodelista"/>
        <w:rPr>
          <w:bCs/>
          <w:sz w:val="20"/>
          <w:szCs w:val="20"/>
        </w:rPr>
      </w:pPr>
    </w:p>
    <w:p w14:paraId="66261F8A" w14:textId="597EEA2F"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 xml:space="preserve">Simplificar </w:t>
      </w:r>
      <w:r w:rsidR="00955A2D" w:rsidRPr="00A27D68">
        <w:rPr>
          <w:rFonts w:ascii="Times New Roman" w:hAnsi="Times New Roman"/>
          <w:bCs/>
          <w:lang w:val="es-MX"/>
        </w:rPr>
        <w:t xml:space="preserve">los trámites administrativos </w:t>
      </w:r>
      <w:r w:rsidR="000B3CD8" w:rsidRPr="00A27D68">
        <w:rPr>
          <w:rFonts w:ascii="Times New Roman" w:hAnsi="Times New Roman"/>
          <w:bCs/>
          <w:lang w:val="es-MX"/>
        </w:rPr>
        <w:t xml:space="preserve">para que el contribuyente pueda realizar trámites a través del Portal de la Secretaría de Finanzas </w:t>
      </w:r>
      <w:r w:rsidR="000B3CD8">
        <w:rPr>
          <w:rFonts w:ascii="Times New Roman" w:hAnsi="Times New Roman"/>
          <w:bCs/>
          <w:lang w:val="es-MX"/>
        </w:rPr>
        <w:t>y realizar</w:t>
      </w:r>
      <w:r w:rsidR="00955A2D" w:rsidRPr="00A27D68">
        <w:rPr>
          <w:rFonts w:ascii="Times New Roman" w:hAnsi="Times New Roman"/>
          <w:bCs/>
          <w:lang w:val="es-MX"/>
        </w:rPr>
        <w:t xml:space="preserve"> </w:t>
      </w:r>
      <w:r w:rsidRPr="00A27D68">
        <w:rPr>
          <w:rFonts w:ascii="Times New Roman" w:hAnsi="Times New Roman"/>
          <w:bCs/>
          <w:lang w:val="es-MX"/>
        </w:rPr>
        <w:t xml:space="preserve">el pago de contribuciones </w:t>
      </w:r>
      <w:r w:rsidR="000B3CD8">
        <w:rPr>
          <w:rFonts w:ascii="Times New Roman" w:hAnsi="Times New Roman"/>
          <w:bCs/>
          <w:lang w:val="es-MX"/>
        </w:rPr>
        <w:t xml:space="preserve">mediante </w:t>
      </w:r>
      <w:r w:rsidRPr="00A27D68">
        <w:rPr>
          <w:rFonts w:ascii="Times New Roman" w:hAnsi="Times New Roman"/>
          <w:bCs/>
          <w:lang w:val="es-MX"/>
        </w:rPr>
        <w:t>el uso de tecnologías de la información.</w:t>
      </w:r>
    </w:p>
    <w:p w14:paraId="5F94CDBE" w14:textId="77777777" w:rsidR="00955A2D" w:rsidRPr="00A27D68" w:rsidRDefault="00955A2D" w:rsidP="00955A2D">
      <w:pPr>
        <w:pStyle w:val="Prrafodelista"/>
        <w:rPr>
          <w:bCs/>
          <w:sz w:val="20"/>
          <w:szCs w:val="20"/>
        </w:rPr>
      </w:pPr>
    </w:p>
    <w:p w14:paraId="020A0E34" w14:textId="18BDC0DD"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 xml:space="preserve">Establecer </w:t>
      </w:r>
      <w:r w:rsidR="000B3CD8" w:rsidRPr="00A27D68">
        <w:rPr>
          <w:rFonts w:ascii="Times New Roman" w:hAnsi="Times New Roman"/>
          <w:bCs/>
          <w:lang w:val="es-MX"/>
        </w:rPr>
        <w:t>programas para la revisión y fiscalización que incrementen el cobro de contribuciones locales</w:t>
      </w:r>
      <w:r w:rsidRPr="00A27D68">
        <w:rPr>
          <w:rFonts w:ascii="Times New Roman" w:hAnsi="Times New Roman"/>
          <w:bCs/>
          <w:lang w:val="es-MX"/>
        </w:rPr>
        <w:t>.</w:t>
      </w:r>
    </w:p>
    <w:p w14:paraId="56CF9C75" w14:textId="77777777" w:rsidR="00955A2D" w:rsidRPr="00A27D68" w:rsidRDefault="00955A2D" w:rsidP="00955A2D">
      <w:pPr>
        <w:pStyle w:val="Prrafodelista"/>
        <w:rPr>
          <w:bCs/>
          <w:sz w:val="20"/>
          <w:szCs w:val="20"/>
        </w:rPr>
      </w:pPr>
    </w:p>
    <w:p w14:paraId="1C3D6697" w14:textId="52908B6F" w:rsidR="00955A2D" w:rsidRPr="00A27D68" w:rsidRDefault="000B3CD8" w:rsidP="00787F8F">
      <w:pPr>
        <w:pStyle w:val="PRIMERAPLANA"/>
        <w:numPr>
          <w:ilvl w:val="0"/>
          <w:numId w:val="27"/>
        </w:numPr>
        <w:spacing w:line="360" w:lineRule="auto"/>
        <w:rPr>
          <w:rFonts w:ascii="Times New Roman" w:hAnsi="Times New Roman"/>
          <w:bCs/>
          <w:lang w:val="es-MX"/>
        </w:rPr>
      </w:pPr>
      <w:r>
        <w:rPr>
          <w:rFonts w:ascii="Times New Roman" w:hAnsi="Times New Roman"/>
          <w:bCs/>
          <w:lang w:val="es-MX"/>
        </w:rPr>
        <w:t>P</w:t>
      </w:r>
      <w:r w:rsidR="00787F8F" w:rsidRPr="00A27D68">
        <w:rPr>
          <w:rFonts w:ascii="Times New Roman" w:hAnsi="Times New Roman"/>
          <w:bCs/>
          <w:lang w:val="es-MX"/>
        </w:rPr>
        <w:t>articipa</w:t>
      </w:r>
      <w:r>
        <w:rPr>
          <w:rFonts w:ascii="Times New Roman" w:hAnsi="Times New Roman"/>
          <w:bCs/>
          <w:lang w:val="es-MX"/>
        </w:rPr>
        <w:t>r activamente</w:t>
      </w:r>
      <w:r w:rsidR="00787F8F" w:rsidRPr="00A27D68">
        <w:rPr>
          <w:rFonts w:ascii="Times New Roman" w:hAnsi="Times New Roman"/>
          <w:bCs/>
          <w:lang w:val="es-MX"/>
        </w:rPr>
        <w:t xml:space="preserve"> </w:t>
      </w:r>
      <w:r w:rsidRPr="00A27D68">
        <w:rPr>
          <w:rFonts w:ascii="Times New Roman" w:hAnsi="Times New Roman"/>
          <w:bCs/>
          <w:lang w:val="es-MX"/>
        </w:rPr>
        <w:t xml:space="preserve">en los Comités y Grupos de Trabajo </w:t>
      </w:r>
      <w:r>
        <w:rPr>
          <w:rFonts w:ascii="Times New Roman" w:hAnsi="Times New Roman"/>
          <w:bCs/>
          <w:lang w:val="es-MX"/>
        </w:rPr>
        <w:t>d</w:t>
      </w:r>
      <w:r w:rsidR="00787F8F" w:rsidRPr="00A27D68">
        <w:rPr>
          <w:rFonts w:ascii="Times New Roman" w:hAnsi="Times New Roman"/>
          <w:bCs/>
          <w:lang w:val="es-MX"/>
        </w:rPr>
        <w:t xml:space="preserve">el Sistema Nacional de Coordinación Fiscal, así como </w:t>
      </w:r>
      <w:r>
        <w:rPr>
          <w:rFonts w:ascii="Times New Roman" w:hAnsi="Times New Roman"/>
          <w:bCs/>
          <w:lang w:val="es-MX"/>
        </w:rPr>
        <w:t xml:space="preserve">en los trabajos </w:t>
      </w:r>
      <w:r w:rsidR="00787F8F" w:rsidRPr="00A27D68">
        <w:rPr>
          <w:rFonts w:ascii="Times New Roman" w:hAnsi="Times New Roman"/>
          <w:bCs/>
          <w:lang w:val="es-MX"/>
        </w:rPr>
        <w:t xml:space="preserve">de la Comisión Permanente de </w:t>
      </w:r>
      <w:proofErr w:type="gramStart"/>
      <w:r w:rsidR="00955A2D" w:rsidRPr="00A27D68">
        <w:rPr>
          <w:rFonts w:ascii="Times New Roman" w:hAnsi="Times New Roman"/>
          <w:bCs/>
          <w:lang w:val="es-MX"/>
        </w:rPr>
        <w:t>F</w:t>
      </w:r>
      <w:r w:rsidR="00787F8F" w:rsidRPr="00A27D68">
        <w:rPr>
          <w:rFonts w:ascii="Times New Roman" w:hAnsi="Times New Roman"/>
          <w:bCs/>
          <w:lang w:val="es-MX"/>
        </w:rPr>
        <w:t>uncionarios</w:t>
      </w:r>
      <w:proofErr w:type="gramEnd"/>
      <w:r w:rsidR="00787F8F" w:rsidRPr="00A27D68">
        <w:rPr>
          <w:rFonts w:ascii="Times New Roman" w:hAnsi="Times New Roman"/>
          <w:bCs/>
          <w:lang w:val="es-MX"/>
        </w:rPr>
        <w:t xml:space="preserve"> </w:t>
      </w:r>
      <w:r w:rsidR="00955A2D" w:rsidRPr="00A27D68">
        <w:rPr>
          <w:rFonts w:ascii="Times New Roman" w:hAnsi="Times New Roman"/>
          <w:bCs/>
          <w:lang w:val="es-MX"/>
        </w:rPr>
        <w:t>F</w:t>
      </w:r>
      <w:r w:rsidR="00787F8F" w:rsidRPr="00A27D68">
        <w:rPr>
          <w:rFonts w:ascii="Times New Roman" w:hAnsi="Times New Roman"/>
          <w:bCs/>
          <w:lang w:val="es-MX"/>
        </w:rPr>
        <w:t>iscales</w:t>
      </w:r>
      <w:r w:rsidR="00955A2D" w:rsidRPr="00A27D68">
        <w:rPr>
          <w:rFonts w:ascii="Times New Roman" w:hAnsi="Times New Roman"/>
          <w:bCs/>
          <w:lang w:val="es-MX"/>
        </w:rPr>
        <w:t>.</w:t>
      </w:r>
    </w:p>
    <w:p w14:paraId="7A9574FC" w14:textId="77777777" w:rsidR="00955A2D" w:rsidRPr="00A27D68" w:rsidRDefault="00955A2D" w:rsidP="00955A2D">
      <w:pPr>
        <w:pStyle w:val="Prrafodelista"/>
        <w:rPr>
          <w:bCs/>
          <w:sz w:val="20"/>
          <w:szCs w:val="20"/>
        </w:rPr>
      </w:pPr>
    </w:p>
    <w:p w14:paraId="43963ABE" w14:textId="63B5DDD6" w:rsidR="00955A2D" w:rsidRPr="00A27D68" w:rsidRDefault="004E7178" w:rsidP="00E05FF7">
      <w:pPr>
        <w:pStyle w:val="PRIMERAPLANA"/>
        <w:numPr>
          <w:ilvl w:val="0"/>
          <w:numId w:val="27"/>
        </w:numPr>
        <w:spacing w:line="360" w:lineRule="auto"/>
        <w:rPr>
          <w:rFonts w:ascii="Times New Roman" w:hAnsi="Times New Roman"/>
          <w:bCs/>
          <w:lang w:val="es-MX"/>
        </w:rPr>
      </w:pPr>
      <w:r>
        <w:rPr>
          <w:rFonts w:ascii="Times New Roman" w:hAnsi="Times New Roman"/>
          <w:bCs/>
          <w:lang w:val="es-MX"/>
        </w:rPr>
        <w:t>F</w:t>
      </w:r>
      <w:r w:rsidR="000B3CD8" w:rsidRPr="00A27D68">
        <w:rPr>
          <w:rFonts w:ascii="Times New Roman" w:hAnsi="Times New Roman"/>
          <w:bCs/>
          <w:lang w:val="es-MX"/>
        </w:rPr>
        <w:t>acilitar el cumplimiento de obligaciones fiscales</w:t>
      </w:r>
      <w:r w:rsidR="000B3CD8">
        <w:rPr>
          <w:rFonts w:ascii="Times New Roman" w:hAnsi="Times New Roman"/>
          <w:bCs/>
          <w:lang w:val="es-MX"/>
        </w:rPr>
        <w:t xml:space="preserve">, mediante </w:t>
      </w:r>
      <w:r w:rsidR="00787F8F" w:rsidRPr="00A27D68">
        <w:rPr>
          <w:rFonts w:ascii="Times New Roman" w:hAnsi="Times New Roman"/>
          <w:bCs/>
          <w:lang w:val="es-MX"/>
        </w:rPr>
        <w:t xml:space="preserve">la </w:t>
      </w:r>
      <w:r w:rsidR="00955A2D" w:rsidRPr="00A27D68">
        <w:rPr>
          <w:rFonts w:ascii="Times New Roman" w:hAnsi="Times New Roman"/>
          <w:bCs/>
          <w:lang w:val="es-MX"/>
        </w:rPr>
        <w:t>diversifica</w:t>
      </w:r>
      <w:r w:rsidR="000B3CD8">
        <w:rPr>
          <w:rFonts w:ascii="Times New Roman" w:hAnsi="Times New Roman"/>
          <w:bCs/>
          <w:lang w:val="es-MX"/>
        </w:rPr>
        <w:t>ción</w:t>
      </w:r>
      <w:r w:rsidR="00955A2D" w:rsidRPr="00A27D68">
        <w:rPr>
          <w:rFonts w:ascii="Times New Roman" w:hAnsi="Times New Roman"/>
          <w:bCs/>
          <w:lang w:val="es-MX"/>
        </w:rPr>
        <w:t xml:space="preserve"> </w:t>
      </w:r>
      <w:r w:rsidR="000B3CD8">
        <w:rPr>
          <w:rFonts w:ascii="Times New Roman" w:hAnsi="Times New Roman"/>
          <w:bCs/>
          <w:lang w:val="es-MX"/>
        </w:rPr>
        <w:t xml:space="preserve">de </w:t>
      </w:r>
      <w:r w:rsidR="00955A2D" w:rsidRPr="00A27D68">
        <w:rPr>
          <w:rFonts w:ascii="Times New Roman" w:hAnsi="Times New Roman"/>
          <w:bCs/>
          <w:lang w:val="es-MX"/>
        </w:rPr>
        <w:t xml:space="preserve">las formas de pago </w:t>
      </w:r>
      <w:r w:rsidR="000B3CD8">
        <w:rPr>
          <w:rFonts w:ascii="Times New Roman" w:hAnsi="Times New Roman"/>
          <w:bCs/>
          <w:lang w:val="es-MX"/>
        </w:rPr>
        <w:t xml:space="preserve">y </w:t>
      </w:r>
      <w:r w:rsidR="00955A2D" w:rsidRPr="00A27D68">
        <w:rPr>
          <w:rFonts w:ascii="Times New Roman" w:hAnsi="Times New Roman"/>
          <w:bCs/>
          <w:lang w:val="es-MX"/>
        </w:rPr>
        <w:t>e</w:t>
      </w:r>
      <w:r w:rsidR="000B3CD8">
        <w:rPr>
          <w:rFonts w:ascii="Times New Roman" w:hAnsi="Times New Roman"/>
          <w:bCs/>
          <w:lang w:val="es-MX"/>
        </w:rPr>
        <w:t>l</w:t>
      </w:r>
      <w:r w:rsidR="00955A2D" w:rsidRPr="00A27D68">
        <w:rPr>
          <w:rFonts w:ascii="Times New Roman" w:hAnsi="Times New Roman"/>
          <w:bCs/>
          <w:lang w:val="es-MX"/>
        </w:rPr>
        <w:t xml:space="preserve"> </w:t>
      </w:r>
      <w:r w:rsidR="00787F8F" w:rsidRPr="00A27D68">
        <w:rPr>
          <w:rFonts w:ascii="Times New Roman" w:hAnsi="Times New Roman"/>
          <w:bCs/>
          <w:lang w:val="es-MX"/>
        </w:rPr>
        <w:t>increment</w:t>
      </w:r>
      <w:r w:rsidR="000B3CD8">
        <w:rPr>
          <w:rFonts w:ascii="Times New Roman" w:hAnsi="Times New Roman"/>
          <w:bCs/>
          <w:lang w:val="es-MX"/>
        </w:rPr>
        <w:t>o de</w:t>
      </w:r>
      <w:r w:rsidR="00787F8F" w:rsidRPr="00A27D68">
        <w:rPr>
          <w:rFonts w:ascii="Times New Roman" w:hAnsi="Times New Roman"/>
          <w:bCs/>
          <w:lang w:val="es-MX"/>
        </w:rPr>
        <w:t xml:space="preserve"> los puntos de</w:t>
      </w:r>
      <w:r w:rsidR="00955A2D" w:rsidRPr="00A27D68">
        <w:rPr>
          <w:rFonts w:ascii="Times New Roman" w:hAnsi="Times New Roman"/>
          <w:bCs/>
          <w:lang w:val="es-MX"/>
        </w:rPr>
        <w:t xml:space="preserve"> cobro de contribuciones.</w:t>
      </w:r>
    </w:p>
    <w:p w14:paraId="06811A39" w14:textId="77777777" w:rsidR="00BB1FA3" w:rsidRPr="00A27D68" w:rsidRDefault="00BB1FA3" w:rsidP="00BB1FA3">
      <w:pPr>
        <w:pStyle w:val="Prrafodelista"/>
        <w:rPr>
          <w:bCs/>
          <w:sz w:val="20"/>
          <w:szCs w:val="20"/>
        </w:rPr>
      </w:pPr>
    </w:p>
    <w:p w14:paraId="75AD54B1" w14:textId="77777777" w:rsidR="00BB1FA3" w:rsidRPr="00C403A2" w:rsidRDefault="00BB1FA3" w:rsidP="00BB1FA3">
      <w:pPr>
        <w:pStyle w:val="Prrafodelista"/>
        <w:numPr>
          <w:ilvl w:val="0"/>
          <w:numId w:val="27"/>
        </w:numPr>
        <w:spacing w:line="360" w:lineRule="auto"/>
        <w:jc w:val="both"/>
        <w:rPr>
          <w:sz w:val="20"/>
          <w:szCs w:val="20"/>
        </w:rPr>
      </w:pPr>
      <w:r w:rsidRPr="00C403A2">
        <w:rPr>
          <w:sz w:val="20"/>
          <w:szCs w:val="20"/>
        </w:rPr>
        <w:t>Fortalecer las fuentes de ingresos federales y los esquemas de incentivos derivados del Convenio de Colaboración Administrativa en Materia Fiscal Federal.</w:t>
      </w:r>
    </w:p>
    <w:p w14:paraId="511335DE" w14:textId="77777777" w:rsidR="00BB1FA3" w:rsidRPr="00A27D68" w:rsidRDefault="00BB1FA3" w:rsidP="00BB1FA3">
      <w:pPr>
        <w:pStyle w:val="Prrafodelista"/>
        <w:rPr>
          <w:sz w:val="20"/>
          <w:szCs w:val="20"/>
        </w:rPr>
      </w:pPr>
    </w:p>
    <w:p w14:paraId="2EED30AB"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lastRenderedPageBreak/>
        <w:t>Mejorar las capacidades administrativas de los Organismos Descentralizados para el timbrado en tiempo y forma de la nómina de empleados estatales, para recibir las participaciones establecidas en el artículo 3-B de la Ley de Coordinación Fiscal.</w:t>
      </w:r>
    </w:p>
    <w:p w14:paraId="04B70A78" w14:textId="77777777" w:rsidR="00BB1FA3" w:rsidRPr="00A27D68" w:rsidRDefault="00BB1FA3" w:rsidP="00BB1FA3">
      <w:pPr>
        <w:pStyle w:val="Prrafodelista"/>
        <w:rPr>
          <w:sz w:val="20"/>
          <w:szCs w:val="20"/>
        </w:rPr>
      </w:pPr>
    </w:p>
    <w:p w14:paraId="32D79A4E"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Enviar cartas invitación para incentivar a los contribuyentes a regularizar su situación fiscal.</w:t>
      </w:r>
    </w:p>
    <w:p w14:paraId="718E280D" w14:textId="77777777" w:rsidR="00BB1FA3" w:rsidRPr="00A27D68" w:rsidRDefault="00BB1FA3" w:rsidP="00BB1FA3">
      <w:pPr>
        <w:pStyle w:val="Prrafodelista"/>
        <w:rPr>
          <w:sz w:val="20"/>
          <w:szCs w:val="20"/>
        </w:rPr>
      </w:pPr>
    </w:p>
    <w:p w14:paraId="3F0E9B02" w14:textId="71A891CB"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Cumplimiento de la normatividad emitida por el Consejo Nacional de Armonización Contable (CONAC).</w:t>
      </w:r>
    </w:p>
    <w:p w14:paraId="2E5D653C" w14:textId="77777777" w:rsidR="00BB1FA3" w:rsidRPr="00A27D68" w:rsidRDefault="00BB1FA3" w:rsidP="00BB1FA3">
      <w:pPr>
        <w:pStyle w:val="Prrafodelista"/>
        <w:rPr>
          <w:sz w:val="20"/>
          <w:szCs w:val="20"/>
        </w:rPr>
      </w:pPr>
    </w:p>
    <w:p w14:paraId="0B9C7DF2"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Congruencia en los pronósticos de recaudación federal y estatal considerando riesgos fiscales, evolución y perspectivas económicas.</w:t>
      </w:r>
    </w:p>
    <w:p w14:paraId="251E66A8" w14:textId="77777777" w:rsidR="00BB1FA3" w:rsidRPr="00A27D68" w:rsidRDefault="00BB1FA3" w:rsidP="00BB1FA3">
      <w:pPr>
        <w:pStyle w:val="Prrafodelista"/>
        <w:rPr>
          <w:sz w:val="20"/>
          <w:szCs w:val="20"/>
        </w:rPr>
      </w:pPr>
    </w:p>
    <w:p w14:paraId="587C1E9D"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Integración del Paquete Económico conforme a lo establecido en la Ley de Disciplina Financiera de las Entidades Federativas y los Municipios.</w:t>
      </w:r>
    </w:p>
    <w:p w14:paraId="3033F95C" w14:textId="77777777" w:rsidR="00BB1FA3" w:rsidRPr="00A27D68" w:rsidRDefault="00BB1FA3" w:rsidP="00BB1FA3">
      <w:pPr>
        <w:pStyle w:val="Prrafodelista"/>
        <w:rPr>
          <w:sz w:val="20"/>
          <w:szCs w:val="20"/>
        </w:rPr>
      </w:pPr>
    </w:p>
    <w:p w14:paraId="17806EBD"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Finanzas Estatales sanas.</w:t>
      </w:r>
    </w:p>
    <w:p w14:paraId="40192065" w14:textId="77777777" w:rsidR="00514242" w:rsidRPr="0092056F" w:rsidRDefault="00514242" w:rsidP="00514242">
      <w:pPr>
        <w:spacing w:line="360" w:lineRule="auto"/>
        <w:ind w:left="-11"/>
        <w:jc w:val="both"/>
        <w:rPr>
          <w:sz w:val="20"/>
          <w:szCs w:val="20"/>
        </w:rPr>
      </w:pPr>
    </w:p>
    <w:p w14:paraId="1EFCA287" w14:textId="77777777" w:rsidR="00514242" w:rsidRPr="00A27D68" w:rsidRDefault="00514242" w:rsidP="00514242">
      <w:pPr>
        <w:pStyle w:val="PRIMERAPLANA"/>
        <w:numPr>
          <w:ilvl w:val="0"/>
          <w:numId w:val="13"/>
        </w:numPr>
        <w:spacing w:line="360" w:lineRule="auto"/>
        <w:ind w:left="426" w:hanging="426"/>
        <w:rPr>
          <w:rFonts w:ascii="Times New Roman" w:hAnsi="Times New Roman"/>
          <w:b/>
          <w:lang w:val="es-MX"/>
        </w:rPr>
      </w:pPr>
      <w:r w:rsidRPr="00A27D68">
        <w:rPr>
          <w:rFonts w:ascii="Times New Roman" w:hAnsi="Times New Roman"/>
          <w:b/>
          <w:lang w:val="es-MX"/>
        </w:rPr>
        <w:t>METAS</w:t>
      </w:r>
    </w:p>
    <w:p w14:paraId="5CF3D4BB" w14:textId="77777777" w:rsidR="00514242" w:rsidRPr="0092056F" w:rsidRDefault="00514242" w:rsidP="00514242">
      <w:pPr>
        <w:spacing w:line="360" w:lineRule="auto"/>
        <w:ind w:left="-11"/>
        <w:jc w:val="both"/>
        <w:rPr>
          <w:sz w:val="20"/>
          <w:szCs w:val="20"/>
        </w:rPr>
      </w:pPr>
    </w:p>
    <w:p w14:paraId="1134F2E9" w14:textId="77777777" w:rsidR="00514242" w:rsidRPr="00A27D68" w:rsidRDefault="00514242" w:rsidP="00A27D68">
      <w:pPr>
        <w:spacing w:line="360" w:lineRule="auto"/>
        <w:jc w:val="both"/>
        <w:rPr>
          <w:sz w:val="20"/>
          <w:szCs w:val="20"/>
          <w:lang w:val="es-ES"/>
        </w:rPr>
      </w:pPr>
      <w:r w:rsidRPr="00A27D68">
        <w:rPr>
          <w:sz w:val="20"/>
          <w:szCs w:val="20"/>
          <w:lang w:val="es-ES"/>
        </w:rPr>
        <w:t>Para transformar las condiciones de desarrollo de Tlaxcala, a través de acciones contundentes que consoliden las bases de un Estado sólido y promuevan el empleo, a fin de que su gente disfrute de una vida digna y segura, moderna y en unidad, con progresión de los derechos, la vigencia de la perspectiva de género y la felicidad de las familias y las personas, se plantean las siguientes Metas:</w:t>
      </w:r>
    </w:p>
    <w:p w14:paraId="37579A7B" w14:textId="77777777" w:rsidR="00514242" w:rsidRPr="00A27D68" w:rsidRDefault="00514242" w:rsidP="00514242">
      <w:pPr>
        <w:spacing w:line="360" w:lineRule="auto"/>
        <w:ind w:left="-11"/>
        <w:jc w:val="both"/>
        <w:rPr>
          <w:sz w:val="20"/>
          <w:szCs w:val="20"/>
        </w:rPr>
      </w:pPr>
    </w:p>
    <w:p w14:paraId="36CE1F40"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Incrementar los ingresos del Estado en términos reales.</w:t>
      </w:r>
    </w:p>
    <w:p w14:paraId="1C91A76E" w14:textId="77777777" w:rsidR="00514242" w:rsidRPr="00A27D68" w:rsidRDefault="00514242" w:rsidP="00514242">
      <w:pPr>
        <w:spacing w:line="360" w:lineRule="auto"/>
        <w:ind w:left="-11"/>
        <w:jc w:val="both"/>
        <w:rPr>
          <w:sz w:val="20"/>
          <w:szCs w:val="20"/>
        </w:rPr>
      </w:pPr>
    </w:p>
    <w:p w14:paraId="1AD0DDE3"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lastRenderedPageBreak/>
        <w:t>Disminuir el rezago en el pago de obligaciones a cargo de los contribuyentes, así como la elusión y evasión fiscales.</w:t>
      </w:r>
    </w:p>
    <w:p w14:paraId="59DD0669" w14:textId="77777777" w:rsidR="00514242" w:rsidRPr="00A27D68" w:rsidRDefault="00514242" w:rsidP="00514242">
      <w:pPr>
        <w:spacing w:line="360" w:lineRule="auto"/>
        <w:ind w:left="-11"/>
        <w:jc w:val="both"/>
        <w:rPr>
          <w:sz w:val="20"/>
          <w:szCs w:val="20"/>
        </w:rPr>
      </w:pPr>
    </w:p>
    <w:p w14:paraId="0F4BC5C9"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Reducir el porcentaje de dependencia del Estado de las transferencias federales.</w:t>
      </w:r>
    </w:p>
    <w:p w14:paraId="68EF691D" w14:textId="77777777" w:rsidR="00514242" w:rsidRPr="00A27D68" w:rsidRDefault="00514242" w:rsidP="00514242">
      <w:pPr>
        <w:spacing w:line="360" w:lineRule="auto"/>
        <w:ind w:left="-11"/>
        <w:jc w:val="both"/>
        <w:rPr>
          <w:sz w:val="20"/>
          <w:szCs w:val="20"/>
        </w:rPr>
      </w:pPr>
    </w:p>
    <w:p w14:paraId="43A0671C"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Incrementar el número de operaciones por trámites realizados por los contribuyentes a través de medios electrónicos.</w:t>
      </w:r>
    </w:p>
    <w:p w14:paraId="7BA07463" w14:textId="77777777" w:rsidR="00514242" w:rsidRPr="00A27D68" w:rsidRDefault="00514242" w:rsidP="00514242">
      <w:pPr>
        <w:spacing w:line="360" w:lineRule="auto"/>
        <w:ind w:left="-11"/>
        <w:jc w:val="both"/>
        <w:rPr>
          <w:sz w:val="20"/>
          <w:szCs w:val="20"/>
        </w:rPr>
      </w:pPr>
    </w:p>
    <w:p w14:paraId="559DE449"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Mantener el nivel de endeudamiento registrado conforme al Sistema de Alertas.</w:t>
      </w:r>
    </w:p>
    <w:p w14:paraId="6D503E23" w14:textId="77777777" w:rsidR="004E1450" w:rsidRPr="0092056F" w:rsidRDefault="004E1450" w:rsidP="0092056F">
      <w:pPr>
        <w:spacing w:line="360" w:lineRule="auto"/>
        <w:ind w:left="-11"/>
        <w:jc w:val="both"/>
        <w:rPr>
          <w:sz w:val="20"/>
          <w:szCs w:val="20"/>
        </w:rPr>
      </w:pPr>
    </w:p>
    <w:p w14:paraId="2219DBFD" w14:textId="390ED96C" w:rsidR="00BB1FA3" w:rsidRPr="00A27D68" w:rsidRDefault="00BB1FA3" w:rsidP="00307BBE">
      <w:pPr>
        <w:pStyle w:val="PRIMERAPLANA"/>
        <w:numPr>
          <w:ilvl w:val="0"/>
          <w:numId w:val="8"/>
        </w:numPr>
        <w:spacing w:line="360" w:lineRule="auto"/>
        <w:ind w:left="426" w:hanging="437"/>
        <w:rPr>
          <w:rFonts w:ascii="Times New Roman" w:hAnsi="Times New Roman"/>
          <w:b/>
          <w:lang w:val="es-MX"/>
        </w:rPr>
      </w:pPr>
      <w:r w:rsidRPr="00A27D68">
        <w:rPr>
          <w:rFonts w:ascii="Times New Roman" w:hAnsi="Times New Roman"/>
          <w:b/>
          <w:lang w:val="es-MX"/>
        </w:rPr>
        <w:t>PROYECCIONES DE FINANZAS PÚBLICAS 202</w:t>
      </w:r>
      <w:r w:rsidR="00C8651B">
        <w:rPr>
          <w:rFonts w:ascii="Times New Roman" w:hAnsi="Times New Roman"/>
          <w:b/>
          <w:lang w:val="es-MX"/>
        </w:rPr>
        <w:t>6</w:t>
      </w:r>
      <w:r w:rsidRPr="00A27D68">
        <w:rPr>
          <w:rFonts w:ascii="Times New Roman" w:hAnsi="Times New Roman"/>
          <w:b/>
          <w:lang w:val="es-MX"/>
        </w:rPr>
        <w:t>-203</w:t>
      </w:r>
      <w:r w:rsidR="00C403A2">
        <w:rPr>
          <w:rFonts w:ascii="Times New Roman" w:hAnsi="Times New Roman"/>
          <w:b/>
          <w:lang w:val="es-MX"/>
        </w:rPr>
        <w:t>1</w:t>
      </w:r>
      <w:r w:rsidRPr="00A27D68">
        <w:rPr>
          <w:rFonts w:ascii="Times New Roman" w:hAnsi="Times New Roman"/>
          <w:b/>
          <w:lang w:val="es-MX"/>
        </w:rPr>
        <w:t>.</w:t>
      </w:r>
    </w:p>
    <w:p w14:paraId="3EE2A3A5" w14:textId="77777777" w:rsidR="001C6D5B" w:rsidRPr="0092056F" w:rsidRDefault="001C6D5B" w:rsidP="0092056F">
      <w:pPr>
        <w:spacing w:line="360" w:lineRule="auto"/>
        <w:ind w:left="-11"/>
        <w:jc w:val="both"/>
        <w:rPr>
          <w:sz w:val="20"/>
          <w:szCs w:val="20"/>
        </w:rPr>
      </w:pPr>
    </w:p>
    <w:p w14:paraId="3E6F4554" w14:textId="77777777" w:rsidR="00616ACA" w:rsidRDefault="00BB1FA3" w:rsidP="002137BE">
      <w:pPr>
        <w:pStyle w:val="PRIMERAPLANA"/>
        <w:spacing w:line="360" w:lineRule="auto"/>
        <w:rPr>
          <w:rFonts w:ascii="Times New Roman" w:hAnsi="Times New Roman"/>
          <w:lang w:val="es-ES"/>
        </w:rPr>
      </w:pPr>
      <w:r w:rsidRPr="00A27D68">
        <w:rPr>
          <w:rFonts w:ascii="Times New Roman" w:hAnsi="Times New Roman"/>
          <w:lang w:val="es-ES"/>
        </w:rPr>
        <w:t>La Iniciativa de Ley de Ingresos del Estado de Tlaxcala, para el Ejercicio Fiscal 202</w:t>
      </w:r>
      <w:r w:rsidR="00C403A2">
        <w:rPr>
          <w:rFonts w:ascii="Times New Roman" w:hAnsi="Times New Roman"/>
          <w:lang w:val="es-ES"/>
        </w:rPr>
        <w:t>6</w:t>
      </w:r>
      <w:r w:rsidRPr="00A27D68">
        <w:rPr>
          <w:rFonts w:ascii="Times New Roman" w:hAnsi="Times New Roman"/>
          <w:lang w:val="es-ES"/>
        </w:rPr>
        <w:t xml:space="preserve">, que se presenta ante ese Congreso del Estado, se elaboró tomando en consideración las proyecciones económicas previstas por la Secretaría de Hacienda y Crédito Público (SHCP), en </w:t>
      </w:r>
      <w:r w:rsidR="00050355" w:rsidRPr="00A27D68">
        <w:rPr>
          <w:rFonts w:ascii="Times New Roman" w:hAnsi="Times New Roman"/>
          <w:lang w:val="es-ES"/>
        </w:rPr>
        <w:t>el Documento Relativo al Cumplimiento de las Disposiciones contenidas en el artículo 42, fracción I, de la Ley Federal de Presupuesto y Responsabilidad Hacendaria (Pre-Criterios 202</w:t>
      </w:r>
      <w:r w:rsidR="00C403A2">
        <w:rPr>
          <w:rFonts w:ascii="Times New Roman" w:hAnsi="Times New Roman"/>
          <w:lang w:val="es-ES"/>
        </w:rPr>
        <w:t>6</w:t>
      </w:r>
      <w:r w:rsidR="00050355" w:rsidRPr="00A27D68">
        <w:rPr>
          <w:rFonts w:ascii="Times New Roman" w:hAnsi="Times New Roman"/>
          <w:lang w:val="es-ES"/>
        </w:rPr>
        <w:t>)</w:t>
      </w:r>
      <w:r w:rsidRPr="00A27D68">
        <w:rPr>
          <w:rFonts w:ascii="Times New Roman" w:hAnsi="Times New Roman"/>
          <w:lang w:val="es-ES"/>
        </w:rPr>
        <w:t xml:space="preserve">, </w:t>
      </w:r>
      <w:r w:rsidR="00331601" w:rsidRPr="00A27D68">
        <w:rPr>
          <w:rFonts w:ascii="Times New Roman" w:hAnsi="Times New Roman"/>
          <w:lang w:val="es-ES"/>
        </w:rPr>
        <w:t>y en los Criterios Generales de Política Económica para la Iniciativa de Ley de Ingresos y el Proyecto de Presupuesto de Egresos de la Federación correspondientes al Ejercicio Fiscal 202</w:t>
      </w:r>
      <w:r w:rsidR="00C403A2">
        <w:rPr>
          <w:rFonts w:ascii="Times New Roman" w:hAnsi="Times New Roman"/>
          <w:lang w:val="es-ES"/>
        </w:rPr>
        <w:t>6</w:t>
      </w:r>
      <w:r w:rsidR="003F223F" w:rsidRPr="00A27D68">
        <w:rPr>
          <w:rFonts w:ascii="Times New Roman" w:hAnsi="Times New Roman"/>
          <w:lang w:val="es-ES"/>
        </w:rPr>
        <w:t>.</w:t>
      </w:r>
      <w:r w:rsidR="00331601" w:rsidRPr="00A27D68">
        <w:rPr>
          <w:rFonts w:ascii="Times New Roman" w:hAnsi="Times New Roman"/>
          <w:lang w:val="es-ES"/>
        </w:rPr>
        <w:t xml:space="preserve"> </w:t>
      </w:r>
    </w:p>
    <w:p w14:paraId="603232A2" w14:textId="77777777" w:rsidR="00616ACA" w:rsidRDefault="00616ACA" w:rsidP="002137BE">
      <w:pPr>
        <w:pStyle w:val="PRIMERAPLANA"/>
        <w:spacing w:line="360" w:lineRule="auto"/>
        <w:rPr>
          <w:rFonts w:ascii="Times New Roman" w:hAnsi="Times New Roman"/>
          <w:lang w:val="es-ES"/>
        </w:rPr>
      </w:pPr>
    </w:p>
    <w:p w14:paraId="25F07BDD" w14:textId="530C533A" w:rsidR="002137BE" w:rsidRDefault="00331601" w:rsidP="002137BE">
      <w:pPr>
        <w:pStyle w:val="PRIMERAPLANA"/>
        <w:spacing w:line="360" w:lineRule="auto"/>
        <w:rPr>
          <w:rFonts w:ascii="Times New Roman" w:hAnsi="Times New Roman"/>
          <w:lang w:val="es-ES"/>
        </w:rPr>
      </w:pPr>
      <w:r w:rsidRPr="00A27D68">
        <w:rPr>
          <w:rFonts w:ascii="Times New Roman" w:hAnsi="Times New Roman"/>
          <w:lang w:val="es-ES"/>
        </w:rPr>
        <w:t>Se estima que durante el periodo de 202</w:t>
      </w:r>
      <w:r w:rsidR="002137BE">
        <w:rPr>
          <w:rFonts w:ascii="Times New Roman" w:hAnsi="Times New Roman"/>
          <w:lang w:val="es-ES"/>
        </w:rPr>
        <w:t>7</w:t>
      </w:r>
      <w:r w:rsidRPr="00A27D68">
        <w:rPr>
          <w:rFonts w:ascii="Times New Roman" w:hAnsi="Times New Roman"/>
          <w:lang w:val="es-ES"/>
        </w:rPr>
        <w:t xml:space="preserve"> a 20</w:t>
      </w:r>
      <w:r w:rsidR="002137BE">
        <w:rPr>
          <w:rFonts w:ascii="Times New Roman" w:hAnsi="Times New Roman"/>
          <w:lang w:val="es-ES"/>
        </w:rPr>
        <w:t xml:space="preserve">31 </w:t>
      </w:r>
      <w:r w:rsidR="002137BE" w:rsidRPr="002137BE">
        <w:rPr>
          <w:rFonts w:ascii="Times New Roman" w:hAnsi="Times New Roman"/>
          <w:lang w:val="es-ES"/>
        </w:rPr>
        <w:t>la tasa promedio de crecimiento real del PIB se</w:t>
      </w:r>
      <w:r w:rsidR="002137BE">
        <w:rPr>
          <w:rFonts w:ascii="Times New Roman" w:hAnsi="Times New Roman"/>
          <w:lang w:val="es-ES"/>
        </w:rPr>
        <w:t xml:space="preserve"> </w:t>
      </w:r>
      <w:r w:rsidR="002137BE" w:rsidRPr="002137BE">
        <w:rPr>
          <w:rFonts w:ascii="Times New Roman" w:hAnsi="Times New Roman"/>
          <w:lang w:val="es-ES"/>
        </w:rPr>
        <w:t>ubicará en un rango entre 1.5</w:t>
      </w:r>
      <w:r w:rsidR="004E7178">
        <w:rPr>
          <w:rFonts w:ascii="Times New Roman" w:hAnsi="Times New Roman"/>
          <w:lang w:val="es-ES"/>
        </w:rPr>
        <w:t>%</w:t>
      </w:r>
      <w:r w:rsidR="002137BE" w:rsidRPr="002137BE">
        <w:rPr>
          <w:rFonts w:ascii="Times New Roman" w:hAnsi="Times New Roman"/>
          <w:lang w:val="es-ES"/>
        </w:rPr>
        <w:t xml:space="preserve"> y 2.5% anual. Estas proyecciones son consistentes con el incremento</w:t>
      </w:r>
      <w:r w:rsidR="002137BE">
        <w:rPr>
          <w:rFonts w:ascii="Times New Roman" w:hAnsi="Times New Roman"/>
          <w:lang w:val="es-ES"/>
        </w:rPr>
        <w:t xml:space="preserve"> </w:t>
      </w:r>
      <w:r w:rsidR="002137BE" w:rsidRPr="002137BE">
        <w:rPr>
          <w:rFonts w:ascii="Times New Roman" w:hAnsi="Times New Roman"/>
          <w:lang w:val="es-ES"/>
        </w:rPr>
        <w:t>previsto para el PIB potencial, cuyo cálculo se encuentra establecido en el art. 11-C del Reglamento de la</w:t>
      </w:r>
      <w:r w:rsidR="002137BE">
        <w:rPr>
          <w:rFonts w:ascii="Times New Roman" w:hAnsi="Times New Roman"/>
          <w:lang w:val="es-ES"/>
        </w:rPr>
        <w:t xml:space="preserve"> </w:t>
      </w:r>
      <w:r w:rsidR="002137BE" w:rsidRPr="002137BE">
        <w:rPr>
          <w:rFonts w:ascii="Times New Roman" w:hAnsi="Times New Roman"/>
          <w:lang w:val="es-ES"/>
        </w:rPr>
        <w:t>LFPRH.</w:t>
      </w:r>
    </w:p>
    <w:p w14:paraId="61D0865F" w14:textId="77777777" w:rsidR="002137BE" w:rsidRDefault="002137BE" w:rsidP="00331601">
      <w:pPr>
        <w:pStyle w:val="PRIMERAPLANA"/>
        <w:spacing w:line="360" w:lineRule="auto"/>
        <w:rPr>
          <w:rFonts w:ascii="Times New Roman" w:hAnsi="Times New Roman"/>
          <w:lang w:val="es-ES"/>
        </w:rPr>
      </w:pPr>
    </w:p>
    <w:p w14:paraId="4AA62A69" w14:textId="1AE1B4E9" w:rsidR="00331601" w:rsidRPr="00A27D68" w:rsidRDefault="002137BE" w:rsidP="002137BE">
      <w:pPr>
        <w:pStyle w:val="PRIMERAPLANA"/>
        <w:spacing w:line="360" w:lineRule="auto"/>
        <w:rPr>
          <w:rFonts w:ascii="Times New Roman" w:hAnsi="Times New Roman"/>
          <w:lang w:val="es-ES"/>
        </w:rPr>
      </w:pPr>
      <w:r w:rsidRPr="002137BE">
        <w:rPr>
          <w:rFonts w:ascii="Times New Roman" w:hAnsi="Times New Roman"/>
          <w:lang w:val="es-ES"/>
        </w:rPr>
        <w:lastRenderedPageBreak/>
        <w:t>Se pronostica que la inflación se ubicará en el intervalo de variabilidad establecido por el Banco de México</w:t>
      </w:r>
      <w:r>
        <w:rPr>
          <w:rFonts w:ascii="Times New Roman" w:hAnsi="Times New Roman"/>
          <w:lang w:val="es-ES"/>
        </w:rPr>
        <w:t xml:space="preserve"> </w:t>
      </w:r>
      <w:r w:rsidRPr="002137BE">
        <w:rPr>
          <w:rFonts w:ascii="Times New Roman" w:hAnsi="Times New Roman"/>
          <w:lang w:val="es-ES"/>
        </w:rPr>
        <w:t>de 2.0</w:t>
      </w:r>
      <w:r w:rsidR="004E7178">
        <w:rPr>
          <w:rFonts w:ascii="Times New Roman" w:hAnsi="Times New Roman"/>
          <w:lang w:val="es-ES"/>
        </w:rPr>
        <w:t>%</w:t>
      </w:r>
      <w:r w:rsidRPr="002137BE">
        <w:rPr>
          <w:rFonts w:ascii="Times New Roman" w:hAnsi="Times New Roman"/>
          <w:lang w:val="es-ES"/>
        </w:rPr>
        <w:t xml:space="preserve"> a 4.0% anual, mientras que la tasa de Cetes a 28 días se estabilizará en un nivel de 5.5% a partir de</w:t>
      </w:r>
      <w:r>
        <w:rPr>
          <w:rFonts w:ascii="Times New Roman" w:hAnsi="Times New Roman"/>
          <w:lang w:val="es-ES"/>
        </w:rPr>
        <w:t xml:space="preserve"> </w:t>
      </w:r>
      <w:r w:rsidRPr="002137BE">
        <w:rPr>
          <w:rFonts w:ascii="Times New Roman" w:hAnsi="Times New Roman"/>
          <w:lang w:val="es-ES"/>
        </w:rPr>
        <w:t>2027.</w:t>
      </w:r>
    </w:p>
    <w:p w14:paraId="63B5D18A" w14:textId="77777777" w:rsidR="00331601" w:rsidRPr="00A27D68" w:rsidRDefault="00331601" w:rsidP="00331601">
      <w:pPr>
        <w:pStyle w:val="PRIMERAPLANA"/>
        <w:spacing w:line="360" w:lineRule="auto"/>
        <w:rPr>
          <w:rFonts w:ascii="Times New Roman" w:hAnsi="Times New Roman"/>
          <w:lang w:val="es-ES"/>
        </w:rPr>
      </w:pPr>
    </w:p>
    <w:p w14:paraId="22A3DCD6" w14:textId="417712DC" w:rsidR="002137BE" w:rsidRPr="002137BE" w:rsidRDefault="002137BE" w:rsidP="002137BE">
      <w:pPr>
        <w:pStyle w:val="PRIMERAPLANA"/>
        <w:spacing w:line="360" w:lineRule="auto"/>
        <w:rPr>
          <w:rFonts w:ascii="Times New Roman" w:hAnsi="Times New Roman"/>
          <w:lang w:val="es-ES"/>
        </w:rPr>
      </w:pPr>
      <w:r>
        <w:rPr>
          <w:rFonts w:ascii="Times New Roman" w:hAnsi="Times New Roman"/>
          <w:lang w:val="es-ES"/>
        </w:rPr>
        <w:t>L</w:t>
      </w:r>
      <w:r w:rsidRPr="002137BE">
        <w:rPr>
          <w:rFonts w:ascii="Times New Roman" w:hAnsi="Times New Roman"/>
          <w:lang w:val="es-ES"/>
        </w:rPr>
        <w:t>a cuenta corriente de la balanza de pagos registrará un déficit promedio moderado de 0.4% del PIB entre</w:t>
      </w:r>
      <w:r>
        <w:rPr>
          <w:rFonts w:ascii="Times New Roman" w:hAnsi="Times New Roman"/>
          <w:lang w:val="es-ES"/>
        </w:rPr>
        <w:t xml:space="preserve"> </w:t>
      </w:r>
      <w:r w:rsidRPr="002137BE">
        <w:rPr>
          <w:rFonts w:ascii="Times New Roman" w:hAnsi="Times New Roman"/>
          <w:lang w:val="es-ES"/>
        </w:rPr>
        <w:t>2027 y 2031. Este resultado estará determinado, principalmente, por el crecimiento de EE.UU., el cual</w:t>
      </w:r>
      <w:r>
        <w:rPr>
          <w:rFonts w:ascii="Times New Roman" w:hAnsi="Times New Roman"/>
          <w:lang w:val="es-ES"/>
        </w:rPr>
        <w:t xml:space="preserve"> </w:t>
      </w:r>
      <w:r w:rsidRPr="002137BE">
        <w:rPr>
          <w:rFonts w:ascii="Times New Roman" w:hAnsi="Times New Roman"/>
          <w:lang w:val="es-ES"/>
        </w:rPr>
        <w:t>permitirá un incremento de las exportaciones de México y un flujo positivo de remesas provenientes de</w:t>
      </w:r>
      <w:r>
        <w:rPr>
          <w:rFonts w:ascii="Times New Roman" w:hAnsi="Times New Roman"/>
          <w:lang w:val="es-ES"/>
        </w:rPr>
        <w:t xml:space="preserve"> </w:t>
      </w:r>
      <w:r w:rsidRPr="002137BE">
        <w:rPr>
          <w:rFonts w:ascii="Times New Roman" w:hAnsi="Times New Roman"/>
          <w:lang w:val="es-ES"/>
        </w:rPr>
        <w:t>los trabajadores de origen mexicano. La creciente entrada de IED permanecerá como una fuente</w:t>
      </w:r>
      <w:r>
        <w:rPr>
          <w:rFonts w:ascii="Times New Roman" w:hAnsi="Times New Roman"/>
          <w:lang w:val="es-ES"/>
        </w:rPr>
        <w:t xml:space="preserve"> </w:t>
      </w:r>
      <w:r w:rsidRPr="002137BE">
        <w:rPr>
          <w:rFonts w:ascii="Times New Roman" w:hAnsi="Times New Roman"/>
          <w:lang w:val="es-ES"/>
        </w:rPr>
        <w:t>importante de financiamiento de la cuenta corriente en el mediano plazo. Por lo anterior, el tipo de cambio</w:t>
      </w:r>
      <w:r>
        <w:rPr>
          <w:rFonts w:ascii="Times New Roman" w:hAnsi="Times New Roman"/>
          <w:lang w:val="es-ES"/>
        </w:rPr>
        <w:t xml:space="preserve"> </w:t>
      </w:r>
      <w:r w:rsidRPr="002137BE">
        <w:rPr>
          <w:rFonts w:ascii="Times New Roman" w:hAnsi="Times New Roman"/>
          <w:lang w:val="es-ES"/>
        </w:rPr>
        <w:t>se mantendrá estable alrededor de 18.3 pesos por dólar.</w:t>
      </w:r>
    </w:p>
    <w:p w14:paraId="06178872" w14:textId="77777777" w:rsidR="002137BE" w:rsidRDefault="002137BE" w:rsidP="002137BE">
      <w:pPr>
        <w:pStyle w:val="PRIMERAPLANA"/>
        <w:spacing w:line="360" w:lineRule="auto"/>
        <w:rPr>
          <w:rFonts w:ascii="Times New Roman" w:hAnsi="Times New Roman"/>
          <w:lang w:val="es-ES"/>
        </w:rPr>
      </w:pPr>
    </w:p>
    <w:p w14:paraId="5A095B40" w14:textId="5C5B7524" w:rsidR="00331601" w:rsidRPr="00A27D68" w:rsidRDefault="002137BE" w:rsidP="002137BE">
      <w:pPr>
        <w:pStyle w:val="PRIMERAPLANA"/>
        <w:spacing w:line="360" w:lineRule="auto"/>
        <w:rPr>
          <w:rFonts w:ascii="Times New Roman" w:hAnsi="Times New Roman"/>
          <w:lang w:val="es-ES"/>
        </w:rPr>
      </w:pPr>
      <w:r w:rsidRPr="002137BE">
        <w:rPr>
          <w:rFonts w:ascii="Times New Roman" w:hAnsi="Times New Roman"/>
          <w:lang w:val="es-ES"/>
        </w:rPr>
        <w:t>Respecto a los indicadores petroleros, se prevé un precio promedio de 60.2 dpb, en línea con la curva de</w:t>
      </w:r>
      <w:r>
        <w:rPr>
          <w:rFonts w:ascii="Times New Roman" w:hAnsi="Times New Roman"/>
          <w:lang w:val="es-ES"/>
        </w:rPr>
        <w:t xml:space="preserve"> </w:t>
      </w:r>
      <w:r w:rsidRPr="002137BE">
        <w:rPr>
          <w:rFonts w:ascii="Times New Roman" w:hAnsi="Times New Roman"/>
          <w:lang w:val="es-ES"/>
        </w:rPr>
        <w:t>futuros. A la par, se estima que la plataforma de producción de crudo se mantendrá en torno al objetivo</w:t>
      </w:r>
      <w:r>
        <w:rPr>
          <w:rFonts w:ascii="Times New Roman" w:hAnsi="Times New Roman"/>
          <w:lang w:val="es-ES"/>
        </w:rPr>
        <w:t xml:space="preserve"> </w:t>
      </w:r>
      <w:r w:rsidRPr="002137BE">
        <w:rPr>
          <w:rFonts w:ascii="Times New Roman" w:hAnsi="Times New Roman"/>
          <w:lang w:val="es-ES"/>
        </w:rPr>
        <w:t xml:space="preserve">de 1.8 </w:t>
      </w:r>
      <w:proofErr w:type="spellStart"/>
      <w:r w:rsidRPr="002137BE">
        <w:rPr>
          <w:rFonts w:ascii="Times New Roman" w:hAnsi="Times New Roman"/>
          <w:lang w:val="es-ES"/>
        </w:rPr>
        <w:t>Mbd</w:t>
      </w:r>
      <w:proofErr w:type="spellEnd"/>
      <w:r w:rsidRPr="002137BE">
        <w:rPr>
          <w:rFonts w:ascii="Times New Roman" w:hAnsi="Times New Roman"/>
          <w:lang w:val="es-ES"/>
        </w:rPr>
        <w:t>, respaldada por el Plan Estratégico 2025-2035 de Pemex y la creciente producción de</w:t>
      </w:r>
      <w:r>
        <w:rPr>
          <w:rFonts w:ascii="Times New Roman" w:hAnsi="Times New Roman"/>
          <w:lang w:val="es-ES"/>
        </w:rPr>
        <w:t xml:space="preserve"> </w:t>
      </w:r>
      <w:r w:rsidRPr="002137BE">
        <w:rPr>
          <w:rFonts w:ascii="Times New Roman" w:hAnsi="Times New Roman"/>
          <w:lang w:val="es-ES"/>
        </w:rPr>
        <w:t>proyectos mixtos y privados.</w:t>
      </w:r>
    </w:p>
    <w:p w14:paraId="7C8D3EA6" w14:textId="77777777" w:rsidR="002137BE" w:rsidRDefault="002137BE" w:rsidP="00BB1FA3">
      <w:pPr>
        <w:pStyle w:val="PRIMERAPLANA"/>
        <w:spacing w:line="360" w:lineRule="auto"/>
        <w:rPr>
          <w:rFonts w:ascii="Times New Roman" w:hAnsi="Times New Roman"/>
          <w:lang w:val="es-ES"/>
        </w:rPr>
      </w:pPr>
    </w:p>
    <w:p w14:paraId="06B5FE73" w14:textId="3BA9CF94" w:rsidR="00BB1FA3" w:rsidRPr="00A27D68" w:rsidRDefault="009B6BC1" w:rsidP="00BB1FA3">
      <w:pPr>
        <w:pStyle w:val="PRIMERAPLANA"/>
        <w:spacing w:line="360" w:lineRule="auto"/>
        <w:rPr>
          <w:rFonts w:ascii="Times New Roman" w:hAnsi="Times New Roman"/>
          <w:lang w:val="es-ES"/>
        </w:rPr>
      </w:pPr>
      <w:r w:rsidRPr="00A27D68">
        <w:rPr>
          <w:rFonts w:ascii="Times New Roman" w:hAnsi="Times New Roman"/>
          <w:lang w:val="es-ES"/>
        </w:rPr>
        <w:t>L</w:t>
      </w:r>
      <w:r w:rsidR="00BB1FA3" w:rsidRPr="00A27D68">
        <w:rPr>
          <w:rFonts w:ascii="Times New Roman" w:hAnsi="Times New Roman"/>
          <w:lang w:val="es-ES"/>
        </w:rPr>
        <w:t xml:space="preserve">a presente Iniciativa de Ley </w:t>
      </w:r>
      <w:r w:rsidRPr="00A27D68">
        <w:rPr>
          <w:rFonts w:ascii="Times New Roman" w:hAnsi="Times New Roman"/>
          <w:lang w:val="es-ES"/>
        </w:rPr>
        <w:t xml:space="preserve">se presenta </w:t>
      </w:r>
      <w:r w:rsidR="00BB1FA3" w:rsidRPr="00A27D68">
        <w:rPr>
          <w:rFonts w:ascii="Times New Roman" w:hAnsi="Times New Roman"/>
          <w:lang w:val="es-ES"/>
        </w:rPr>
        <w:t>en el formato aprobado por el Consejo Nacional de Armonizaci</w:t>
      </w:r>
      <w:r w:rsidR="00BB1FA3" w:rsidRPr="00A27D68">
        <w:rPr>
          <w:rFonts w:ascii="Times New Roman" w:hAnsi="Times New Roman" w:hint="eastAsia"/>
          <w:lang w:val="es-ES"/>
        </w:rPr>
        <w:t>ó</w:t>
      </w:r>
      <w:r w:rsidR="00BB1FA3" w:rsidRPr="00A27D68">
        <w:rPr>
          <w:rFonts w:ascii="Times New Roman" w:hAnsi="Times New Roman"/>
          <w:lang w:val="es-ES"/>
        </w:rPr>
        <w:t>n Contable (CONAC), de conformidad con</w:t>
      </w:r>
      <w:r w:rsidR="00BB1FA3" w:rsidRPr="008D5C06">
        <w:rPr>
          <w:rFonts w:cs="Arial"/>
          <w:bCs/>
          <w:sz w:val="24"/>
          <w:szCs w:val="24"/>
          <w:lang w:val="es-MX"/>
        </w:rPr>
        <w:t xml:space="preserve"> </w:t>
      </w:r>
      <w:r w:rsidR="00BB1FA3" w:rsidRPr="00A27D68">
        <w:rPr>
          <w:rFonts w:ascii="Times New Roman" w:hAnsi="Times New Roman"/>
          <w:lang w:val="es-ES"/>
        </w:rPr>
        <w:t>las Normas emitidas por este organismo, en t</w:t>
      </w:r>
      <w:r w:rsidR="00BB1FA3" w:rsidRPr="00A27D68">
        <w:rPr>
          <w:rFonts w:ascii="Times New Roman" w:hAnsi="Times New Roman" w:hint="eastAsia"/>
          <w:lang w:val="es-ES"/>
        </w:rPr>
        <w:t>é</w:t>
      </w:r>
      <w:r w:rsidR="00BB1FA3" w:rsidRPr="00A27D68">
        <w:rPr>
          <w:rFonts w:ascii="Times New Roman" w:hAnsi="Times New Roman"/>
          <w:lang w:val="es-ES"/>
        </w:rPr>
        <w:t>rminos de lo dispuesto por los art</w:t>
      </w:r>
      <w:r w:rsidR="00BB1FA3" w:rsidRPr="00A27D68">
        <w:rPr>
          <w:rFonts w:ascii="Times New Roman" w:hAnsi="Times New Roman" w:hint="eastAsia"/>
          <w:lang w:val="es-ES"/>
        </w:rPr>
        <w:t>í</w:t>
      </w:r>
      <w:r w:rsidR="00BB1FA3" w:rsidRPr="00A27D68">
        <w:rPr>
          <w:rFonts w:ascii="Times New Roman" w:hAnsi="Times New Roman"/>
          <w:lang w:val="es-ES"/>
        </w:rPr>
        <w:t xml:space="preserve">culos 9, fracciones I y IX; 14 y 61 de la Ley General de Contabilidad Gubernamental, donde se desglosan los rubros e importes que el Estado estima percibir de conformidad con el Clasificador por Rubro de Ingresos. </w:t>
      </w:r>
    </w:p>
    <w:p w14:paraId="0EEF34CF" w14:textId="77777777" w:rsidR="00BB1FA3" w:rsidRPr="0092056F" w:rsidRDefault="00BB1FA3" w:rsidP="00BB1FA3">
      <w:pPr>
        <w:pStyle w:val="PRIMERAPLANA"/>
        <w:spacing w:line="360" w:lineRule="auto"/>
        <w:rPr>
          <w:rFonts w:ascii="Times New Roman" w:hAnsi="Times New Roman"/>
          <w:lang w:val="es-ES"/>
        </w:rPr>
      </w:pPr>
    </w:p>
    <w:p w14:paraId="5F3D2CA7" w14:textId="66F75AE3" w:rsidR="00BB1FA3" w:rsidRPr="00A27D68" w:rsidRDefault="00BB1FA3" w:rsidP="00BB1FA3">
      <w:pPr>
        <w:spacing w:line="360" w:lineRule="auto"/>
        <w:jc w:val="both"/>
        <w:rPr>
          <w:sz w:val="20"/>
          <w:szCs w:val="20"/>
          <w:lang w:val="es-ES"/>
        </w:rPr>
      </w:pPr>
      <w:r w:rsidRPr="00A27D68">
        <w:rPr>
          <w:sz w:val="20"/>
          <w:szCs w:val="20"/>
          <w:lang w:val="es-ES"/>
        </w:rPr>
        <w:t xml:space="preserve">En el siguiente cuadro se presentan las perspectivas de finanzas públicas de mediano plazo para el Estado de Tlaxcala, tomando como </w:t>
      </w:r>
      <w:r w:rsidR="003F223F" w:rsidRPr="00A27D68">
        <w:rPr>
          <w:sz w:val="20"/>
          <w:szCs w:val="20"/>
          <w:lang w:val="es-ES"/>
        </w:rPr>
        <w:t xml:space="preserve">base </w:t>
      </w:r>
      <w:r w:rsidR="009B6BC1" w:rsidRPr="00A27D68">
        <w:rPr>
          <w:sz w:val="20"/>
          <w:szCs w:val="20"/>
          <w:lang w:val="es-ES"/>
        </w:rPr>
        <w:t xml:space="preserve">las proyecciones económicas previstas por la Secretaría de Hacienda y </w:t>
      </w:r>
      <w:r w:rsidR="009B6BC1" w:rsidRPr="00A27D68">
        <w:rPr>
          <w:sz w:val="20"/>
          <w:szCs w:val="20"/>
          <w:lang w:val="es-ES"/>
        </w:rPr>
        <w:lastRenderedPageBreak/>
        <w:t>Crédito Público (SHCP), en el Documento Relativo al Cumplimiento de las Disposiciones contenidas en el artículo 42, fracción I, de la Ley Federal de Presupuesto y Responsabilidad Hacendaria (Pre-Criterios 202</w:t>
      </w:r>
      <w:r w:rsidR="00042EE9">
        <w:rPr>
          <w:sz w:val="20"/>
          <w:szCs w:val="20"/>
          <w:lang w:val="es-ES"/>
        </w:rPr>
        <w:t>6</w:t>
      </w:r>
      <w:r w:rsidR="009B6BC1" w:rsidRPr="00A27D68">
        <w:rPr>
          <w:sz w:val="20"/>
          <w:szCs w:val="20"/>
          <w:lang w:val="es-ES"/>
        </w:rPr>
        <w:t>)</w:t>
      </w:r>
      <w:r w:rsidR="003F223F" w:rsidRPr="00A27D68">
        <w:rPr>
          <w:sz w:val="20"/>
          <w:szCs w:val="20"/>
          <w:lang w:val="es-ES"/>
        </w:rPr>
        <w:t xml:space="preserve"> y en los Criterios Generales de Política Económica para la Iniciativa de Ley de Ingresos y el Proyecto de Presupuesto de Egresos de la Federación correspondientes al Ejercicio Fiscal 202</w:t>
      </w:r>
      <w:r w:rsidR="00042EE9">
        <w:rPr>
          <w:sz w:val="20"/>
          <w:szCs w:val="20"/>
          <w:lang w:val="es-ES"/>
        </w:rPr>
        <w:t>6</w:t>
      </w:r>
      <w:r w:rsidR="009B6BC1" w:rsidRPr="00A27D68">
        <w:rPr>
          <w:sz w:val="20"/>
          <w:szCs w:val="20"/>
          <w:lang w:val="es-ES"/>
        </w:rPr>
        <w:t>.</w:t>
      </w:r>
    </w:p>
    <w:p w14:paraId="00C155D6" w14:textId="77777777" w:rsidR="00905B1F" w:rsidRDefault="00905B1F" w:rsidP="0092056F">
      <w:pPr>
        <w:pStyle w:val="PRIMERAPLANA"/>
        <w:spacing w:line="360" w:lineRule="auto"/>
        <w:rPr>
          <w:rFonts w:ascii="Times New Roman" w:hAnsi="Times New Roman"/>
          <w:lang w:val="es-ES"/>
        </w:rPr>
      </w:pPr>
    </w:p>
    <w:p w14:paraId="77495F64" w14:textId="6B3480C1" w:rsidR="00905B1F" w:rsidRDefault="00905B1F" w:rsidP="0092056F">
      <w:pPr>
        <w:pStyle w:val="PRIMERAPLANA"/>
        <w:spacing w:line="360" w:lineRule="auto"/>
        <w:rPr>
          <w:rFonts w:ascii="Times New Roman" w:hAnsi="Times New Roman"/>
          <w:lang w:val="es-ES"/>
        </w:rPr>
      </w:pPr>
      <w:r w:rsidRPr="00905B1F">
        <w:rPr>
          <w:noProof/>
        </w:rPr>
        <w:lastRenderedPageBreak/>
        <w:drawing>
          <wp:inline distT="0" distB="0" distL="0" distR="0" wp14:anchorId="33432DE8" wp14:editId="43F33EA4">
            <wp:extent cx="5143500" cy="4528185"/>
            <wp:effectExtent l="0" t="0" r="0" b="5715"/>
            <wp:docPr id="8228619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4528185"/>
                    </a:xfrm>
                    <a:prstGeom prst="rect">
                      <a:avLst/>
                    </a:prstGeom>
                    <a:noFill/>
                    <a:ln>
                      <a:noFill/>
                    </a:ln>
                  </pic:spPr>
                </pic:pic>
              </a:graphicData>
            </a:graphic>
          </wp:inline>
        </w:drawing>
      </w:r>
    </w:p>
    <w:p w14:paraId="10BC8AAB" w14:textId="77777777" w:rsidR="00BB1FA3" w:rsidRPr="0092056F" w:rsidRDefault="00BB1FA3" w:rsidP="0092056F">
      <w:pPr>
        <w:pStyle w:val="PRIMERAPLANA"/>
        <w:spacing w:line="360" w:lineRule="auto"/>
        <w:rPr>
          <w:rFonts w:ascii="Times New Roman" w:hAnsi="Times New Roman"/>
          <w:lang w:val="es-ES"/>
        </w:rPr>
      </w:pPr>
    </w:p>
    <w:p w14:paraId="524264C7" w14:textId="77777777" w:rsidR="003F223F" w:rsidRPr="00A27D68" w:rsidRDefault="003F223F" w:rsidP="00A27D68">
      <w:pPr>
        <w:spacing w:line="360" w:lineRule="auto"/>
        <w:jc w:val="both"/>
        <w:rPr>
          <w:sz w:val="20"/>
          <w:szCs w:val="20"/>
          <w:lang w:val="es-ES"/>
        </w:rPr>
      </w:pPr>
      <w:r w:rsidRPr="00A27D68">
        <w:rPr>
          <w:sz w:val="20"/>
          <w:szCs w:val="20"/>
          <w:lang w:val="es-ES"/>
        </w:rPr>
        <w:t>Es por lo anterior que, los objetivos del Gobierno del Estado en materia de planeaci</w:t>
      </w:r>
      <w:r w:rsidRPr="00A27D68">
        <w:rPr>
          <w:rFonts w:hint="eastAsia"/>
          <w:sz w:val="20"/>
          <w:szCs w:val="20"/>
          <w:lang w:val="es-ES"/>
        </w:rPr>
        <w:t>ó</w:t>
      </w:r>
      <w:r w:rsidRPr="00A27D68">
        <w:rPr>
          <w:sz w:val="20"/>
          <w:szCs w:val="20"/>
          <w:lang w:val="es-ES"/>
        </w:rPr>
        <w:t>n, programaci</w:t>
      </w:r>
      <w:r w:rsidRPr="00A27D68">
        <w:rPr>
          <w:rFonts w:hint="eastAsia"/>
          <w:sz w:val="20"/>
          <w:szCs w:val="20"/>
          <w:lang w:val="es-ES"/>
        </w:rPr>
        <w:t>ó</w:t>
      </w:r>
      <w:r w:rsidRPr="00A27D68">
        <w:rPr>
          <w:sz w:val="20"/>
          <w:szCs w:val="20"/>
          <w:lang w:val="es-ES"/>
        </w:rPr>
        <w:t>n y presupuestaci</w:t>
      </w:r>
      <w:r w:rsidRPr="00A27D68">
        <w:rPr>
          <w:rFonts w:hint="eastAsia"/>
          <w:sz w:val="20"/>
          <w:szCs w:val="20"/>
          <w:lang w:val="es-ES"/>
        </w:rPr>
        <w:t>ó</w:t>
      </w:r>
      <w:r w:rsidRPr="00A27D68">
        <w:rPr>
          <w:sz w:val="20"/>
          <w:szCs w:val="20"/>
          <w:lang w:val="es-ES"/>
        </w:rPr>
        <w:t xml:space="preserve">n, consideran metas en ingresos prudentes y realistas teniendo el reto de aumentar la recaudación </w:t>
      </w:r>
      <w:r w:rsidRPr="00A27D68">
        <w:rPr>
          <w:sz w:val="20"/>
          <w:szCs w:val="20"/>
          <w:lang w:val="es-ES"/>
        </w:rPr>
        <w:lastRenderedPageBreak/>
        <w:t>fiscal, para generar los recursos necesarios que financien el gasto público y lograr un balance presupuestario sostenible.</w:t>
      </w:r>
    </w:p>
    <w:p w14:paraId="3682E015" w14:textId="77777777" w:rsidR="003F223F" w:rsidRDefault="003F223F" w:rsidP="0092056F">
      <w:pPr>
        <w:pStyle w:val="PRIMERAPLANA"/>
        <w:spacing w:line="360" w:lineRule="auto"/>
        <w:rPr>
          <w:rFonts w:ascii="Times New Roman" w:hAnsi="Times New Roman"/>
          <w:lang w:val="es-ES"/>
        </w:rPr>
      </w:pPr>
    </w:p>
    <w:p w14:paraId="62F8A8F5" w14:textId="77777777" w:rsidR="00616ACA" w:rsidRDefault="00616ACA" w:rsidP="0092056F">
      <w:pPr>
        <w:pStyle w:val="PRIMERAPLANA"/>
        <w:spacing w:line="360" w:lineRule="auto"/>
        <w:rPr>
          <w:rFonts w:ascii="Times New Roman" w:hAnsi="Times New Roman"/>
          <w:lang w:val="es-ES"/>
        </w:rPr>
      </w:pPr>
    </w:p>
    <w:p w14:paraId="7A67C15E" w14:textId="77777777" w:rsidR="00616ACA" w:rsidRPr="0092056F" w:rsidRDefault="00616ACA" w:rsidP="0092056F">
      <w:pPr>
        <w:pStyle w:val="PRIMERAPLANA"/>
        <w:spacing w:line="360" w:lineRule="auto"/>
        <w:rPr>
          <w:rFonts w:ascii="Times New Roman" w:hAnsi="Times New Roman"/>
          <w:lang w:val="es-ES"/>
        </w:rPr>
      </w:pPr>
    </w:p>
    <w:p w14:paraId="0E65D36C" w14:textId="751842E7" w:rsidR="00784FA4" w:rsidRPr="0092056F" w:rsidRDefault="00784FA4" w:rsidP="00784FA4">
      <w:pPr>
        <w:pStyle w:val="PRIMERAPLANA"/>
        <w:numPr>
          <w:ilvl w:val="0"/>
          <w:numId w:val="8"/>
        </w:numPr>
        <w:spacing w:line="360" w:lineRule="auto"/>
        <w:ind w:left="567" w:hanging="567"/>
        <w:rPr>
          <w:rFonts w:ascii="Times New Roman" w:hAnsi="Times New Roman"/>
          <w:b/>
          <w:lang w:val="es-MX"/>
        </w:rPr>
      </w:pPr>
      <w:r w:rsidRPr="0092056F">
        <w:rPr>
          <w:rFonts w:ascii="Times New Roman" w:hAnsi="Times New Roman"/>
          <w:b/>
          <w:lang w:val="es-MX"/>
        </w:rPr>
        <w:t>RIESGOS FISCALES</w:t>
      </w:r>
    </w:p>
    <w:p w14:paraId="06AF9CCA" w14:textId="77777777" w:rsidR="00BB1FA3" w:rsidRPr="0092056F" w:rsidRDefault="00BB1FA3" w:rsidP="0092056F">
      <w:pPr>
        <w:pStyle w:val="PRIMERAPLANA"/>
        <w:spacing w:line="360" w:lineRule="auto"/>
        <w:rPr>
          <w:rFonts w:ascii="Times New Roman" w:hAnsi="Times New Roman"/>
          <w:lang w:val="es-ES"/>
        </w:rPr>
      </w:pPr>
    </w:p>
    <w:p w14:paraId="7612BD53" w14:textId="7E21BEC6" w:rsidR="00324AB4" w:rsidRPr="00A27D68" w:rsidRDefault="00324AB4" w:rsidP="00324AB4">
      <w:pPr>
        <w:spacing w:line="360" w:lineRule="auto"/>
        <w:jc w:val="both"/>
        <w:rPr>
          <w:sz w:val="20"/>
          <w:szCs w:val="20"/>
          <w:lang w:val="es-ES"/>
        </w:rPr>
      </w:pPr>
      <w:r w:rsidRPr="00A27D68">
        <w:rPr>
          <w:sz w:val="20"/>
          <w:szCs w:val="20"/>
          <w:lang w:val="es-ES"/>
        </w:rPr>
        <w:t>Considerando los riesgos descritos en el marco macroeconómico, se tienen considerados también ciertos riesgos relevantes para las finanzas públicas estatales que pueden impactar negativamente en la obtención de los ingresos tanto de origen federal como estatal para el Ejercicio Fiscal 202</w:t>
      </w:r>
      <w:r w:rsidR="00582563">
        <w:rPr>
          <w:sz w:val="20"/>
          <w:szCs w:val="20"/>
          <w:lang w:val="es-ES"/>
        </w:rPr>
        <w:t>6</w:t>
      </w:r>
      <w:r w:rsidRPr="00A27D68">
        <w:rPr>
          <w:sz w:val="20"/>
          <w:szCs w:val="20"/>
          <w:lang w:val="es-ES"/>
        </w:rPr>
        <w:t>, mismos que se describen a continuación:</w:t>
      </w:r>
    </w:p>
    <w:p w14:paraId="5A4573D4" w14:textId="77777777" w:rsidR="001C6D5B" w:rsidRPr="0092056F" w:rsidRDefault="001C6D5B" w:rsidP="0092056F">
      <w:pPr>
        <w:pStyle w:val="PRIMERAPLANA"/>
        <w:spacing w:line="360" w:lineRule="auto"/>
        <w:rPr>
          <w:rFonts w:ascii="Times New Roman" w:hAnsi="Times New Roman"/>
          <w:lang w:val="es-ES"/>
        </w:rPr>
      </w:pPr>
    </w:p>
    <w:p w14:paraId="6D251151" w14:textId="5F8F05CF" w:rsidR="001200A0" w:rsidRPr="0092056F" w:rsidRDefault="00186471" w:rsidP="001200A0">
      <w:pPr>
        <w:spacing w:line="360" w:lineRule="auto"/>
        <w:jc w:val="both"/>
        <w:rPr>
          <w:b/>
          <w:sz w:val="20"/>
          <w:szCs w:val="20"/>
        </w:rPr>
      </w:pPr>
      <w:r w:rsidRPr="0092056F">
        <w:rPr>
          <w:b/>
          <w:sz w:val="20"/>
          <w:szCs w:val="20"/>
        </w:rPr>
        <w:t>a</w:t>
      </w:r>
      <w:r w:rsidR="001200A0" w:rsidRPr="0092056F">
        <w:rPr>
          <w:b/>
          <w:sz w:val="20"/>
          <w:szCs w:val="20"/>
        </w:rPr>
        <w:t>. Pensiones y Jubilaciones</w:t>
      </w:r>
    </w:p>
    <w:p w14:paraId="421653A0" w14:textId="77777777" w:rsidR="001200A0" w:rsidRPr="0092056F" w:rsidRDefault="001200A0" w:rsidP="0092056F">
      <w:pPr>
        <w:pStyle w:val="PRIMERAPLANA"/>
        <w:spacing w:line="360" w:lineRule="auto"/>
        <w:rPr>
          <w:rFonts w:ascii="Times New Roman" w:hAnsi="Times New Roman"/>
          <w:lang w:val="es-ES"/>
        </w:rPr>
      </w:pPr>
    </w:p>
    <w:p w14:paraId="6D92FD0F" w14:textId="77777777" w:rsidR="001200A0" w:rsidRPr="00A27D68" w:rsidRDefault="001200A0" w:rsidP="001200A0">
      <w:pPr>
        <w:spacing w:line="360" w:lineRule="auto"/>
        <w:jc w:val="both"/>
        <w:rPr>
          <w:sz w:val="20"/>
          <w:szCs w:val="20"/>
          <w:lang w:val="es-ES"/>
        </w:rPr>
      </w:pPr>
      <w:r w:rsidRPr="00A27D68">
        <w:rPr>
          <w:sz w:val="20"/>
          <w:szCs w:val="20"/>
          <w:lang w:val="es-ES"/>
        </w:rPr>
        <w:t>El flujo de ingresos presente o futuro de una familia puede verse interrumpido por la materialización de los riesgos siguientes: la edad avanzada, la cesantía en edad avanzada, la muerte prematura, los accidentes y las enfermedades que causan la invalidez o incapacidad de seguir trabajando. Los sistemas de pensiones tienen como objetivo proteger el flujo de ingresos de un trabajador y su familia. El Sistema de Pensiones del Estado, desarrolló un esquema de reforma a las pensiones que permitirá, en el largo plazo, garantizar el pago de las mismas, respetando los plazos para las jubilaciones.</w:t>
      </w:r>
    </w:p>
    <w:p w14:paraId="3B0323C8" w14:textId="77777777" w:rsidR="001200A0" w:rsidRPr="00A27D68" w:rsidRDefault="001200A0" w:rsidP="001200A0">
      <w:pPr>
        <w:spacing w:line="360" w:lineRule="auto"/>
        <w:jc w:val="both"/>
        <w:rPr>
          <w:sz w:val="20"/>
          <w:szCs w:val="20"/>
          <w:lang w:val="es-ES"/>
        </w:rPr>
      </w:pPr>
    </w:p>
    <w:p w14:paraId="028088E6" w14:textId="77777777" w:rsidR="001200A0" w:rsidRPr="00A27D68" w:rsidRDefault="001200A0" w:rsidP="001200A0">
      <w:pPr>
        <w:spacing w:line="360" w:lineRule="auto"/>
        <w:jc w:val="both"/>
        <w:rPr>
          <w:sz w:val="20"/>
          <w:szCs w:val="20"/>
          <w:lang w:val="es-ES"/>
        </w:rPr>
      </w:pPr>
      <w:r w:rsidRPr="00A27D68">
        <w:rPr>
          <w:sz w:val="20"/>
          <w:szCs w:val="20"/>
          <w:lang w:val="es-ES"/>
        </w:rPr>
        <w:t>Con las reformas estructurales efectuadas, se garantiza a los jubilados y pensionados el pago puntual de sus pensiones, otorgándoles seguridad económica, y conservar sus derechos de la Ley anterior. Entre las principales reformas efectuadas, tenemos:</w:t>
      </w:r>
    </w:p>
    <w:p w14:paraId="18109FD9" w14:textId="77777777" w:rsidR="001200A0" w:rsidRPr="0092056F" w:rsidRDefault="001200A0" w:rsidP="0092056F">
      <w:pPr>
        <w:pStyle w:val="PRIMERAPLANA"/>
        <w:spacing w:line="360" w:lineRule="auto"/>
        <w:rPr>
          <w:rFonts w:ascii="Times New Roman" w:hAnsi="Times New Roman"/>
          <w:lang w:val="es-ES"/>
        </w:rPr>
      </w:pPr>
    </w:p>
    <w:p w14:paraId="50D0F577" w14:textId="77777777" w:rsidR="001200A0" w:rsidRPr="00A27D68" w:rsidRDefault="001200A0" w:rsidP="00CA0BE0">
      <w:pPr>
        <w:pStyle w:val="Prrafodelista"/>
        <w:numPr>
          <w:ilvl w:val="0"/>
          <w:numId w:val="10"/>
        </w:numPr>
        <w:spacing w:line="360" w:lineRule="auto"/>
        <w:ind w:left="709" w:hanging="284"/>
        <w:jc w:val="both"/>
        <w:rPr>
          <w:sz w:val="20"/>
          <w:szCs w:val="20"/>
        </w:rPr>
      </w:pPr>
      <w:r w:rsidRPr="00A27D68">
        <w:rPr>
          <w:sz w:val="20"/>
          <w:szCs w:val="20"/>
        </w:rPr>
        <w:t xml:space="preserve">Se aumentaron las aportaciones, ya que estas hubiesen sido suficientes para financiar las jubilaciones de los inactivos, pero no para pagar a los nuevos jubilados; </w:t>
      </w:r>
    </w:p>
    <w:p w14:paraId="7B65B875" w14:textId="77777777" w:rsidR="001200A0" w:rsidRPr="00A27D68" w:rsidRDefault="001200A0" w:rsidP="00A27D68">
      <w:pPr>
        <w:spacing w:line="360" w:lineRule="auto"/>
        <w:ind w:left="568" w:hanging="142"/>
        <w:jc w:val="both"/>
        <w:rPr>
          <w:sz w:val="20"/>
          <w:szCs w:val="20"/>
        </w:rPr>
      </w:pPr>
    </w:p>
    <w:p w14:paraId="086265BB" w14:textId="77777777" w:rsidR="001200A0" w:rsidRPr="00A27D68" w:rsidRDefault="001200A0" w:rsidP="00A27D68">
      <w:pPr>
        <w:pStyle w:val="Prrafodelista"/>
        <w:numPr>
          <w:ilvl w:val="0"/>
          <w:numId w:val="10"/>
        </w:numPr>
        <w:spacing w:line="360" w:lineRule="auto"/>
        <w:ind w:left="568" w:hanging="142"/>
        <w:jc w:val="both"/>
        <w:rPr>
          <w:sz w:val="20"/>
          <w:szCs w:val="20"/>
        </w:rPr>
      </w:pPr>
      <w:r w:rsidRPr="00A27D68">
        <w:rPr>
          <w:sz w:val="20"/>
          <w:szCs w:val="20"/>
        </w:rPr>
        <w:t>Se aumenta la edad promedio de jubilación para hombres y mujeres, y</w:t>
      </w:r>
    </w:p>
    <w:p w14:paraId="41E568E9" w14:textId="77777777" w:rsidR="001200A0" w:rsidRPr="00A27D68" w:rsidRDefault="001200A0" w:rsidP="00A27D68">
      <w:pPr>
        <w:spacing w:line="360" w:lineRule="auto"/>
        <w:ind w:left="568" w:hanging="142"/>
        <w:jc w:val="both"/>
        <w:rPr>
          <w:sz w:val="20"/>
          <w:szCs w:val="20"/>
        </w:rPr>
      </w:pPr>
    </w:p>
    <w:p w14:paraId="18F69268" w14:textId="77777777" w:rsidR="001200A0" w:rsidRPr="00A27D68" w:rsidRDefault="001200A0" w:rsidP="00A27D68">
      <w:pPr>
        <w:pStyle w:val="Prrafodelista"/>
        <w:numPr>
          <w:ilvl w:val="0"/>
          <w:numId w:val="10"/>
        </w:numPr>
        <w:spacing w:line="360" w:lineRule="auto"/>
        <w:ind w:left="568" w:hanging="142"/>
        <w:jc w:val="both"/>
        <w:rPr>
          <w:sz w:val="20"/>
          <w:szCs w:val="20"/>
        </w:rPr>
      </w:pPr>
      <w:r w:rsidRPr="00A27D68">
        <w:rPr>
          <w:sz w:val="20"/>
          <w:szCs w:val="20"/>
        </w:rPr>
        <w:t>Se establecen cuentas individuales para los nuevos afiliados.</w:t>
      </w:r>
    </w:p>
    <w:p w14:paraId="465B5880" w14:textId="77777777" w:rsidR="001200A0" w:rsidRPr="00A27D68" w:rsidRDefault="001200A0" w:rsidP="00A27D68">
      <w:pPr>
        <w:spacing w:line="360" w:lineRule="auto"/>
        <w:ind w:left="142"/>
        <w:jc w:val="both"/>
        <w:rPr>
          <w:sz w:val="20"/>
          <w:szCs w:val="20"/>
        </w:rPr>
      </w:pPr>
    </w:p>
    <w:p w14:paraId="395F1399" w14:textId="77777777" w:rsidR="001200A0" w:rsidRPr="00A27D68" w:rsidRDefault="001200A0" w:rsidP="00A27D68">
      <w:pPr>
        <w:spacing w:line="360" w:lineRule="auto"/>
        <w:ind w:left="142"/>
        <w:jc w:val="both"/>
      </w:pPr>
      <w:r w:rsidRPr="00A27D68">
        <w:rPr>
          <w:sz w:val="20"/>
          <w:szCs w:val="20"/>
        </w:rPr>
        <w:t>Con estas reformas al Sistema Estatal de Pensiones y a los servicios médicos se buscó impulsar mecanismos que incentivaran su capitalización, 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2D455A16" w14:textId="1328AE5A" w:rsidR="001200A0" w:rsidRPr="0092056F" w:rsidRDefault="00186471" w:rsidP="001200A0">
      <w:pPr>
        <w:spacing w:line="360" w:lineRule="auto"/>
        <w:jc w:val="both"/>
        <w:rPr>
          <w:b/>
          <w:sz w:val="20"/>
          <w:szCs w:val="20"/>
        </w:rPr>
      </w:pPr>
      <w:r w:rsidRPr="0092056F">
        <w:rPr>
          <w:b/>
          <w:sz w:val="20"/>
          <w:szCs w:val="20"/>
        </w:rPr>
        <w:t>b</w:t>
      </w:r>
      <w:r w:rsidR="001200A0" w:rsidRPr="0092056F">
        <w:rPr>
          <w:b/>
          <w:sz w:val="20"/>
          <w:szCs w:val="20"/>
        </w:rPr>
        <w:t>. Deuda Pública</w:t>
      </w:r>
    </w:p>
    <w:p w14:paraId="589DB969" w14:textId="77777777" w:rsidR="001200A0" w:rsidRPr="0092056F" w:rsidRDefault="001200A0" w:rsidP="0092056F">
      <w:pPr>
        <w:pStyle w:val="PRIMERAPLANA"/>
        <w:spacing w:line="360" w:lineRule="auto"/>
        <w:rPr>
          <w:rFonts w:ascii="Times New Roman" w:hAnsi="Times New Roman"/>
          <w:lang w:val="es-ES"/>
        </w:rPr>
      </w:pPr>
    </w:p>
    <w:p w14:paraId="35DECC8F" w14:textId="77777777" w:rsidR="001200A0" w:rsidRPr="00A27D68" w:rsidRDefault="001200A0" w:rsidP="001200A0">
      <w:pPr>
        <w:spacing w:line="360" w:lineRule="auto"/>
        <w:jc w:val="both"/>
        <w:rPr>
          <w:sz w:val="20"/>
          <w:szCs w:val="20"/>
        </w:rPr>
      </w:pPr>
      <w:r w:rsidRPr="00A27D68">
        <w:rPr>
          <w:sz w:val="20"/>
          <w:szCs w:val="20"/>
        </w:rPr>
        <w:t xml:space="preserve">Desde el inicio de esta administración, se ha mantenido en el Estado de Tlaxcala una Política de Deuda que ha sido ejemplo a nivel nacional, observando principios de disciplina y responsabilidad presupuestaria, lo que ha ubicado a la Entidad con un 0% como porcentaje del PIB Estatal en nivel de endeudamiento, siendo el único Estado a nivel nacional que no es objeto de la medición del Sistema de Alertas, toda vez que no cuenta con Financiamientos y Obligaciones inscritos en el Registro Público Único. Sin embargo, no se desestima en el mediano plazo, la posibilidad de la contratación de deuda para el financiamiento del gasto de inversión, considerando a nivel nacional el deterioro de los resultados fiscales se ha visto incrementada, lo que podría conducir al requerimiento de recursos para mejorar los niveles de liquidez contando con el </w:t>
      </w:r>
      <w:r w:rsidRPr="00A27D68">
        <w:rPr>
          <w:sz w:val="20"/>
          <w:szCs w:val="20"/>
        </w:rPr>
        <w:lastRenderedPageBreak/>
        <w:t>asesoramiento de la banca de desarrollo, para tomar las mejores decisiones en cuestiones de contratación de financiamientos.</w:t>
      </w:r>
    </w:p>
    <w:p w14:paraId="3F5A5481" w14:textId="77777777" w:rsidR="001200A0" w:rsidRPr="0092056F" w:rsidRDefault="001200A0" w:rsidP="0092056F">
      <w:pPr>
        <w:pStyle w:val="PRIMERAPLANA"/>
        <w:spacing w:line="360" w:lineRule="auto"/>
        <w:rPr>
          <w:rFonts w:ascii="Times New Roman" w:hAnsi="Times New Roman"/>
          <w:lang w:val="es-ES"/>
        </w:rPr>
      </w:pPr>
    </w:p>
    <w:p w14:paraId="0768A871" w14:textId="77C06B49" w:rsidR="001200A0" w:rsidRPr="0092056F" w:rsidRDefault="00186471" w:rsidP="001200A0">
      <w:pPr>
        <w:spacing w:line="360" w:lineRule="auto"/>
        <w:jc w:val="both"/>
        <w:rPr>
          <w:b/>
          <w:sz w:val="20"/>
          <w:szCs w:val="20"/>
        </w:rPr>
      </w:pPr>
      <w:r w:rsidRPr="0092056F">
        <w:rPr>
          <w:b/>
          <w:sz w:val="20"/>
          <w:szCs w:val="20"/>
        </w:rPr>
        <w:t>c</w:t>
      </w:r>
      <w:r w:rsidR="001200A0" w:rsidRPr="0092056F">
        <w:rPr>
          <w:b/>
          <w:sz w:val="20"/>
          <w:szCs w:val="20"/>
        </w:rPr>
        <w:t>. Menor crecimiento económico</w:t>
      </w:r>
    </w:p>
    <w:p w14:paraId="5512A6C7" w14:textId="77777777" w:rsidR="001200A0" w:rsidRPr="0092056F" w:rsidRDefault="001200A0" w:rsidP="0092056F">
      <w:pPr>
        <w:pStyle w:val="PRIMERAPLANA"/>
        <w:spacing w:line="360" w:lineRule="auto"/>
        <w:rPr>
          <w:rFonts w:ascii="Times New Roman" w:hAnsi="Times New Roman"/>
          <w:lang w:val="es-ES"/>
        </w:rPr>
      </w:pPr>
    </w:p>
    <w:p w14:paraId="4795152E" w14:textId="2F58BE6C" w:rsidR="001200A0" w:rsidRPr="00A27D68" w:rsidRDefault="001200A0" w:rsidP="00A27D68">
      <w:pPr>
        <w:spacing w:line="360" w:lineRule="auto"/>
        <w:jc w:val="both"/>
        <w:rPr>
          <w:sz w:val="20"/>
          <w:szCs w:val="20"/>
          <w:lang w:val="es-ES"/>
        </w:rPr>
      </w:pPr>
      <w:r w:rsidRPr="00A27D68">
        <w:rPr>
          <w:sz w:val="20"/>
          <w:szCs w:val="20"/>
          <w:lang w:val="es-ES"/>
        </w:rPr>
        <w:t xml:space="preserve">Para contener este riesgo, el Gobierno del Estado ha llevado a cabo una serie de acciones, </w:t>
      </w:r>
      <w:r w:rsidR="005C763D">
        <w:rPr>
          <w:sz w:val="20"/>
          <w:szCs w:val="20"/>
          <w:lang w:val="es-ES"/>
        </w:rPr>
        <w:t xml:space="preserve">que han permitido el establecimiento de uno de los Polos de Desarrollo para el Bienestar, en el Municipio de Huamantla </w:t>
      </w:r>
      <w:r w:rsidR="005C763D" w:rsidRPr="005C763D">
        <w:rPr>
          <w:sz w:val="20"/>
          <w:szCs w:val="20"/>
        </w:rPr>
        <w:t>para fomentar una inversión ordenada, apoyada con estímulos fiscales y una infraestructura adecuada</w:t>
      </w:r>
      <w:r w:rsidR="005C763D">
        <w:rPr>
          <w:sz w:val="20"/>
          <w:szCs w:val="20"/>
        </w:rPr>
        <w:t>,</w:t>
      </w:r>
      <w:r w:rsidR="005C763D">
        <w:rPr>
          <w:sz w:val="20"/>
          <w:szCs w:val="20"/>
          <w:lang w:val="es-ES"/>
        </w:rPr>
        <w:t xml:space="preserve"> </w:t>
      </w:r>
      <w:r w:rsidR="005C763D" w:rsidRPr="005C763D">
        <w:rPr>
          <w:sz w:val="20"/>
          <w:szCs w:val="20"/>
        </w:rPr>
        <w:t>impulsa</w:t>
      </w:r>
      <w:r w:rsidR="005C763D">
        <w:rPr>
          <w:sz w:val="20"/>
          <w:szCs w:val="20"/>
        </w:rPr>
        <w:t>ndo</w:t>
      </w:r>
      <w:r w:rsidR="005C763D" w:rsidRPr="005C763D">
        <w:rPr>
          <w:sz w:val="20"/>
          <w:szCs w:val="20"/>
        </w:rPr>
        <w:t xml:space="preserve"> el desarrollo económico y social, </w:t>
      </w:r>
      <w:r w:rsidR="005C763D">
        <w:rPr>
          <w:sz w:val="20"/>
          <w:szCs w:val="20"/>
        </w:rPr>
        <w:t>focalizando</w:t>
      </w:r>
      <w:r w:rsidR="005C763D" w:rsidRPr="005C763D">
        <w:rPr>
          <w:sz w:val="20"/>
          <w:szCs w:val="20"/>
        </w:rPr>
        <w:t xml:space="preserve"> inversiones y generando empleo</w:t>
      </w:r>
      <w:r w:rsidR="005C763D">
        <w:rPr>
          <w:sz w:val="20"/>
          <w:szCs w:val="20"/>
        </w:rPr>
        <w:t>s,</w:t>
      </w:r>
      <w:r w:rsidR="005C763D" w:rsidRPr="005C763D">
        <w:rPr>
          <w:sz w:val="20"/>
          <w:szCs w:val="20"/>
        </w:rPr>
        <w:t xml:space="preserve"> mediante la creación de ecosistemas industriales</w:t>
      </w:r>
      <w:r w:rsidR="005C763D">
        <w:rPr>
          <w:sz w:val="20"/>
          <w:szCs w:val="20"/>
        </w:rPr>
        <w:t>. Por otra parte, se intensificará</w:t>
      </w:r>
      <w:r w:rsidRPr="00A27D68">
        <w:rPr>
          <w:sz w:val="20"/>
          <w:szCs w:val="20"/>
          <w:lang w:val="es-ES"/>
        </w:rPr>
        <w:t xml:space="preserve"> la incorporación de contribuyentes informales a la formalidad</w:t>
      </w:r>
      <w:r w:rsidR="005C763D">
        <w:rPr>
          <w:sz w:val="20"/>
          <w:szCs w:val="20"/>
          <w:lang w:val="es-ES"/>
        </w:rPr>
        <w:t xml:space="preserve">, mediante </w:t>
      </w:r>
      <w:r w:rsidRPr="00A27D68">
        <w:rPr>
          <w:sz w:val="20"/>
          <w:szCs w:val="20"/>
          <w:lang w:val="es-ES"/>
        </w:rPr>
        <w:t xml:space="preserve">acciones de fiscalización </w:t>
      </w:r>
      <w:r w:rsidR="005C763D">
        <w:rPr>
          <w:sz w:val="20"/>
          <w:szCs w:val="20"/>
          <w:lang w:val="es-ES"/>
        </w:rPr>
        <w:t>que redunden en mejoras de</w:t>
      </w:r>
      <w:r w:rsidRPr="00A27D68">
        <w:rPr>
          <w:sz w:val="20"/>
          <w:szCs w:val="20"/>
          <w:lang w:val="es-ES"/>
        </w:rPr>
        <w:t xml:space="preserve"> la recaudación de contribuciones locales</w:t>
      </w:r>
      <w:r w:rsidR="005C763D">
        <w:rPr>
          <w:sz w:val="20"/>
          <w:szCs w:val="20"/>
          <w:lang w:val="es-ES"/>
        </w:rPr>
        <w:t>; así como</w:t>
      </w:r>
      <w:r w:rsidRPr="00A27D68">
        <w:rPr>
          <w:sz w:val="20"/>
          <w:szCs w:val="20"/>
          <w:lang w:val="es-ES"/>
        </w:rPr>
        <w:t xml:space="preserve"> </w:t>
      </w:r>
      <w:r w:rsidR="00575438">
        <w:rPr>
          <w:sz w:val="20"/>
          <w:szCs w:val="20"/>
          <w:lang w:val="es-ES"/>
        </w:rPr>
        <w:t xml:space="preserve">la promoción de </w:t>
      </w:r>
      <w:r w:rsidR="00575438" w:rsidRPr="00A27D68">
        <w:rPr>
          <w:sz w:val="20"/>
          <w:szCs w:val="20"/>
          <w:lang w:val="es-ES"/>
        </w:rPr>
        <w:t xml:space="preserve">las actividades turísticas </w:t>
      </w:r>
      <w:r w:rsidR="00575438">
        <w:rPr>
          <w:sz w:val="20"/>
          <w:szCs w:val="20"/>
          <w:lang w:val="es-ES"/>
        </w:rPr>
        <w:t>que</w:t>
      </w:r>
      <w:r w:rsidRPr="00A27D68">
        <w:rPr>
          <w:sz w:val="20"/>
          <w:szCs w:val="20"/>
          <w:lang w:val="es-ES"/>
        </w:rPr>
        <w:t xml:space="preserve"> incentiv</w:t>
      </w:r>
      <w:r w:rsidR="00575438">
        <w:rPr>
          <w:sz w:val="20"/>
          <w:szCs w:val="20"/>
          <w:lang w:val="es-ES"/>
        </w:rPr>
        <w:t>en</w:t>
      </w:r>
      <w:r w:rsidRPr="00A27D68">
        <w:rPr>
          <w:sz w:val="20"/>
          <w:szCs w:val="20"/>
          <w:lang w:val="es-ES"/>
        </w:rPr>
        <w:t xml:space="preserve"> la actividad económica</w:t>
      </w:r>
      <w:r w:rsidR="00575438">
        <w:rPr>
          <w:sz w:val="20"/>
          <w:szCs w:val="20"/>
          <w:lang w:val="es-ES"/>
        </w:rPr>
        <w:t xml:space="preserve">, fortaleciendo </w:t>
      </w:r>
      <w:r w:rsidRPr="00A27D68">
        <w:rPr>
          <w:sz w:val="20"/>
          <w:szCs w:val="20"/>
          <w:lang w:val="es-ES"/>
        </w:rPr>
        <w:t xml:space="preserve">el </w:t>
      </w:r>
      <w:r w:rsidR="00575438" w:rsidRPr="00A27D68">
        <w:rPr>
          <w:sz w:val="20"/>
          <w:szCs w:val="20"/>
          <w:lang w:val="es-ES"/>
        </w:rPr>
        <w:t xml:space="preserve">mercado interno </w:t>
      </w:r>
      <w:r w:rsidR="00575438">
        <w:rPr>
          <w:sz w:val="20"/>
          <w:szCs w:val="20"/>
          <w:lang w:val="es-ES"/>
        </w:rPr>
        <w:t xml:space="preserve">a través del </w:t>
      </w:r>
      <w:r w:rsidRPr="00A27D68">
        <w:rPr>
          <w:sz w:val="20"/>
          <w:szCs w:val="20"/>
          <w:lang w:val="es-ES"/>
        </w:rPr>
        <w:t>consumo privado</w:t>
      </w:r>
      <w:r w:rsidR="00575438">
        <w:rPr>
          <w:sz w:val="20"/>
          <w:szCs w:val="20"/>
          <w:lang w:val="es-ES"/>
        </w:rPr>
        <w:t>.</w:t>
      </w:r>
    </w:p>
    <w:p w14:paraId="27E7FFBD" w14:textId="77777777" w:rsidR="00A27D68" w:rsidRPr="0092056F" w:rsidRDefault="00A27D68" w:rsidP="0092056F">
      <w:pPr>
        <w:pStyle w:val="PRIMERAPLANA"/>
        <w:spacing w:line="360" w:lineRule="auto"/>
        <w:rPr>
          <w:rFonts w:ascii="Times New Roman" w:hAnsi="Times New Roman"/>
          <w:lang w:val="es-ES"/>
        </w:rPr>
      </w:pPr>
    </w:p>
    <w:p w14:paraId="109D4407" w14:textId="6EEA2005" w:rsidR="006E2945" w:rsidRPr="00906252" w:rsidRDefault="006E2945" w:rsidP="006E2945">
      <w:pPr>
        <w:pStyle w:val="PRIMERAPLANA"/>
        <w:numPr>
          <w:ilvl w:val="0"/>
          <w:numId w:val="8"/>
        </w:numPr>
        <w:spacing w:line="360" w:lineRule="auto"/>
        <w:ind w:left="567" w:hanging="567"/>
        <w:rPr>
          <w:rFonts w:ascii="Times New Roman" w:hAnsi="Times New Roman"/>
          <w:b/>
          <w:lang w:val="es-MX"/>
        </w:rPr>
      </w:pPr>
      <w:r w:rsidRPr="00906252">
        <w:rPr>
          <w:rFonts w:ascii="Times New Roman" w:hAnsi="Times New Roman"/>
          <w:b/>
          <w:bCs/>
        </w:rPr>
        <w:t>RESULTADOS DE FINANZAS PÚBLICAS 20</w:t>
      </w:r>
      <w:r w:rsidR="00575438">
        <w:rPr>
          <w:rFonts w:ascii="Times New Roman" w:hAnsi="Times New Roman"/>
          <w:b/>
          <w:bCs/>
        </w:rPr>
        <w:t>20</w:t>
      </w:r>
      <w:r w:rsidRPr="00906252">
        <w:rPr>
          <w:rFonts w:ascii="Times New Roman" w:hAnsi="Times New Roman"/>
          <w:b/>
          <w:bCs/>
        </w:rPr>
        <w:t>-202</w:t>
      </w:r>
      <w:r w:rsidR="00575438">
        <w:rPr>
          <w:rFonts w:ascii="Times New Roman" w:hAnsi="Times New Roman"/>
          <w:b/>
          <w:bCs/>
        </w:rPr>
        <w:t>5</w:t>
      </w:r>
      <w:r w:rsidRPr="00906252">
        <w:rPr>
          <w:rFonts w:ascii="Times New Roman" w:hAnsi="Times New Roman"/>
          <w:b/>
          <w:bCs/>
        </w:rPr>
        <w:t>.</w:t>
      </w:r>
    </w:p>
    <w:p w14:paraId="20D863E7" w14:textId="77777777" w:rsidR="006E2945" w:rsidRPr="0092056F" w:rsidRDefault="006E2945" w:rsidP="0092056F">
      <w:pPr>
        <w:pStyle w:val="PRIMERAPLANA"/>
        <w:spacing w:line="360" w:lineRule="auto"/>
        <w:rPr>
          <w:rFonts w:ascii="Times New Roman" w:hAnsi="Times New Roman"/>
          <w:lang w:val="es-ES"/>
        </w:rPr>
      </w:pPr>
    </w:p>
    <w:p w14:paraId="287D5FB3" w14:textId="77777777" w:rsidR="006E2945" w:rsidRDefault="006E2945" w:rsidP="006E2945">
      <w:pPr>
        <w:spacing w:line="360" w:lineRule="auto"/>
        <w:jc w:val="both"/>
        <w:rPr>
          <w:sz w:val="20"/>
          <w:szCs w:val="20"/>
          <w:lang w:val="es-ES"/>
        </w:rPr>
      </w:pPr>
      <w:r w:rsidRPr="00536C11">
        <w:rPr>
          <w:sz w:val="20"/>
          <w:szCs w:val="20"/>
          <w:lang w:val="es-ES"/>
        </w:rPr>
        <w:t>La evolución de las finanzas públicas del Estado obedece a la dinámica recaudatoria de los ingresos estatales totales y de las transferencias federales, las que a su vez son determinadas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altamente sensibles al comportamiento de la economía nacional y de los choques externos, tal y como se observa en la gráfica siguiente:</w:t>
      </w:r>
    </w:p>
    <w:p w14:paraId="395FECAA" w14:textId="77777777" w:rsidR="00536C11" w:rsidRPr="00536C11" w:rsidRDefault="00536C11" w:rsidP="006E2945">
      <w:pPr>
        <w:spacing w:line="360" w:lineRule="auto"/>
        <w:jc w:val="both"/>
        <w:rPr>
          <w:sz w:val="20"/>
          <w:szCs w:val="20"/>
          <w:lang w:val="es-ES"/>
        </w:rPr>
      </w:pPr>
    </w:p>
    <w:p w14:paraId="6CCD1424" w14:textId="4A609969" w:rsidR="006E2945" w:rsidRPr="008D5C06" w:rsidRDefault="00536C11" w:rsidP="006E2945">
      <w:pPr>
        <w:spacing w:line="360" w:lineRule="auto"/>
        <w:jc w:val="both"/>
        <w:rPr>
          <w:rFonts w:ascii="Arial" w:hAnsi="Arial" w:cs="Arial"/>
        </w:rPr>
      </w:pPr>
      <w:r>
        <w:rPr>
          <w:rFonts w:ascii="Arial" w:hAnsi="Arial" w:cs="Arial"/>
          <w:noProof/>
        </w:rPr>
        <w:drawing>
          <wp:inline distT="0" distB="0" distL="0" distR="0" wp14:anchorId="272C7CB0" wp14:editId="075FEAB8">
            <wp:extent cx="5090795" cy="2574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042" cy="2575581"/>
                    </a:xfrm>
                    <a:prstGeom prst="rect">
                      <a:avLst/>
                    </a:prstGeom>
                    <a:noFill/>
                  </pic:spPr>
                </pic:pic>
              </a:graphicData>
            </a:graphic>
          </wp:inline>
        </w:drawing>
      </w:r>
    </w:p>
    <w:p w14:paraId="128A992D" w14:textId="39B1EE18" w:rsidR="006E2945" w:rsidRPr="00906252" w:rsidRDefault="006E2945" w:rsidP="006E2945">
      <w:pPr>
        <w:spacing w:line="360" w:lineRule="auto"/>
        <w:jc w:val="both"/>
        <w:rPr>
          <w:sz w:val="12"/>
          <w:szCs w:val="12"/>
        </w:rPr>
      </w:pPr>
      <w:r w:rsidRPr="00906252">
        <w:rPr>
          <w:b/>
          <w:sz w:val="12"/>
          <w:szCs w:val="12"/>
        </w:rPr>
        <w:t xml:space="preserve">Fuente: </w:t>
      </w:r>
      <w:r w:rsidRPr="00906252">
        <w:rPr>
          <w:sz w:val="12"/>
          <w:szCs w:val="12"/>
        </w:rPr>
        <w:t>www.DOF.gob.mx Ley de Ingresos de la Federación Ejercicios Fiscales 20</w:t>
      </w:r>
      <w:r w:rsidR="00536C11">
        <w:rPr>
          <w:sz w:val="12"/>
          <w:szCs w:val="12"/>
        </w:rPr>
        <w:t>21</w:t>
      </w:r>
      <w:r w:rsidRPr="00906252">
        <w:rPr>
          <w:sz w:val="12"/>
          <w:szCs w:val="12"/>
        </w:rPr>
        <w:t>-202</w:t>
      </w:r>
      <w:r w:rsidR="0096052A">
        <w:rPr>
          <w:sz w:val="12"/>
          <w:szCs w:val="12"/>
        </w:rPr>
        <w:t>5</w:t>
      </w:r>
      <w:r w:rsidRPr="00906252">
        <w:rPr>
          <w:sz w:val="12"/>
          <w:szCs w:val="12"/>
        </w:rPr>
        <w:t>*, Criterios Generales de Política Económica 202</w:t>
      </w:r>
      <w:r w:rsidR="0096052A">
        <w:rPr>
          <w:sz w:val="12"/>
          <w:szCs w:val="12"/>
        </w:rPr>
        <w:t>6</w:t>
      </w:r>
      <w:r w:rsidRPr="00906252">
        <w:rPr>
          <w:sz w:val="12"/>
          <w:szCs w:val="12"/>
        </w:rPr>
        <w:t>.</w:t>
      </w:r>
    </w:p>
    <w:p w14:paraId="6A22FCA2" w14:textId="77777777" w:rsidR="006E2945" w:rsidRPr="0092056F" w:rsidRDefault="006E2945" w:rsidP="0092056F">
      <w:pPr>
        <w:pStyle w:val="PRIMERAPLANA"/>
        <w:spacing w:line="360" w:lineRule="auto"/>
        <w:rPr>
          <w:rFonts w:ascii="Times New Roman" w:hAnsi="Times New Roman"/>
          <w:lang w:val="es-ES"/>
        </w:rPr>
      </w:pPr>
    </w:p>
    <w:p w14:paraId="69D70661" w14:textId="688BC084" w:rsidR="006E2945" w:rsidRDefault="0087521C" w:rsidP="006E2945">
      <w:pPr>
        <w:spacing w:line="360" w:lineRule="auto"/>
        <w:jc w:val="both"/>
        <w:rPr>
          <w:sz w:val="20"/>
          <w:szCs w:val="20"/>
        </w:rPr>
      </w:pPr>
      <w:r w:rsidRPr="00A27D68">
        <w:rPr>
          <w:sz w:val="20"/>
          <w:szCs w:val="20"/>
        </w:rPr>
        <w:t>El</w:t>
      </w:r>
      <w:r w:rsidR="006E2945" w:rsidRPr="00A27D68">
        <w:rPr>
          <w:sz w:val="20"/>
          <w:szCs w:val="20"/>
        </w:rPr>
        <w:t xml:space="preserve"> Ejecutivo del Estado ha implementado una política fiscal para la contención del gasto, limitando el crecimiento del presupuesto, el establecimiento de topes a ciertos rubros del gasto, el congelamiento de plazas vacantes no prioritarias y la aplicación del Acuerdo que establece los Lineamientos y Políticas Generales del Ejercicio del Presupuesto, las Medidas de Mejora y Modernización, así como de Austeridad del Gasto Público de la Gestión Administrativa por parte de las Dependencias y Entidades del Ejecutivo, a fin de optimizar el uso de recursos materiales y financieros en el sector público.</w:t>
      </w:r>
    </w:p>
    <w:p w14:paraId="76B96FB1" w14:textId="77777777" w:rsidR="00FA18A9" w:rsidRPr="00A27D68" w:rsidRDefault="00FA18A9" w:rsidP="006E2945">
      <w:pPr>
        <w:spacing w:line="360" w:lineRule="auto"/>
        <w:jc w:val="both"/>
        <w:rPr>
          <w:sz w:val="20"/>
          <w:szCs w:val="20"/>
        </w:rPr>
      </w:pPr>
    </w:p>
    <w:p w14:paraId="0E5FC0B3" w14:textId="4852F953" w:rsidR="006E2945" w:rsidRPr="00A27D68" w:rsidRDefault="006E2945" w:rsidP="006E2945">
      <w:pPr>
        <w:spacing w:line="360" w:lineRule="auto"/>
        <w:jc w:val="both"/>
        <w:rPr>
          <w:sz w:val="20"/>
          <w:szCs w:val="20"/>
        </w:rPr>
      </w:pPr>
      <w:r w:rsidRPr="00A27D68">
        <w:rPr>
          <w:sz w:val="20"/>
          <w:szCs w:val="20"/>
        </w:rPr>
        <w:t>A continuación, se presentan los resultados obtenidos en la recaudación de contribuciones locales, así como de recursos federales etiquetados y de libre disposición en los últimos cinco años y el pronóstico de cierre 202</w:t>
      </w:r>
      <w:r w:rsidR="00575438">
        <w:rPr>
          <w:sz w:val="20"/>
          <w:szCs w:val="20"/>
        </w:rPr>
        <w:t>5</w:t>
      </w:r>
      <w:r w:rsidRPr="00A27D68">
        <w:rPr>
          <w:sz w:val="20"/>
          <w:szCs w:val="20"/>
        </w:rPr>
        <w:t>.</w:t>
      </w:r>
    </w:p>
    <w:p w14:paraId="0A704ADA" w14:textId="705289E9" w:rsidR="006E2945" w:rsidRPr="0092056F" w:rsidRDefault="006E2945" w:rsidP="0092056F">
      <w:pPr>
        <w:pStyle w:val="PRIMERAPLANA"/>
        <w:spacing w:line="360" w:lineRule="auto"/>
        <w:rPr>
          <w:rFonts w:ascii="Times New Roman" w:hAnsi="Times New Roman"/>
          <w:lang w:val="es-ES"/>
        </w:rPr>
      </w:pPr>
    </w:p>
    <w:p w14:paraId="2981AA87" w14:textId="77777777" w:rsidR="00A27D68" w:rsidRDefault="00A27D68" w:rsidP="0092056F">
      <w:pPr>
        <w:pStyle w:val="PRIMERAPLANA"/>
        <w:spacing w:line="360" w:lineRule="auto"/>
        <w:rPr>
          <w:rFonts w:ascii="Times New Roman" w:hAnsi="Times New Roman"/>
          <w:lang w:val="es-ES"/>
        </w:rPr>
      </w:pPr>
    </w:p>
    <w:p w14:paraId="446950FF" w14:textId="77777777" w:rsidR="00905B1F" w:rsidRDefault="00905B1F" w:rsidP="0092056F">
      <w:pPr>
        <w:pStyle w:val="PRIMERAPLANA"/>
        <w:spacing w:line="360" w:lineRule="auto"/>
        <w:rPr>
          <w:rFonts w:ascii="Times New Roman" w:hAnsi="Times New Roman"/>
          <w:lang w:val="es-ES"/>
        </w:rPr>
      </w:pPr>
    </w:p>
    <w:p w14:paraId="35C80CCE" w14:textId="4BE886B6" w:rsidR="00905B1F" w:rsidRDefault="00905B1F" w:rsidP="0092056F">
      <w:pPr>
        <w:pStyle w:val="PRIMERAPLANA"/>
        <w:spacing w:line="360" w:lineRule="auto"/>
        <w:rPr>
          <w:rFonts w:ascii="Times New Roman" w:hAnsi="Times New Roman"/>
          <w:lang w:val="es-ES"/>
        </w:rPr>
      </w:pPr>
      <w:r w:rsidRPr="00905B1F">
        <w:rPr>
          <w:noProof/>
        </w:rPr>
        <w:drawing>
          <wp:inline distT="0" distB="0" distL="0" distR="0" wp14:anchorId="2F88FB68" wp14:editId="185F1D47">
            <wp:extent cx="5143500" cy="4446270"/>
            <wp:effectExtent l="0" t="0" r="0" b="0"/>
            <wp:docPr id="1494573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4446270"/>
                    </a:xfrm>
                    <a:prstGeom prst="rect">
                      <a:avLst/>
                    </a:prstGeom>
                    <a:noFill/>
                    <a:ln>
                      <a:noFill/>
                    </a:ln>
                  </pic:spPr>
                </pic:pic>
              </a:graphicData>
            </a:graphic>
          </wp:inline>
        </w:drawing>
      </w:r>
    </w:p>
    <w:p w14:paraId="43F1D9E0" w14:textId="77777777" w:rsidR="00A27D68" w:rsidRDefault="00A27D68" w:rsidP="0092056F">
      <w:pPr>
        <w:pStyle w:val="PRIMERAPLANA"/>
        <w:spacing w:line="360" w:lineRule="auto"/>
        <w:rPr>
          <w:rFonts w:ascii="Times New Roman" w:hAnsi="Times New Roman"/>
          <w:lang w:val="es-ES"/>
        </w:rPr>
      </w:pPr>
    </w:p>
    <w:p w14:paraId="08384595" w14:textId="046C0945" w:rsidR="0087521C" w:rsidRPr="0092056F" w:rsidRDefault="0087521C" w:rsidP="0087521C">
      <w:pPr>
        <w:pStyle w:val="PRIMERAPLANA"/>
        <w:numPr>
          <w:ilvl w:val="0"/>
          <w:numId w:val="8"/>
        </w:numPr>
        <w:spacing w:line="360" w:lineRule="auto"/>
        <w:ind w:left="567" w:hanging="567"/>
        <w:rPr>
          <w:rFonts w:ascii="Times New Roman" w:hAnsi="Times New Roman"/>
          <w:b/>
          <w:lang w:val="es-MX"/>
        </w:rPr>
      </w:pPr>
      <w:r w:rsidRPr="0092056F">
        <w:rPr>
          <w:rFonts w:ascii="Times New Roman" w:hAnsi="Times New Roman"/>
          <w:b/>
          <w:bCs/>
        </w:rPr>
        <w:lastRenderedPageBreak/>
        <w:t>ESTUDIO ACTUARIAL DE LAS PENSIONES DEL ESTADO</w:t>
      </w:r>
    </w:p>
    <w:p w14:paraId="14841BD7" w14:textId="77777777" w:rsidR="00BB1FA3" w:rsidRPr="0092056F" w:rsidRDefault="00BB1FA3" w:rsidP="0092056F">
      <w:pPr>
        <w:pStyle w:val="PRIMERAPLANA"/>
        <w:spacing w:line="360" w:lineRule="auto"/>
        <w:rPr>
          <w:rFonts w:ascii="Times New Roman" w:hAnsi="Times New Roman"/>
          <w:lang w:val="es-ES"/>
        </w:rPr>
      </w:pPr>
    </w:p>
    <w:p w14:paraId="643DF63B" w14:textId="68214E65" w:rsidR="0087521C" w:rsidRPr="00A27D68" w:rsidRDefault="0087521C" w:rsidP="0087521C">
      <w:pPr>
        <w:spacing w:line="360" w:lineRule="auto"/>
        <w:jc w:val="both"/>
        <w:rPr>
          <w:sz w:val="20"/>
          <w:szCs w:val="20"/>
          <w:lang w:val="es-ES"/>
        </w:rPr>
      </w:pPr>
      <w:r w:rsidRPr="00A27D68">
        <w:rPr>
          <w:sz w:val="20"/>
          <w:szCs w:val="20"/>
          <w:lang w:val="es-ES"/>
        </w:rPr>
        <w:t>De acuerdo al último estudio actuarial de las pensiones del Estado de Tlaxcala</w:t>
      </w:r>
      <w:r w:rsidRPr="0096052A">
        <w:rPr>
          <w:sz w:val="20"/>
          <w:szCs w:val="20"/>
          <w:vertAlign w:val="superscript"/>
          <w:lang w:val="es-ES"/>
        </w:rPr>
        <w:footnoteReference w:id="1"/>
      </w:r>
      <w:r w:rsidRPr="00A27D68">
        <w:rPr>
          <w:sz w:val="20"/>
          <w:szCs w:val="20"/>
          <w:lang w:val="es-ES"/>
        </w:rPr>
        <w:t>, correspondiente al ejercicio fiscal 202</w:t>
      </w:r>
      <w:r w:rsidR="00186471" w:rsidRPr="00A27D68">
        <w:rPr>
          <w:sz w:val="20"/>
          <w:szCs w:val="20"/>
          <w:lang w:val="es-ES"/>
        </w:rPr>
        <w:t>4</w:t>
      </w:r>
      <w:r w:rsidRPr="00A27D68">
        <w:rPr>
          <w:sz w:val="20"/>
          <w:szCs w:val="20"/>
          <w:lang w:val="es-ES"/>
        </w:rPr>
        <w:t xml:space="preserve"> y con una vigencia al ejercicio 202</w:t>
      </w:r>
      <w:r w:rsidR="00E210E9" w:rsidRPr="00A27D68">
        <w:rPr>
          <w:sz w:val="20"/>
          <w:szCs w:val="20"/>
          <w:lang w:val="es-ES"/>
        </w:rPr>
        <w:t>8</w:t>
      </w:r>
      <w:r w:rsidRPr="00A27D68">
        <w:rPr>
          <w:sz w:val="20"/>
          <w:szCs w:val="20"/>
          <w:lang w:val="es-ES"/>
        </w:rPr>
        <w:t xml:space="preserve"> se tiene una reserva actuarial de </w:t>
      </w:r>
      <w:r w:rsidR="00E210E9" w:rsidRPr="00A27D68">
        <w:rPr>
          <w:sz w:val="20"/>
          <w:szCs w:val="20"/>
          <w:lang w:val="es-ES"/>
        </w:rPr>
        <w:t>422</w:t>
      </w:r>
      <w:r w:rsidRPr="00A27D68">
        <w:rPr>
          <w:sz w:val="20"/>
          <w:szCs w:val="20"/>
          <w:lang w:val="es-ES"/>
        </w:rPr>
        <w:t>.</w:t>
      </w:r>
      <w:r w:rsidR="00E210E9" w:rsidRPr="00A27D68">
        <w:rPr>
          <w:sz w:val="20"/>
          <w:szCs w:val="20"/>
          <w:lang w:val="es-ES"/>
        </w:rPr>
        <w:t>23</w:t>
      </w:r>
      <w:r w:rsidRPr="00A27D68">
        <w:rPr>
          <w:sz w:val="20"/>
          <w:szCs w:val="20"/>
          <w:lang w:val="es-ES"/>
        </w:rPr>
        <w:t xml:space="preserve"> MDP, con una población afiliada activa de </w:t>
      </w:r>
      <w:r w:rsidR="00E210E9" w:rsidRPr="00A27D68">
        <w:rPr>
          <w:sz w:val="20"/>
          <w:szCs w:val="20"/>
          <w:lang w:val="es-ES"/>
        </w:rPr>
        <w:t>9</w:t>
      </w:r>
      <w:r w:rsidRPr="00A27D68">
        <w:rPr>
          <w:sz w:val="20"/>
          <w:szCs w:val="20"/>
          <w:lang w:val="es-ES"/>
        </w:rPr>
        <w:t>,</w:t>
      </w:r>
      <w:r w:rsidR="00E210E9" w:rsidRPr="00A27D68">
        <w:rPr>
          <w:sz w:val="20"/>
          <w:szCs w:val="20"/>
          <w:lang w:val="es-ES"/>
        </w:rPr>
        <w:t>149</w:t>
      </w:r>
      <w:r w:rsidRPr="00A27D68">
        <w:rPr>
          <w:sz w:val="20"/>
          <w:szCs w:val="20"/>
          <w:lang w:val="es-ES"/>
        </w:rPr>
        <w:t xml:space="preserve"> trabajadores y 2,3</w:t>
      </w:r>
      <w:r w:rsidR="00E210E9" w:rsidRPr="00A27D68">
        <w:rPr>
          <w:sz w:val="20"/>
          <w:szCs w:val="20"/>
          <w:lang w:val="es-ES"/>
        </w:rPr>
        <w:t>52</w:t>
      </w:r>
      <w:r w:rsidRPr="00A27D68">
        <w:rPr>
          <w:sz w:val="20"/>
          <w:szCs w:val="20"/>
          <w:lang w:val="es-ES"/>
        </w:rPr>
        <w:t xml:space="preserve"> pensionados, como a continuación se presenta:</w:t>
      </w:r>
    </w:p>
    <w:p w14:paraId="58BD8994" w14:textId="77777777" w:rsidR="0013099F" w:rsidRDefault="0013099F" w:rsidP="0092056F">
      <w:pPr>
        <w:pStyle w:val="PRIMERAPLANA"/>
        <w:spacing w:line="360" w:lineRule="auto"/>
        <w:rPr>
          <w:rFonts w:ascii="Times New Roman" w:hAnsi="Times New Roman"/>
          <w:lang w:val="es-ES"/>
        </w:rPr>
      </w:pPr>
    </w:p>
    <w:p w14:paraId="434779ED" w14:textId="77777777" w:rsidR="00FA18A9" w:rsidRDefault="00FA18A9" w:rsidP="0092056F">
      <w:pPr>
        <w:pStyle w:val="PRIMERAPLANA"/>
        <w:spacing w:line="360" w:lineRule="auto"/>
        <w:rPr>
          <w:rFonts w:ascii="Times New Roman" w:hAnsi="Times New Roman"/>
          <w:lang w:val="es-ES"/>
        </w:rPr>
      </w:pPr>
    </w:p>
    <w:p w14:paraId="381C1E2F" w14:textId="7A53C795" w:rsidR="0087521C" w:rsidRPr="008D5C06" w:rsidRDefault="0087521C" w:rsidP="0087521C">
      <w:pPr>
        <w:spacing w:line="360" w:lineRule="auto"/>
        <w:jc w:val="center"/>
        <w:rPr>
          <w:rFonts w:ascii="Arial" w:hAnsi="Arial" w:cs="Arial"/>
          <w:b/>
        </w:rPr>
      </w:pPr>
      <w:r w:rsidRPr="008D5C06">
        <w:rPr>
          <w:rFonts w:ascii="Arial" w:hAnsi="Arial" w:cs="Arial"/>
          <w:b/>
        </w:rPr>
        <w:t>Estudio Actuarial de Pensiones</w:t>
      </w:r>
    </w:p>
    <w:p w14:paraId="29BEC85E" w14:textId="4F045DC7" w:rsidR="0087521C" w:rsidRPr="008D5C06" w:rsidRDefault="00E210E9" w:rsidP="0087521C">
      <w:pPr>
        <w:spacing w:line="360" w:lineRule="auto"/>
        <w:jc w:val="center"/>
        <w:rPr>
          <w:rFonts w:ascii="Arial" w:hAnsi="Arial" w:cs="Arial"/>
          <w:b/>
        </w:rPr>
      </w:pPr>
      <w:r>
        <w:rPr>
          <w:noProof/>
        </w:rPr>
        <w:lastRenderedPageBreak/>
        <w:drawing>
          <wp:inline distT="0" distB="0" distL="0" distR="0" wp14:anchorId="7B44265F" wp14:editId="69788147">
            <wp:extent cx="5065713" cy="3564127"/>
            <wp:effectExtent l="0" t="0" r="1905" b="0"/>
            <wp:docPr id="1237204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30"/>
                    <a:srcRect l="26393" t="32857" r="32684" b="15952"/>
                    <a:stretch/>
                  </pic:blipFill>
                  <pic:spPr bwMode="auto">
                    <a:xfrm>
                      <a:off x="0" y="0"/>
                      <a:ext cx="5137080" cy="3614339"/>
                    </a:xfrm>
                    <a:prstGeom prst="rect">
                      <a:avLst/>
                    </a:prstGeom>
                    <a:ln>
                      <a:noFill/>
                    </a:ln>
                    <a:extLst>
                      <a:ext uri="{53640926-AAD7-44D8-BBD7-CCE9431645EC}">
                        <a14:shadowObscured xmlns:a14="http://schemas.microsoft.com/office/drawing/2010/main"/>
                      </a:ext>
                    </a:extLst>
                  </pic:spPr>
                </pic:pic>
              </a:graphicData>
            </a:graphic>
          </wp:inline>
        </w:drawing>
      </w:r>
    </w:p>
    <w:p w14:paraId="17198914" w14:textId="77777777" w:rsidR="0087521C" w:rsidRDefault="0087521C" w:rsidP="0087521C">
      <w:pPr>
        <w:spacing w:line="360" w:lineRule="auto"/>
        <w:jc w:val="both"/>
        <w:rPr>
          <w:rFonts w:ascii="Arial" w:hAnsi="Arial" w:cs="Arial"/>
        </w:rPr>
      </w:pPr>
    </w:p>
    <w:p w14:paraId="7794AF79" w14:textId="28963CE3" w:rsidR="00E210E9" w:rsidRPr="008D5C06" w:rsidRDefault="00E210E9" w:rsidP="0087521C">
      <w:pPr>
        <w:spacing w:line="360" w:lineRule="auto"/>
        <w:jc w:val="both"/>
        <w:rPr>
          <w:rFonts w:ascii="Arial" w:hAnsi="Arial" w:cs="Arial"/>
        </w:rPr>
      </w:pPr>
      <w:r>
        <w:rPr>
          <w:noProof/>
        </w:rPr>
        <w:lastRenderedPageBreak/>
        <w:drawing>
          <wp:inline distT="0" distB="0" distL="0" distR="0" wp14:anchorId="26AAA1FD" wp14:editId="034FF238">
            <wp:extent cx="5168637" cy="2782332"/>
            <wp:effectExtent l="0" t="0" r="0" b="0"/>
            <wp:docPr id="179166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31"/>
                    <a:srcRect l="27583" t="31385" r="25616" b="23824"/>
                    <a:stretch/>
                  </pic:blipFill>
                  <pic:spPr bwMode="auto">
                    <a:xfrm>
                      <a:off x="0" y="0"/>
                      <a:ext cx="5186250" cy="2791813"/>
                    </a:xfrm>
                    <a:prstGeom prst="rect">
                      <a:avLst/>
                    </a:prstGeom>
                    <a:ln>
                      <a:noFill/>
                    </a:ln>
                    <a:extLst>
                      <a:ext uri="{53640926-AAD7-44D8-BBD7-CCE9431645EC}">
                        <a14:shadowObscured xmlns:a14="http://schemas.microsoft.com/office/drawing/2010/main"/>
                      </a:ext>
                    </a:extLst>
                  </pic:spPr>
                </pic:pic>
              </a:graphicData>
            </a:graphic>
          </wp:inline>
        </w:drawing>
      </w:r>
    </w:p>
    <w:p w14:paraId="599F8331" w14:textId="6D75C157" w:rsidR="0087521C" w:rsidRPr="008D5C06" w:rsidRDefault="00A04790" w:rsidP="0087521C">
      <w:pPr>
        <w:spacing w:line="360" w:lineRule="auto"/>
        <w:jc w:val="both"/>
        <w:rPr>
          <w:rFonts w:ascii="Arial" w:hAnsi="Arial" w:cs="Arial"/>
        </w:rPr>
      </w:pPr>
      <w:r>
        <w:rPr>
          <w:noProof/>
        </w:rPr>
        <w:drawing>
          <wp:inline distT="0" distB="0" distL="0" distR="0" wp14:anchorId="76D180BE" wp14:editId="0EDA2AED">
            <wp:extent cx="5163133" cy="2048256"/>
            <wp:effectExtent l="0" t="0" r="0" b="9525"/>
            <wp:docPr id="954285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32"/>
                    <a:srcRect l="14326" t="31386" r="19367" b="26865"/>
                    <a:stretch/>
                  </pic:blipFill>
                  <pic:spPr bwMode="auto">
                    <a:xfrm>
                      <a:off x="0" y="0"/>
                      <a:ext cx="5193978" cy="2060493"/>
                    </a:xfrm>
                    <a:prstGeom prst="rect">
                      <a:avLst/>
                    </a:prstGeom>
                    <a:ln>
                      <a:noFill/>
                    </a:ln>
                    <a:extLst>
                      <a:ext uri="{53640926-AAD7-44D8-BBD7-CCE9431645EC}">
                        <a14:shadowObscured xmlns:a14="http://schemas.microsoft.com/office/drawing/2010/main"/>
                      </a:ext>
                    </a:extLst>
                  </pic:spPr>
                </pic:pic>
              </a:graphicData>
            </a:graphic>
          </wp:inline>
        </w:drawing>
      </w:r>
    </w:p>
    <w:p w14:paraId="5778C4E4" w14:textId="4B30A11D" w:rsidR="0087521C" w:rsidRPr="008D5C06" w:rsidRDefault="00A04790" w:rsidP="0087521C">
      <w:pPr>
        <w:spacing w:line="360" w:lineRule="auto"/>
        <w:jc w:val="both"/>
        <w:rPr>
          <w:rFonts w:ascii="Arial" w:hAnsi="Arial" w:cs="Arial"/>
        </w:rPr>
      </w:pPr>
      <w:r>
        <w:rPr>
          <w:noProof/>
        </w:rPr>
        <w:lastRenderedPageBreak/>
        <w:drawing>
          <wp:inline distT="0" distB="0" distL="0" distR="0" wp14:anchorId="377A4B84" wp14:editId="1194759E">
            <wp:extent cx="5184399" cy="1697127"/>
            <wp:effectExtent l="0" t="0" r="0" b="0"/>
            <wp:docPr id="370990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33"/>
                    <a:srcRect l="14330" t="45895" r="36345" b="24491"/>
                    <a:stretch/>
                  </pic:blipFill>
                  <pic:spPr bwMode="auto">
                    <a:xfrm>
                      <a:off x="0" y="0"/>
                      <a:ext cx="5224803" cy="1710354"/>
                    </a:xfrm>
                    <a:prstGeom prst="rect">
                      <a:avLst/>
                    </a:prstGeom>
                    <a:ln>
                      <a:noFill/>
                    </a:ln>
                    <a:extLst>
                      <a:ext uri="{53640926-AAD7-44D8-BBD7-CCE9431645EC}">
                        <a14:shadowObscured xmlns:a14="http://schemas.microsoft.com/office/drawing/2010/main"/>
                      </a:ext>
                    </a:extLst>
                  </pic:spPr>
                </pic:pic>
              </a:graphicData>
            </a:graphic>
          </wp:inline>
        </w:drawing>
      </w:r>
    </w:p>
    <w:p w14:paraId="0C667B1C" w14:textId="1577F33B" w:rsidR="0087521C" w:rsidRPr="00A27D68" w:rsidRDefault="0087521C" w:rsidP="0087521C">
      <w:pPr>
        <w:spacing w:line="360" w:lineRule="auto"/>
        <w:jc w:val="both"/>
        <w:rPr>
          <w:sz w:val="20"/>
          <w:szCs w:val="20"/>
          <w:lang w:val="es-ES"/>
        </w:rPr>
      </w:pPr>
      <w:r w:rsidRPr="00A27D68">
        <w:rPr>
          <w:sz w:val="20"/>
          <w:szCs w:val="20"/>
          <w:lang w:val="es-ES"/>
        </w:rPr>
        <w:t xml:space="preserve">Con la finalidad de coadyuvar en el saneamiento de las Pensiones Civiles del Estado de Tlaxcala, el Ejecutivo del Estado ha otorgado del ejercicio 2017 a la fecha aportaciones extraordinarias a Pensiones Civiles del Estado por un importe estimado de </w:t>
      </w:r>
      <w:r w:rsidR="00E51900">
        <w:rPr>
          <w:sz w:val="20"/>
          <w:szCs w:val="20"/>
          <w:lang w:val="es-ES"/>
        </w:rPr>
        <w:t>500</w:t>
      </w:r>
      <w:r w:rsidR="004208F6">
        <w:rPr>
          <w:sz w:val="20"/>
          <w:szCs w:val="20"/>
          <w:lang w:val="es-ES"/>
        </w:rPr>
        <w:t>.6</w:t>
      </w:r>
      <w:r w:rsidRPr="00A27D68">
        <w:rPr>
          <w:sz w:val="20"/>
          <w:szCs w:val="20"/>
          <w:lang w:val="es-ES"/>
        </w:rPr>
        <w:t xml:space="preserve"> MDP al cierre de 202</w:t>
      </w:r>
      <w:r w:rsidR="00195912">
        <w:rPr>
          <w:sz w:val="20"/>
          <w:szCs w:val="20"/>
          <w:lang w:val="es-ES"/>
        </w:rPr>
        <w:t>5</w:t>
      </w:r>
      <w:r w:rsidRPr="00A27D68">
        <w:rPr>
          <w:sz w:val="20"/>
          <w:szCs w:val="20"/>
          <w:lang w:val="es-ES"/>
        </w:rPr>
        <w:t>.</w:t>
      </w:r>
    </w:p>
    <w:p w14:paraId="528D9CAA" w14:textId="77777777" w:rsidR="0087521C" w:rsidRPr="0092056F" w:rsidRDefault="0087521C" w:rsidP="0092056F">
      <w:pPr>
        <w:pStyle w:val="PRIMERAPLANA"/>
        <w:spacing w:line="360" w:lineRule="auto"/>
        <w:rPr>
          <w:rFonts w:ascii="Times New Roman" w:hAnsi="Times New Roman"/>
          <w:lang w:val="es-ES"/>
        </w:rPr>
      </w:pPr>
    </w:p>
    <w:tbl>
      <w:tblPr>
        <w:tblW w:w="3681" w:type="dxa"/>
        <w:jc w:val="center"/>
        <w:tblCellMar>
          <w:left w:w="70" w:type="dxa"/>
          <w:right w:w="70" w:type="dxa"/>
        </w:tblCellMar>
        <w:tblLook w:val="04A0" w:firstRow="1" w:lastRow="0" w:firstColumn="1" w:lastColumn="0" w:noHBand="0" w:noVBand="1"/>
      </w:tblPr>
      <w:tblGrid>
        <w:gridCol w:w="1811"/>
        <w:gridCol w:w="1870"/>
      </w:tblGrid>
      <w:tr w:rsidR="0087521C" w:rsidRPr="007D3F25" w14:paraId="3CCA588A" w14:textId="77777777" w:rsidTr="00FA18A9">
        <w:trPr>
          <w:trHeight w:val="722"/>
          <w:tblHeader/>
          <w:jc w:val="center"/>
        </w:trPr>
        <w:tc>
          <w:tcPr>
            <w:tcW w:w="181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DC00824"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AÑO</w:t>
            </w:r>
          </w:p>
        </w:tc>
        <w:tc>
          <w:tcPr>
            <w:tcW w:w="187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B051382"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APOYO ESTATAL EXTRAORDINARIO (MDP)</w:t>
            </w:r>
          </w:p>
        </w:tc>
      </w:tr>
      <w:tr w:rsidR="0087521C" w:rsidRPr="007D3F25" w14:paraId="269E26E0" w14:textId="77777777" w:rsidTr="00FA18A9">
        <w:trPr>
          <w:trHeight w:val="215"/>
          <w:jc w:val="center"/>
        </w:trPr>
        <w:tc>
          <w:tcPr>
            <w:tcW w:w="1811" w:type="dxa"/>
            <w:tcBorders>
              <w:top w:val="nil"/>
              <w:left w:val="single" w:sz="4" w:space="0" w:color="auto"/>
              <w:bottom w:val="single" w:sz="4" w:space="0" w:color="auto"/>
              <w:right w:val="single" w:sz="4" w:space="0" w:color="auto"/>
            </w:tcBorders>
            <w:noWrap/>
            <w:vAlign w:val="center"/>
          </w:tcPr>
          <w:p w14:paraId="39B378C8"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2017</w:t>
            </w:r>
          </w:p>
        </w:tc>
        <w:tc>
          <w:tcPr>
            <w:tcW w:w="1870" w:type="dxa"/>
            <w:tcBorders>
              <w:top w:val="nil"/>
              <w:left w:val="nil"/>
              <w:bottom w:val="single" w:sz="4" w:space="0" w:color="auto"/>
              <w:right w:val="single" w:sz="4" w:space="0" w:color="auto"/>
            </w:tcBorders>
            <w:noWrap/>
            <w:vAlign w:val="center"/>
          </w:tcPr>
          <w:p w14:paraId="352D518C" w14:textId="77777777" w:rsidR="0087521C" w:rsidRPr="007D3F25" w:rsidRDefault="0087521C" w:rsidP="008E35EA">
            <w:pPr>
              <w:spacing w:line="360" w:lineRule="auto"/>
              <w:jc w:val="right"/>
              <w:rPr>
                <w:bCs/>
                <w:color w:val="000000"/>
                <w:sz w:val="18"/>
                <w:szCs w:val="18"/>
                <w:highlight w:val="yellow"/>
                <w:lang w:eastAsia="es-MX"/>
              </w:rPr>
            </w:pPr>
            <w:r w:rsidRPr="007D3F25">
              <w:rPr>
                <w:bCs/>
                <w:color w:val="000000"/>
                <w:sz w:val="18"/>
                <w:szCs w:val="18"/>
                <w:lang w:eastAsia="es-MX"/>
              </w:rPr>
              <w:t>26.6</w:t>
            </w:r>
          </w:p>
        </w:tc>
      </w:tr>
      <w:tr w:rsidR="0087521C" w:rsidRPr="007D3F25" w14:paraId="28693382" w14:textId="77777777" w:rsidTr="00FA18A9">
        <w:trPr>
          <w:trHeight w:val="264"/>
          <w:jc w:val="center"/>
        </w:trPr>
        <w:tc>
          <w:tcPr>
            <w:tcW w:w="1811" w:type="dxa"/>
            <w:tcBorders>
              <w:top w:val="nil"/>
              <w:left w:val="single" w:sz="4" w:space="0" w:color="auto"/>
              <w:bottom w:val="single" w:sz="4" w:space="0" w:color="auto"/>
              <w:right w:val="single" w:sz="4" w:space="0" w:color="auto"/>
            </w:tcBorders>
            <w:noWrap/>
            <w:vAlign w:val="center"/>
          </w:tcPr>
          <w:p w14:paraId="1C463000"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2018</w:t>
            </w:r>
          </w:p>
        </w:tc>
        <w:tc>
          <w:tcPr>
            <w:tcW w:w="1870" w:type="dxa"/>
            <w:tcBorders>
              <w:top w:val="nil"/>
              <w:left w:val="nil"/>
              <w:bottom w:val="single" w:sz="4" w:space="0" w:color="auto"/>
              <w:right w:val="single" w:sz="4" w:space="0" w:color="auto"/>
            </w:tcBorders>
            <w:noWrap/>
            <w:vAlign w:val="center"/>
          </w:tcPr>
          <w:p w14:paraId="4BAC348F"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31.0</w:t>
            </w:r>
          </w:p>
        </w:tc>
      </w:tr>
      <w:tr w:rsidR="0087521C" w:rsidRPr="007D3F25" w14:paraId="2DA32B6F" w14:textId="77777777" w:rsidTr="00FA18A9">
        <w:trPr>
          <w:trHeight w:val="286"/>
          <w:jc w:val="center"/>
        </w:trPr>
        <w:tc>
          <w:tcPr>
            <w:tcW w:w="1811" w:type="dxa"/>
            <w:tcBorders>
              <w:top w:val="nil"/>
              <w:left w:val="single" w:sz="4" w:space="0" w:color="auto"/>
              <w:bottom w:val="single" w:sz="4" w:space="0" w:color="auto"/>
              <w:right w:val="single" w:sz="4" w:space="0" w:color="auto"/>
            </w:tcBorders>
            <w:noWrap/>
            <w:vAlign w:val="center"/>
          </w:tcPr>
          <w:p w14:paraId="66E9C8BB"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2019</w:t>
            </w:r>
          </w:p>
        </w:tc>
        <w:tc>
          <w:tcPr>
            <w:tcW w:w="1870" w:type="dxa"/>
            <w:tcBorders>
              <w:top w:val="nil"/>
              <w:left w:val="nil"/>
              <w:bottom w:val="single" w:sz="4" w:space="0" w:color="auto"/>
              <w:right w:val="single" w:sz="4" w:space="0" w:color="auto"/>
            </w:tcBorders>
            <w:noWrap/>
            <w:vAlign w:val="center"/>
          </w:tcPr>
          <w:p w14:paraId="31C6AB37"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55.0</w:t>
            </w:r>
          </w:p>
        </w:tc>
      </w:tr>
      <w:tr w:rsidR="0087521C" w:rsidRPr="007D3F25" w14:paraId="4EF7BEE1" w14:textId="77777777" w:rsidTr="00FA18A9">
        <w:trPr>
          <w:trHeight w:val="291"/>
          <w:jc w:val="center"/>
        </w:trPr>
        <w:tc>
          <w:tcPr>
            <w:tcW w:w="1811" w:type="dxa"/>
            <w:tcBorders>
              <w:top w:val="single" w:sz="4" w:space="0" w:color="auto"/>
              <w:left w:val="single" w:sz="4" w:space="0" w:color="auto"/>
              <w:bottom w:val="single" w:sz="4" w:space="0" w:color="auto"/>
              <w:right w:val="single" w:sz="4" w:space="0" w:color="auto"/>
            </w:tcBorders>
            <w:noWrap/>
            <w:vAlign w:val="center"/>
          </w:tcPr>
          <w:p w14:paraId="67C5FB9E"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2020</w:t>
            </w:r>
          </w:p>
        </w:tc>
        <w:tc>
          <w:tcPr>
            <w:tcW w:w="1870" w:type="dxa"/>
            <w:tcBorders>
              <w:top w:val="single" w:sz="4" w:space="0" w:color="auto"/>
              <w:left w:val="nil"/>
              <w:bottom w:val="single" w:sz="4" w:space="0" w:color="auto"/>
              <w:right w:val="single" w:sz="4" w:space="0" w:color="auto"/>
            </w:tcBorders>
            <w:noWrap/>
            <w:vAlign w:val="center"/>
          </w:tcPr>
          <w:p w14:paraId="3152C261"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80.5</w:t>
            </w:r>
          </w:p>
        </w:tc>
      </w:tr>
      <w:tr w:rsidR="0087521C" w:rsidRPr="007D3F25" w14:paraId="7C15EB46" w14:textId="77777777" w:rsidTr="00FA18A9">
        <w:trPr>
          <w:trHeight w:val="291"/>
          <w:jc w:val="center"/>
        </w:trPr>
        <w:tc>
          <w:tcPr>
            <w:tcW w:w="1811" w:type="dxa"/>
            <w:tcBorders>
              <w:top w:val="single" w:sz="4" w:space="0" w:color="auto"/>
              <w:left w:val="single" w:sz="4" w:space="0" w:color="auto"/>
              <w:bottom w:val="single" w:sz="4" w:space="0" w:color="auto"/>
              <w:right w:val="single" w:sz="4" w:space="0" w:color="auto"/>
            </w:tcBorders>
            <w:noWrap/>
            <w:vAlign w:val="center"/>
          </w:tcPr>
          <w:p w14:paraId="1162AE0F"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2021</w:t>
            </w:r>
          </w:p>
        </w:tc>
        <w:tc>
          <w:tcPr>
            <w:tcW w:w="1870" w:type="dxa"/>
            <w:tcBorders>
              <w:top w:val="single" w:sz="4" w:space="0" w:color="auto"/>
              <w:left w:val="nil"/>
              <w:bottom w:val="single" w:sz="4" w:space="0" w:color="auto"/>
              <w:right w:val="single" w:sz="4" w:space="0" w:color="auto"/>
            </w:tcBorders>
            <w:noWrap/>
            <w:vAlign w:val="center"/>
          </w:tcPr>
          <w:p w14:paraId="11BC33A5"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49.6</w:t>
            </w:r>
          </w:p>
        </w:tc>
      </w:tr>
      <w:tr w:rsidR="0087521C" w:rsidRPr="007D3F25" w14:paraId="4F616107" w14:textId="77777777" w:rsidTr="00FA18A9">
        <w:trPr>
          <w:trHeight w:val="291"/>
          <w:jc w:val="center"/>
        </w:trPr>
        <w:tc>
          <w:tcPr>
            <w:tcW w:w="1811" w:type="dxa"/>
            <w:tcBorders>
              <w:top w:val="nil"/>
              <w:left w:val="single" w:sz="4" w:space="0" w:color="auto"/>
              <w:bottom w:val="single" w:sz="4" w:space="0" w:color="auto"/>
              <w:right w:val="single" w:sz="4" w:space="0" w:color="auto"/>
            </w:tcBorders>
            <w:noWrap/>
            <w:vAlign w:val="center"/>
          </w:tcPr>
          <w:p w14:paraId="6FEFCE51"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2022</w:t>
            </w:r>
          </w:p>
        </w:tc>
        <w:tc>
          <w:tcPr>
            <w:tcW w:w="1870" w:type="dxa"/>
            <w:tcBorders>
              <w:top w:val="nil"/>
              <w:left w:val="nil"/>
              <w:bottom w:val="single" w:sz="4" w:space="0" w:color="auto"/>
              <w:right w:val="single" w:sz="4" w:space="0" w:color="auto"/>
            </w:tcBorders>
            <w:noWrap/>
            <w:vAlign w:val="center"/>
          </w:tcPr>
          <w:p w14:paraId="5DCAFD39" w14:textId="77777777" w:rsidR="0087521C" w:rsidRPr="007D3F25" w:rsidRDefault="0087521C" w:rsidP="008E35EA">
            <w:pPr>
              <w:spacing w:line="360" w:lineRule="auto"/>
              <w:jc w:val="right"/>
              <w:rPr>
                <w:color w:val="000000"/>
                <w:sz w:val="18"/>
                <w:szCs w:val="18"/>
                <w:lang w:eastAsia="es-MX"/>
              </w:rPr>
            </w:pPr>
            <w:r w:rsidRPr="007D3F25">
              <w:rPr>
                <w:color w:val="000000"/>
                <w:sz w:val="18"/>
                <w:szCs w:val="18"/>
                <w:lang w:eastAsia="es-MX"/>
              </w:rPr>
              <w:t>77.6</w:t>
            </w:r>
          </w:p>
        </w:tc>
      </w:tr>
      <w:tr w:rsidR="0087521C" w:rsidRPr="007D3F25" w14:paraId="3B8E940E" w14:textId="77777777" w:rsidTr="00FA18A9">
        <w:trPr>
          <w:trHeight w:val="291"/>
          <w:jc w:val="center"/>
        </w:trPr>
        <w:tc>
          <w:tcPr>
            <w:tcW w:w="1811" w:type="dxa"/>
            <w:tcBorders>
              <w:top w:val="nil"/>
              <w:left w:val="single" w:sz="4" w:space="0" w:color="auto"/>
              <w:bottom w:val="single" w:sz="4" w:space="0" w:color="auto"/>
              <w:right w:val="single" w:sz="4" w:space="0" w:color="auto"/>
            </w:tcBorders>
            <w:noWrap/>
            <w:vAlign w:val="center"/>
          </w:tcPr>
          <w:p w14:paraId="65D423E8" w14:textId="6A9F2254"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2023</w:t>
            </w:r>
          </w:p>
        </w:tc>
        <w:tc>
          <w:tcPr>
            <w:tcW w:w="1870" w:type="dxa"/>
            <w:tcBorders>
              <w:top w:val="nil"/>
              <w:left w:val="nil"/>
              <w:bottom w:val="single" w:sz="4" w:space="0" w:color="auto"/>
              <w:right w:val="single" w:sz="4" w:space="0" w:color="auto"/>
            </w:tcBorders>
            <w:noWrap/>
            <w:vAlign w:val="center"/>
          </w:tcPr>
          <w:p w14:paraId="1672575F" w14:textId="6D036F7F" w:rsidR="0087521C" w:rsidRPr="007D3F25" w:rsidRDefault="00B048E2" w:rsidP="008E35EA">
            <w:pPr>
              <w:spacing w:line="360" w:lineRule="auto"/>
              <w:jc w:val="right"/>
              <w:rPr>
                <w:color w:val="000000"/>
                <w:sz w:val="18"/>
                <w:szCs w:val="18"/>
                <w:lang w:eastAsia="es-MX"/>
              </w:rPr>
            </w:pPr>
            <w:r w:rsidRPr="007D3F25">
              <w:rPr>
                <w:color w:val="000000"/>
                <w:sz w:val="18"/>
                <w:szCs w:val="18"/>
                <w:lang w:eastAsia="es-MX"/>
              </w:rPr>
              <w:t>60</w:t>
            </w:r>
            <w:r w:rsidR="0087521C" w:rsidRPr="007D3F25">
              <w:rPr>
                <w:color w:val="000000"/>
                <w:sz w:val="18"/>
                <w:szCs w:val="18"/>
                <w:lang w:eastAsia="es-MX"/>
              </w:rPr>
              <w:t>.0</w:t>
            </w:r>
          </w:p>
        </w:tc>
      </w:tr>
      <w:tr w:rsidR="00B048E2" w:rsidRPr="007D3F25" w14:paraId="690665DF" w14:textId="77777777" w:rsidTr="00FA18A9">
        <w:trPr>
          <w:trHeight w:val="291"/>
          <w:jc w:val="center"/>
        </w:trPr>
        <w:tc>
          <w:tcPr>
            <w:tcW w:w="1811" w:type="dxa"/>
            <w:tcBorders>
              <w:top w:val="nil"/>
              <w:left w:val="single" w:sz="4" w:space="0" w:color="auto"/>
              <w:bottom w:val="single" w:sz="4" w:space="0" w:color="auto"/>
              <w:right w:val="single" w:sz="4" w:space="0" w:color="auto"/>
            </w:tcBorders>
            <w:noWrap/>
            <w:vAlign w:val="center"/>
          </w:tcPr>
          <w:p w14:paraId="5DAA9AFC" w14:textId="10E7508E" w:rsidR="00B048E2" w:rsidRPr="007D3F25" w:rsidRDefault="00B048E2" w:rsidP="00B048E2">
            <w:pPr>
              <w:spacing w:line="360" w:lineRule="auto"/>
              <w:jc w:val="center"/>
              <w:rPr>
                <w:b/>
                <w:bCs/>
                <w:color w:val="000000"/>
                <w:sz w:val="18"/>
                <w:szCs w:val="18"/>
                <w:lang w:eastAsia="es-MX"/>
              </w:rPr>
            </w:pPr>
            <w:r w:rsidRPr="007D3F25">
              <w:rPr>
                <w:b/>
                <w:bCs/>
                <w:color w:val="000000"/>
                <w:sz w:val="18"/>
                <w:szCs w:val="18"/>
                <w:lang w:eastAsia="es-MX"/>
              </w:rPr>
              <w:t>Ejercicio 2024</w:t>
            </w:r>
          </w:p>
        </w:tc>
        <w:tc>
          <w:tcPr>
            <w:tcW w:w="1870" w:type="dxa"/>
            <w:tcBorders>
              <w:top w:val="nil"/>
              <w:left w:val="nil"/>
              <w:bottom w:val="single" w:sz="4" w:space="0" w:color="auto"/>
              <w:right w:val="single" w:sz="4" w:space="0" w:color="auto"/>
            </w:tcBorders>
            <w:noWrap/>
            <w:vAlign w:val="center"/>
          </w:tcPr>
          <w:p w14:paraId="7508ADF4" w14:textId="3EE3D5C5" w:rsidR="00B048E2" w:rsidRPr="007D3F25" w:rsidRDefault="008446D7" w:rsidP="00B048E2">
            <w:pPr>
              <w:spacing w:line="360" w:lineRule="auto"/>
              <w:jc w:val="right"/>
              <w:rPr>
                <w:b/>
                <w:bCs/>
                <w:color w:val="000000"/>
                <w:sz w:val="18"/>
                <w:szCs w:val="18"/>
                <w:lang w:eastAsia="es-MX"/>
              </w:rPr>
            </w:pPr>
            <w:r w:rsidRPr="007D3F25">
              <w:rPr>
                <w:b/>
                <w:bCs/>
                <w:color w:val="000000"/>
                <w:sz w:val="18"/>
                <w:szCs w:val="18"/>
                <w:lang w:eastAsia="es-MX"/>
              </w:rPr>
              <w:t>79</w:t>
            </w:r>
            <w:r w:rsidR="002672BD" w:rsidRPr="007D3F25">
              <w:rPr>
                <w:b/>
                <w:bCs/>
                <w:color w:val="000000"/>
                <w:sz w:val="18"/>
                <w:szCs w:val="18"/>
                <w:lang w:eastAsia="es-MX"/>
              </w:rPr>
              <w:t>.</w:t>
            </w:r>
            <w:r w:rsidRPr="007D3F25">
              <w:rPr>
                <w:b/>
                <w:bCs/>
                <w:color w:val="000000"/>
                <w:sz w:val="18"/>
                <w:szCs w:val="18"/>
                <w:lang w:eastAsia="es-MX"/>
              </w:rPr>
              <w:t>3</w:t>
            </w:r>
          </w:p>
        </w:tc>
      </w:tr>
      <w:tr w:rsidR="008446D7" w:rsidRPr="007D3F25" w14:paraId="7CA7EB14" w14:textId="77777777" w:rsidTr="00FA18A9">
        <w:trPr>
          <w:trHeight w:val="291"/>
          <w:jc w:val="center"/>
        </w:trPr>
        <w:tc>
          <w:tcPr>
            <w:tcW w:w="1811" w:type="dxa"/>
            <w:tcBorders>
              <w:top w:val="nil"/>
              <w:left w:val="single" w:sz="4" w:space="0" w:color="auto"/>
              <w:bottom w:val="single" w:sz="4" w:space="0" w:color="auto"/>
              <w:right w:val="single" w:sz="4" w:space="0" w:color="auto"/>
            </w:tcBorders>
            <w:noWrap/>
            <w:vAlign w:val="center"/>
          </w:tcPr>
          <w:p w14:paraId="378567A6" w14:textId="131B1452" w:rsidR="008446D7" w:rsidRPr="007D3F25" w:rsidRDefault="008446D7" w:rsidP="00B048E2">
            <w:pPr>
              <w:spacing w:line="360" w:lineRule="auto"/>
              <w:jc w:val="center"/>
              <w:rPr>
                <w:b/>
                <w:bCs/>
                <w:color w:val="000000"/>
                <w:sz w:val="18"/>
                <w:szCs w:val="18"/>
                <w:lang w:eastAsia="es-MX"/>
              </w:rPr>
            </w:pPr>
            <w:r w:rsidRPr="007D3F25">
              <w:rPr>
                <w:b/>
                <w:bCs/>
                <w:color w:val="000000"/>
                <w:sz w:val="18"/>
                <w:szCs w:val="18"/>
                <w:lang w:eastAsia="es-MX"/>
              </w:rPr>
              <w:t>*Ejercicio 2025</w:t>
            </w:r>
          </w:p>
        </w:tc>
        <w:tc>
          <w:tcPr>
            <w:tcW w:w="1870" w:type="dxa"/>
            <w:tcBorders>
              <w:top w:val="nil"/>
              <w:left w:val="nil"/>
              <w:bottom w:val="single" w:sz="4" w:space="0" w:color="auto"/>
              <w:right w:val="single" w:sz="4" w:space="0" w:color="auto"/>
            </w:tcBorders>
            <w:noWrap/>
            <w:vAlign w:val="center"/>
          </w:tcPr>
          <w:p w14:paraId="13E6145D" w14:textId="698DE5EC" w:rsidR="008446D7" w:rsidRPr="007D3F25" w:rsidRDefault="00E51900" w:rsidP="00B048E2">
            <w:pPr>
              <w:spacing w:line="360" w:lineRule="auto"/>
              <w:jc w:val="right"/>
              <w:rPr>
                <w:b/>
                <w:bCs/>
                <w:color w:val="000000"/>
                <w:sz w:val="18"/>
                <w:szCs w:val="18"/>
                <w:lang w:eastAsia="es-MX"/>
              </w:rPr>
            </w:pPr>
            <w:r>
              <w:rPr>
                <w:b/>
                <w:bCs/>
                <w:color w:val="000000"/>
                <w:sz w:val="18"/>
                <w:szCs w:val="18"/>
                <w:lang w:eastAsia="es-MX"/>
              </w:rPr>
              <w:t>41</w:t>
            </w:r>
            <w:r w:rsidR="007D61F9" w:rsidRPr="007D3F25">
              <w:rPr>
                <w:b/>
                <w:bCs/>
                <w:color w:val="000000"/>
                <w:sz w:val="18"/>
                <w:szCs w:val="18"/>
                <w:lang w:eastAsia="es-MX"/>
              </w:rPr>
              <w:t>.0</w:t>
            </w:r>
          </w:p>
        </w:tc>
      </w:tr>
      <w:tr w:rsidR="00B048E2" w:rsidRPr="007D3F25" w14:paraId="56248313" w14:textId="77777777" w:rsidTr="00FA18A9">
        <w:trPr>
          <w:trHeight w:val="291"/>
          <w:jc w:val="center"/>
        </w:trPr>
        <w:tc>
          <w:tcPr>
            <w:tcW w:w="1811" w:type="dxa"/>
            <w:tcBorders>
              <w:top w:val="nil"/>
              <w:left w:val="single" w:sz="4" w:space="0" w:color="auto"/>
              <w:bottom w:val="single" w:sz="4" w:space="0" w:color="auto"/>
              <w:right w:val="single" w:sz="4" w:space="0" w:color="auto"/>
            </w:tcBorders>
            <w:noWrap/>
            <w:vAlign w:val="center"/>
            <w:hideMark/>
          </w:tcPr>
          <w:p w14:paraId="67D2ADEE" w14:textId="77777777" w:rsidR="00B048E2" w:rsidRPr="007D3F25" w:rsidRDefault="00B048E2" w:rsidP="00B048E2">
            <w:pPr>
              <w:spacing w:line="360" w:lineRule="auto"/>
              <w:jc w:val="center"/>
              <w:rPr>
                <w:b/>
                <w:bCs/>
                <w:color w:val="000000"/>
                <w:sz w:val="18"/>
                <w:szCs w:val="18"/>
                <w:lang w:eastAsia="es-MX"/>
              </w:rPr>
            </w:pPr>
            <w:r w:rsidRPr="007D3F25">
              <w:rPr>
                <w:b/>
                <w:bCs/>
                <w:color w:val="000000"/>
                <w:sz w:val="18"/>
                <w:szCs w:val="18"/>
                <w:lang w:eastAsia="es-MX"/>
              </w:rPr>
              <w:t>SUMA</w:t>
            </w:r>
          </w:p>
        </w:tc>
        <w:tc>
          <w:tcPr>
            <w:tcW w:w="1870" w:type="dxa"/>
            <w:tcBorders>
              <w:top w:val="nil"/>
              <w:left w:val="nil"/>
              <w:bottom w:val="single" w:sz="4" w:space="0" w:color="auto"/>
              <w:right w:val="single" w:sz="4" w:space="0" w:color="auto"/>
            </w:tcBorders>
            <w:noWrap/>
            <w:vAlign w:val="center"/>
            <w:hideMark/>
          </w:tcPr>
          <w:p w14:paraId="1867834B" w14:textId="49A9C0F0" w:rsidR="00B048E2" w:rsidRPr="007D3F25" w:rsidRDefault="00E51900" w:rsidP="00B048E2">
            <w:pPr>
              <w:spacing w:line="360" w:lineRule="auto"/>
              <w:jc w:val="right"/>
              <w:rPr>
                <w:b/>
                <w:bCs/>
                <w:color w:val="000000"/>
                <w:sz w:val="18"/>
                <w:szCs w:val="18"/>
                <w:lang w:eastAsia="es-MX"/>
              </w:rPr>
            </w:pPr>
            <w:r>
              <w:rPr>
                <w:b/>
                <w:bCs/>
                <w:color w:val="000000"/>
                <w:sz w:val="18"/>
                <w:szCs w:val="18"/>
                <w:lang w:eastAsia="es-MX"/>
              </w:rPr>
              <w:t>500</w:t>
            </w:r>
            <w:r w:rsidR="004208F6" w:rsidRPr="007D3F25">
              <w:rPr>
                <w:b/>
                <w:bCs/>
                <w:color w:val="000000"/>
                <w:sz w:val="18"/>
                <w:szCs w:val="18"/>
                <w:lang w:eastAsia="es-MX"/>
              </w:rPr>
              <w:t>.6</w:t>
            </w:r>
          </w:p>
        </w:tc>
      </w:tr>
    </w:tbl>
    <w:p w14:paraId="51C55DE5" w14:textId="3C6E60F6" w:rsidR="0087521C" w:rsidRPr="00906252" w:rsidRDefault="0087521C" w:rsidP="0087521C">
      <w:pPr>
        <w:spacing w:line="360" w:lineRule="auto"/>
        <w:ind w:left="2268"/>
        <w:rPr>
          <w:b/>
          <w:sz w:val="14"/>
          <w:szCs w:val="22"/>
        </w:rPr>
      </w:pPr>
      <w:r w:rsidRPr="00906252">
        <w:rPr>
          <w:b/>
          <w:sz w:val="14"/>
          <w:szCs w:val="22"/>
        </w:rPr>
        <w:t>* Cifra Estimada al Cierre de 202</w:t>
      </w:r>
      <w:r w:rsidR="008446D7">
        <w:rPr>
          <w:b/>
          <w:sz w:val="14"/>
          <w:szCs w:val="22"/>
        </w:rPr>
        <w:t>5</w:t>
      </w:r>
    </w:p>
    <w:p w14:paraId="069EDC57" w14:textId="77777777" w:rsidR="00FA18A9" w:rsidRDefault="00FA18A9" w:rsidP="0087521C">
      <w:pPr>
        <w:spacing w:line="360" w:lineRule="auto"/>
        <w:jc w:val="both"/>
        <w:rPr>
          <w:sz w:val="20"/>
          <w:szCs w:val="20"/>
          <w:lang w:val="es-ES"/>
        </w:rPr>
      </w:pPr>
    </w:p>
    <w:p w14:paraId="4BEBFDA4" w14:textId="2D829BC7" w:rsidR="0087521C" w:rsidRPr="00A27D68" w:rsidRDefault="0087521C" w:rsidP="0087521C">
      <w:pPr>
        <w:spacing w:line="360" w:lineRule="auto"/>
        <w:jc w:val="both"/>
        <w:rPr>
          <w:sz w:val="20"/>
          <w:szCs w:val="20"/>
          <w:lang w:val="es-ES"/>
        </w:rPr>
      </w:pPr>
      <w:r w:rsidRPr="00A27D68">
        <w:rPr>
          <w:sz w:val="20"/>
          <w:szCs w:val="20"/>
          <w:lang w:val="es-ES"/>
        </w:rPr>
        <w:t>Los ingresos propios de Pensiones Civiles del Estado de Tlaxcala, se han visto incrementados, a partir, de la reforma, como a continuación se observa:</w:t>
      </w:r>
    </w:p>
    <w:p w14:paraId="376E62DB" w14:textId="77777777" w:rsidR="0087521C" w:rsidRPr="008D5C06" w:rsidRDefault="0087521C" w:rsidP="0087521C">
      <w:pPr>
        <w:spacing w:line="360" w:lineRule="auto"/>
        <w:jc w:val="both"/>
        <w:rPr>
          <w:rFonts w:ascii="Arial" w:hAnsi="Arial" w:cs="Arial"/>
          <w:sz w:val="12"/>
        </w:rPr>
      </w:pPr>
    </w:p>
    <w:tbl>
      <w:tblPr>
        <w:tblW w:w="3681" w:type="dxa"/>
        <w:jc w:val="center"/>
        <w:tblCellMar>
          <w:left w:w="70" w:type="dxa"/>
          <w:right w:w="70" w:type="dxa"/>
        </w:tblCellMar>
        <w:tblLook w:val="04A0" w:firstRow="1" w:lastRow="0" w:firstColumn="1" w:lastColumn="0" w:noHBand="0" w:noVBand="1"/>
      </w:tblPr>
      <w:tblGrid>
        <w:gridCol w:w="1761"/>
        <w:gridCol w:w="1920"/>
      </w:tblGrid>
      <w:tr w:rsidR="0087521C" w:rsidRPr="007D3F25" w14:paraId="0085855A" w14:textId="77777777" w:rsidTr="00FA18A9">
        <w:trPr>
          <w:trHeight w:val="796"/>
          <w:jc w:val="center"/>
        </w:trPr>
        <w:tc>
          <w:tcPr>
            <w:tcW w:w="176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0D34314"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lastRenderedPageBreak/>
              <w:t>AÑO</w:t>
            </w:r>
          </w:p>
        </w:tc>
        <w:tc>
          <w:tcPr>
            <w:tcW w:w="192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3C10FBC"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APORTACIONES Y RETENCIONES (MDP)</w:t>
            </w:r>
          </w:p>
        </w:tc>
      </w:tr>
      <w:tr w:rsidR="0087521C" w:rsidRPr="007D3F25" w14:paraId="34DC0DD6" w14:textId="77777777" w:rsidTr="00FA18A9">
        <w:trPr>
          <w:trHeight w:val="307"/>
          <w:jc w:val="center"/>
        </w:trPr>
        <w:tc>
          <w:tcPr>
            <w:tcW w:w="1761" w:type="dxa"/>
            <w:tcBorders>
              <w:top w:val="nil"/>
              <w:left w:val="single" w:sz="4" w:space="0" w:color="auto"/>
              <w:bottom w:val="single" w:sz="4" w:space="0" w:color="auto"/>
              <w:right w:val="single" w:sz="4" w:space="0" w:color="auto"/>
            </w:tcBorders>
            <w:noWrap/>
            <w:vAlign w:val="center"/>
          </w:tcPr>
          <w:p w14:paraId="1D59904F"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2017</w:t>
            </w:r>
          </w:p>
        </w:tc>
        <w:tc>
          <w:tcPr>
            <w:tcW w:w="1920" w:type="dxa"/>
            <w:tcBorders>
              <w:top w:val="nil"/>
              <w:left w:val="nil"/>
              <w:bottom w:val="single" w:sz="4" w:space="0" w:color="auto"/>
              <w:right w:val="single" w:sz="4" w:space="0" w:color="auto"/>
            </w:tcBorders>
            <w:noWrap/>
            <w:vAlign w:val="bottom"/>
          </w:tcPr>
          <w:p w14:paraId="1001EC89"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275.2</w:t>
            </w:r>
          </w:p>
        </w:tc>
      </w:tr>
      <w:tr w:rsidR="0087521C" w:rsidRPr="007D3F25" w14:paraId="16EFBD14" w14:textId="77777777" w:rsidTr="00FA18A9">
        <w:trPr>
          <w:trHeight w:val="307"/>
          <w:jc w:val="center"/>
        </w:trPr>
        <w:tc>
          <w:tcPr>
            <w:tcW w:w="1761" w:type="dxa"/>
            <w:tcBorders>
              <w:top w:val="nil"/>
              <w:left w:val="single" w:sz="4" w:space="0" w:color="auto"/>
              <w:bottom w:val="single" w:sz="4" w:space="0" w:color="auto"/>
              <w:right w:val="single" w:sz="4" w:space="0" w:color="auto"/>
            </w:tcBorders>
            <w:noWrap/>
            <w:vAlign w:val="center"/>
          </w:tcPr>
          <w:p w14:paraId="790BA690"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2018</w:t>
            </w:r>
          </w:p>
        </w:tc>
        <w:tc>
          <w:tcPr>
            <w:tcW w:w="1920" w:type="dxa"/>
            <w:tcBorders>
              <w:top w:val="nil"/>
              <w:left w:val="nil"/>
              <w:bottom w:val="single" w:sz="4" w:space="0" w:color="auto"/>
              <w:right w:val="single" w:sz="4" w:space="0" w:color="auto"/>
            </w:tcBorders>
            <w:noWrap/>
            <w:vAlign w:val="bottom"/>
          </w:tcPr>
          <w:p w14:paraId="4F01E65F"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267.1</w:t>
            </w:r>
          </w:p>
        </w:tc>
      </w:tr>
      <w:tr w:rsidR="0087521C" w:rsidRPr="007D3F25" w14:paraId="6FCF2445" w14:textId="77777777" w:rsidTr="00FA18A9">
        <w:trPr>
          <w:trHeight w:val="307"/>
          <w:jc w:val="center"/>
        </w:trPr>
        <w:tc>
          <w:tcPr>
            <w:tcW w:w="1761" w:type="dxa"/>
            <w:tcBorders>
              <w:top w:val="nil"/>
              <w:left w:val="single" w:sz="4" w:space="0" w:color="auto"/>
              <w:bottom w:val="single" w:sz="4" w:space="0" w:color="auto"/>
              <w:right w:val="single" w:sz="4" w:space="0" w:color="auto"/>
            </w:tcBorders>
            <w:noWrap/>
            <w:vAlign w:val="center"/>
          </w:tcPr>
          <w:p w14:paraId="063577B2"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2019</w:t>
            </w:r>
          </w:p>
        </w:tc>
        <w:tc>
          <w:tcPr>
            <w:tcW w:w="1920" w:type="dxa"/>
            <w:tcBorders>
              <w:top w:val="nil"/>
              <w:left w:val="nil"/>
              <w:bottom w:val="single" w:sz="4" w:space="0" w:color="auto"/>
              <w:right w:val="single" w:sz="4" w:space="0" w:color="auto"/>
            </w:tcBorders>
            <w:noWrap/>
            <w:vAlign w:val="bottom"/>
          </w:tcPr>
          <w:p w14:paraId="4C3D8975"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290.9</w:t>
            </w:r>
          </w:p>
        </w:tc>
      </w:tr>
      <w:tr w:rsidR="0087521C" w:rsidRPr="007D3F25" w14:paraId="6247C7F3" w14:textId="77777777" w:rsidTr="00FA18A9">
        <w:trPr>
          <w:trHeight w:val="214"/>
          <w:jc w:val="center"/>
        </w:trPr>
        <w:tc>
          <w:tcPr>
            <w:tcW w:w="1761" w:type="dxa"/>
            <w:tcBorders>
              <w:top w:val="nil"/>
              <w:left w:val="single" w:sz="4" w:space="0" w:color="auto"/>
              <w:bottom w:val="single" w:sz="4" w:space="0" w:color="auto"/>
              <w:right w:val="single" w:sz="4" w:space="0" w:color="auto"/>
            </w:tcBorders>
            <w:noWrap/>
            <w:vAlign w:val="center"/>
          </w:tcPr>
          <w:p w14:paraId="78AF51F1"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2020</w:t>
            </w:r>
          </w:p>
        </w:tc>
        <w:tc>
          <w:tcPr>
            <w:tcW w:w="1920" w:type="dxa"/>
            <w:tcBorders>
              <w:top w:val="nil"/>
              <w:left w:val="nil"/>
              <w:bottom w:val="single" w:sz="4" w:space="0" w:color="auto"/>
              <w:right w:val="single" w:sz="4" w:space="0" w:color="auto"/>
            </w:tcBorders>
            <w:noWrap/>
            <w:vAlign w:val="bottom"/>
          </w:tcPr>
          <w:p w14:paraId="78E77386"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364.2</w:t>
            </w:r>
          </w:p>
        </w:tc>
      </w:tr>
      <w:tr w:rsidR="0087521C" w:rsidRPr="007D3F25" w14:paraId="399E2AF8" w14:textId="77777777" w:rsidTr="00FA18A9">
        <w:trPr>
          <w:trHeight w:val="214"/>
          <w:jc w:val="center"/>
        </w:trPr>
        <w:tc>
          <w:tcPr>
            <w:tcW w:w="1761" w:type="dxa"/>
            <w:tcBorders>
              <w:top w:val="nil"/>
              <w:left w:val="single" w:sz="4" w:space="0" w:color="auto"/>
              <w:bottom w:val="single" w:sz="4" w:space="0" w:color="auto"/>
              <w:right w:val="single" w:sz="4" w:space="0" w:color="auto"/>
            </w:tcBorders>
            <w:noWrap/>
            <w:vAlign w:val="center"/>
          </w:tcPr>
          <w:p w14:paraId="76CEA13F"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2021</w:t>
            </w:r>
          </w:p>
        </w:tc>
        <w:tc>
          <w:tcPr>
            <w:tcW w:w="1920" w:type="dxa"/>
            <w:tcBorders>
              <w:top w:val="nil"/>
              <w:left w:val="nil"/>
              <w:bottom w:val="single" w:sz="4" w:space="0" w:color="auto"/>
              <w:right w:val="single" w:sz="4" w:space="0" w:color="auto"/>
            </w:tcBorders>
            <w:noWrap/>
            <w:vAlign w:val="bottom"/>
          </w:tcPr>
          <w:p w14:paraId="700CE445" w14:textId="77777777" w:rsidR="0087521C" w:rsidRPr="007D3F25" w:rsidRDefault="0087521C" w:rsidP="008E35EA">
            <w:pPr>
              <w:spacing w:line="360" w:lineRule="auto"/>
              <w:jc w:val="right"/>
              <w:rPr>
                <w:bCs/>
                <w:color w:val="000000"/>
                <w:sz w:val="18"/>
                <w:szCs w:val="18"/>
                <w:lang w:eastAsia="es-MX"/>
              </w:rPr>
            </w:pPr>
            <w:r w:rsidRPr="007D3F25">
              <w:rPr>
                <w:bCs/>
                <w:color w:val="000000"/>
                <w:sz w:val="18"/>
                <w:szCs w:val="18"/>
                <w:lang w:eastAsia="es-MX"/>
              </w:rPr>
              <w:t>351.6</w:t>
            </w:r>
          </w:p>
        </w:tc>
      </w:tr>
      <w:tr w:rsidR="0087521C" w:rsidRPr="007D3F25" w14:paraId="4F062507" w14:textId="77777777" w:rsidTr="00FA18A9">
        <w:trPr>
          <w:trHeight w:val="214"/>
          <w:jc w:val="center"/>
        </w:trPr>
        <w:tc>
          <w:tcPr>
            <w:tcW w:w="1761" w:type="dxa"/>
            <w:tcBorders>
              <w:top w:val="single" w:sz="4" w:space="0" w:color="auto"/>
              <w:left w:val="single" w:sz="4" w:space="0" w:color="auto"/>
              <w:bottom w:val="single" w:sz="4" w:space="0" w:color="auto"/>
              <w:right w:val="single" w:sz="4" w:space="0" w:color="auto"/>
            </w:tcBorders>
            <w:noWrap/>
            <w:vAlign w:val="center"/>
          </w:tcPr>
          <w:p w14:paraId="03E34856" w14:textId="77777777"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2022</w:t>
            </w:r>
          </w:p>
        </w:tc>
        <w:tc>
          <w:tcPr>
            <w:tcW w:w="1920" w:type="dxa"/>
            <w:tcBorders>
              <w:top w:val="single" w:sz="4" w:space="0" w:color="auto"/>
              <w:left w:val="nil"/>
              <w:bottom w:val="single" w:sz="4" w:space="0" w:color="auto"/>
              <w:right w:val="single" w:sz="4" w:space="0" w:color="auto"/>
            </w:tcBorders>
            <w:noWrap/>
            <w:vAlign w:val="bottom"/>
          </w:tcPr>
          <w:p w14:paraId="415AAF5C" w14:textId="77777777" w:rsidR="0087521C" w:rsidRPr="007D3F25" w:rsidRDefault="0087521C" w:rsidP="008E35EA">
            <w:pPr>
              <w:spacing w:line="360" w:lineRule="auto"/>
              <w:jc w:val="right"/>
              <w:rPr>
                <w:color w:val="000000"/>
                <w:sz w:val="18"/>
                <w:szCs w:val="18"/>
                <w:lang w:eastAsia="es-MX"/>
              </w:rPr>
            </w:pPr>
            <w:r w:rsidRPr="007D3F25">
              <w:rPr>
                <w:color w:val="000000"/>
                <w:sz w:val="18"/>
                <w:szCs w:val="18"/>
                <w:lang w:eastAsia="es-MX"/>
              </w:rPr>
              <w:t>377.9</w:t>
            </w:r>
          </w:p>
        </w:tc>
      </w:tr>
      <w:tr w:rsidR="0087521C" w:rsidRPr="007D3F25" w14:paraId="22599446" w14:textId="77777777" w:rsidTr="00FA18A9">
        <w:trPr>
          <w:trHeight w:val="214"/>
          <w:jc w:val="center"/>
        </w:trPr>
        <w:tc>
          <w:tcPr>
            <w:tcW w:w="1761" w:type="dxa"/>
            <w:tcBorders>
              <w:top w:val="single" w:sz="4" w:space="0" w:color="auto"/>
              <w:left w:val="single" w:sz="4" w:space="0" w:color="auto"/>
              <w:bottom w:val="single" w:sz="4" w:space="0" w:color="auto"/>
              <w:right w:val="single" w:sz="4" w:space="0" w:color="auto"/>
            </w:tcBorders>
            <w:noWrap/>
            <w:vAlign w:val="center"/>
          </w:tcPr>
          <w:p w14:paraId="39C757C2" w14:textId="403908D9" w:rsidR="0087521C" w:rsidRPr="007D3F25" w:rsidRDefault="0087521C" w:rsidP="008E35EA">
            <w:pPr>
              <w:spacing w:line="360" w:lineRule="auto"/>
              <w:jc w:val="center"/>
              <w:rPr>
                <w:b/>
                <w:bCs/>
                <w:color w:val="000000"/>
                <w:sz w:val="18"/>
                <w:szCs w:val="18"/>
                <w:lang w:eastAsia="es-MX"/>
              </w:rPr>
            </w:pPr>
            <w:r w:rsidRPr="007D3F25">
              <w:rPr>
                <w:b/>
                <w:bCs/>
                <w:color w:val="000000"/>
                <w:sz w:val="18"/>
                <w:szCs w:val="18"/>
                <w:lang w:eastAsia="es-MX"/>
              </w:rPr>
              <w:t>Ejercicio 2023</w:t>
            </w:r>
          </w:p>
        </w:tc>
        <w:tc>
          <w:tcPr>
            <w:tcW w:w="1920" w:type="dxa"/>
            <w:tcBorders>
              <w:top w:val="single" w:sz="4" w:space="0" w:color="auto"/>
              <w:left w:val="nil"/>
              <w:bottom w:val="single" w:sz="4" w:space="0" w:color="auto"/>
              <w:right w:val="single" w:sz="4" w:space="0" w:color="auto"/>
            </w:tcBorders>
            <w:noWrap/>
            <w:vAlign w:val="bottom"/>
          </w:tcPr>
          <w:p w14:paraId="2F7E7BA1" w14:textId="344D0133" w:rsidR="0087521C" w:rsidRPr="007D3F25" w:rsidRDefault="00B048E2" w:rsidP="008E35EA">
            <w:pPr>
              <w:spacing w:line="360" w:lineRule="auto"/>
              <w:jc w:val="right"/>
              <w:rPr>
                <w:color w:val="000000"/>
                <w:sz w:val="18"/>
                <w:szCs w:val="18"/>
                <w:lang w:eastAsia="es-MX"/>
              </w:rPr>
            </w:pPr>
            <w:r w:rsidRPr="007D3F25">
              <w:rPr>
                <w:color w:val="000000"/>
                <w:sz w:val="18"/>
                <w:szCs w:val="18"/>
                <w:lang w:eastAsia="es-MX"/>
              </w:rPr>
              <w:t>413.2</w:t>
            </w:r>
          </w:p>
        </w:tc>
      </w:tr>
      <w:tr w:rsidR="00B048E2" w:rsidRPr="007D3F25" w14:paraId="5E9D6ED8" w14:textId="77777777" w:rsidTr="00FA18A9">
        <w:trPr>
          <w:trHeight w:val="214"/>
          <w:jc w:val="center"/>
        </w:trPr>
        <w:tc>
          <w:tcPr>
            <w:tcW w:w="1761" w:type="dxa"/>
            <w:tcBorders>
              <w:top w:val="nil"/>
              <w:left w:val="single" w:sz="4" w:space="0" w:color="auto"/>
              <w:bottom w:val="single" w:sz="4" w:space="0" w:color="auto"/>
              <w:right w:val="single" w:sz="4" w:space="0" w:color="auto"/>
            </w:tcBorders>
            <w:noWrap/>
            <w:vAlign w:val="center"/>
          </w:tcPr>
          <w:p w14:paraId="2747CF7A" w14:textId="6E027DEA" w:rsidR="00B048E2" w:rsidRPr="007D3F25" w:rsidRDefault="00B048E2" w:rsidP="00B048E2">
            <w:pPr>
              <w:spacing w:line="360" w:lineRule="auto"/>
              <w:jc w:val="center"/>
              <w:rPr>
                <w:b/>
                <w:bCs/>
                <w:color w:val="000000"/>
                <w:sz w:val="18"/>
                <w:szCs w:val="18"/>
                <w:lang w:eastAsia="es-MX"/>
              </w:rPr>
            </w:pPr>
            <w:r w:rsidRPr="007D3F25">
              <w:rPr>
                <w:b/>
                <w:bCs/>
                <w:color w:val="000000"/>
                <w:sz w:val="18"/>
                <w:szCs w:val="18"/>
                <w:lang w:eastAsia="es-MX"/>
              </w:rPr>
              <w:t>Ejercicio 2024</w:t>
            </w:r>
          </w:p>
        </w:tc>
        <w:tc>
          <w:tcPr>
            <w:tcW w:w="1920" w:type="dxa"/>
            <w:tcBorders>
              <w:top w:val="nil"/>
              <w:left w:val="nil"/>
              <w:bottom w:val="single" w:sz="4" w:space="0" w:color="auto"/>
              <w:right w:val="single" w:sz="4" w:space="0" w:color="auto"/>
            </w:tcBorders>
            <w:noWrap/>
            <w:vAlign w:val="bottom"/>
          </w:tcPr>
          <w:p w14:paraId="08EF47AD" w14:textId="79A4A844" w:rsidR="00B048E2" w:rsidRPr="007D3F25" w:rsidRDefault="00282479" w:rsidP="00B048E2">
            <w:pPr>
              <w:spacing w:line="360" w:lineRule="auto"/>
              <w:jc w:val="right"/>
              <w:rPr>
                <w:color w:val="000000"/>
                <w:sz w:val="18"/>
                <w:szCs w:val="18"/>
                <w:lang w:eastAsia="es-MX"/>
              </w:rPr>
            </w:pPr>
            <w:r w:rsidRPr="007D3F25">
              <w:rPr>
                <w:color w:val="000000"/>
                <w:sz w:val="18"/>
                <w:szCs w:val="18"/>
                <w:lang w:eastAsia="es-MX"/>
              </w:rPr>
              <w:t>438.9</w:t>
            </w:r>
          </w:p>
        </w:tc>
      </w:tr>
      <w:tr w:rsidR="00282479" w:rsidRPr="007D3F25" w14:paraId="133B88F9" w14:textId="77777777" w:rsidTr="00FA18A9">
        <w:trPr>
          <w:trHeight w:val="214"/>
          <w:jc w:val="center"/>
        </w:trPr>
        <w:tc>
          <w:tcPr>
            <w:tcW w:w="1761" w:type="dxa"/>
            <w:tcBorders>
              <w:top w:val="nil"/>
              <w:left w:val="single" w:sz="4" w:space="0" w:color="auto"/>
              <w:bottom w:val="single" w:sz="4" w:space="0" w:color="auto"/>
              <w:right w:val="single" w:sz="4" w:space="0" w:color="auto"/>
            </w:tcBorders>
            <w:noWrap/>
            <w:vAlign w:val="center"/>
          </w:tcPr>
          <w:p w14:paraId="5A1E8CC7" w14:textId="41391556" w:rsidR="00282479" w:rsidRPr="007D3F25" w:rsidRDefault="00282479" w:rsidP="00B048E2">
            <w:pPr>
              <w:spacing w:line="360" w:lineRule="auto"/>
              <w:jc w:val="center"/>
              <w:rPr>
                <w:b/>
                <w:bCs/>
                <w:color w:val="000000"/>
                <w:sz w:val="18"/>
                <w:szCs w:val="18"/>
                <w:lang w:eastAsia="es-MX"/>
              </w:rPr>
            </w:pPr>
            <w:r w:rsidRPr="007D3F25">
              <w:rPr>
                <w:b/>
                <w:bCs/>
                <w:color w:val="000000"/>
                <w:sz w:val="18"/>
                <w:szCs w:val="18"/>
                <w:lang w:eastAsia="es-MX"/>
              </w:rPr>
              <w:t>*Ejercicio 2025</w:t>
            </w:r>
          </w:p>
        </w:tc>
        <w:tc>
          <w:tcPr>
            <w:tcW w:w="1920" w:type="dxa"/>
            <w:tcBorders>
              <w:top w:val="nil"/>
              <w:left w:val="nil"/>
              <w:bottom w:val="single" w:sz="4" w:space="0" w:color="auto"/>
              <w:right w:val="single" w:sz="4" w:space="0" w:color="auto"/>
            </w:tcBorders>
            <w:noWrap/>
            <w:vAlign w:val="bottom"/>
          </w:tcPr>
          <w:p w14:paraId="610B8D60" w14:textId="3DF8ADD0" w:rsidR="00282479" w:rsidRPr="007D3F25" w:rsidRDefault="004208F6" w:rsidP="00B048E2">
            <w:pPr>
              <w:spacing w:line="360" w:lineRule="auto"/>
              <w:jc w:val="right"/>
              <w:rPr>
                <w:b/>
                <w:bCs/>
                <w:color w:val="000000"/>
                <w:sz w:val="18"/>
                <w:szCs w:val="18"/>
                <w:lang w:eastAsia="es-MX"/>
              </w:rPr>
            </w:pPr>
            <w:r w:rsidRPr="007D3F25">
              <w:rPr>
                <w:b/>
                <w:bCs/>
                <w:color w:val="000000"/>
                <w:sz w:val="18"/>
                <w:szCs w:val="18"/>
                <w:lang w:eastAsia="es-MX"/>
              </w:rPr>
              <w:t>388.6</w:t>
            </w:r>
          </w:p>
        </w:tc>
      </w:tr>
      <w:tr w:rsidR="00B048E2" w:rsidRPr="007D3F25" w14:paraId="6FAF2143" w14:textId="77777777" w:rsidTr="00FA18A9">
        <w:trPr>
          <w:trHeight w:val="214"/>
          <w:jc w:val="center"/>
        </w:trPr>
        <w:tc>
          <w:tcPr>
            <w:tcW w:w="1761" w:type="dxa"/>
            <w:tcBorders>
              <w:top w:val="nil"/>
              <w:left w:val="single" w:sz="4" w:space="0" w:color="auto"/>
              <w:bottom w:val="single" w:sz="4" w:space="0" w:color="auto"/>
              <w:right w:val="single" w:sz="4" w:space="0" w:color="auto"/>
            </w:tcBorders>
            <w:noWrap/>
            <w:vAlign w:val="center"/>
            <w:hideMark/>
          </w:tcPr>
          <w:p w14:paraId="619A1187" w14:textId="77777777" w:rsidR="00B048E2" w:rsidRPr="007D3F25" w:rsidRDefault="00B048E2" w:rsidP="00B048E2">
            <w:pPr>
              <w:spacing w:line="360" w:lineRule="auto"/>
              <w:jc w:val="center"/>
              <w:rPr>
                <w:b/>
                <w:bCs/>
                <w:color w:val="000000"/>
                <w:sz w:val="18"/>
                <w:szCs w:val="18"/>
                <w:lang w:eastAsia="es-MX"/>
              </w:rPr>
            </w:pPr>
            <w:r w:rsidRPr="007D3F25">
              <w:rPr>
                <w:b/>
                <w:bCs/>
                <w:color w:val="000000"/>
                <w:sz w:val="18"/>
                <w:szCs w:val="18"/>
                <w:lang w:eastAsia="es-MX"/>
              </w:rPr>
              <w:t>SUMA</w:t>
            </w:r>
          </w:p>
        </w:tc>
        <w:tc>
          <w:tcPr>
            <w:tcW w:w="1920" w:type="dxa"/>
            <w:tcBorders>
              <w:top w:val="nil"/>
              <w:left w:val="nil"/>
              <w:bottom w:val="single" w:sz="4" w:space="0" w:color="auto"/>
              <w:right w:val="single" w:sz="4" w:space="0" w:color="auto"/>
            </w:tcBorders>
            <w:noWrap/>
            <w:vAlign w:val="bottom"/>
            <w:hideMark/>
          </w:tcPr>
          <w:p w14:paraId="6E9F488C" w14:textId="541C297C" w:rsidR="00B048E2" w:rsidRPr="007D3F25" w:rsidRDefault="004208F6" w:rsidP="00B048E2">
            <w:pPr>
              <w:spacing w:line="360" w:lineRule="auto"/>
              <w:jc w:val="right"/>
              <w:rPr>
                <w:b/>
                <w:bCs/>
                <w:color w:val="000000"/>
                <w:sz w:val="18"/>
                <w:szCs w:val="18"/>
                <w:lang w:eastAsia="es-MX"/>
              </w:rPr>
            </w:pPr>
            <w:r w:rsidRPr="007D3F25">
              <w:rPr>
                <w:b/>
                <w:bCs/>
                <w:color w:val="000000"/>
                <w:sz w:val="18"/>
                <w:szCs w:val="18"/>
                <w:lang w:eastAsia="es-MX"/>
              </w:rPr>
              <w:t>3,167.6</w:t>
            </w:r>
          </w:p>
        </w:tc>
      </w:tr>
    </w:tbl>
    <w:p w14:paraId="2C9BF1AA" w14:textId="4CF30F3A" w:rsidR="0087521C" w:rsidRPr="00906252" w:rsidRDefault="0087521C" w:rsidP="00906252">
      <w:pPr>
        <w:spacing w:line="360" w:lineRule="auto"/>
        <w:ind w:left="2410"/>
        <w:rPr>
          <w:sz w:val="22"/>
          <w:szCs w:val="22"/>
        </w:rPr>
      </w:pPr>
      <w:r w:rsidRPr="00906252">
        <w:rPr>
          <w:b/>
          <w:sz w:val="14"/>
          <w:szCs w:val="22"/>
        </w:rPr>
        <w:t>* Cifras al Cierre del mes de septiembre de 202</w:t>
      </w:r>
      <w:r w:rsidR="00195912">
        <w:rPr>
          <w:b/>
          <w:sz w:val="14"/>
          <w:szCs w:val="22"/>
        </w:rPr>
        <w:t>5</w:t>
      </w:r>
      <w:r w:rsidRPr="00906252">
        <w:rPr>
          <w:b/>
          <w:sz w:val="14"/>
          <w:szCs w:val="22"/>
        </w:rPr>
        <w:t>.</w:t>
      </w:r>
    </w:p>
    <w:p w14:paraId="7592D701" w14:textId="77777777" w:rsidR="0087521C" w:rsidRPr="0092056F" w:rsidRDefault="0087521C" w:rsidP="0087521C">
      <w:pPr>
        <w:spacing w:line="360" w:lineRule="auto"/>
        <w:jc w:val="both"/>
        <w:rPr>
          <w:sz w:val="20"/>
          <w:szCs w:val="20"/>
        </w:rPr>
      </w:pPr>
    </w:p>
    <w:p w14:paraId="1D4F2FCF" w14:textId="7C953605" w:rsidR="0087521C" w:rsidRPr="00A27D68" w:rsidRDefault="0087521C" w:rsidP="0087521C">
      <w:pPr>
        <w:spacing w:line="360" w:lineRule="auto"/>
        <w:jc w:val="both"/>
        <w:rPr>
          <w:sz w:val="20"/>
          <w:szCs w:val="20"/>
          <w:lang w:val="es-ES"/>
        </w:rPr>
      </w:pPr>
      <w:r w:rsidRPr="00A27D68">
        <w:rPr>
          <w:sz w:val="20"/>
          <w:szCs w:val="20"/>
          <w:lang w:val="es-ES"/>
        </w:rPr>
        <w:t>El Gobierno del Estado, tiene como prioridad sanear el Sistema Estatal de Pensiones garantizando la solvencia de la Institución e impulsando el otorgamiento y recuperación de créditos. En los últimos años se han realizado aportaciones al Fondo de Créditos por 150 Millones de pesos.</w:t>
      </w:r>
    </w:p>
    <w:p w14:paraId="01E9E827" w14:textId="77777777" w:rsidR="0087521C" w:rsidRPr="0092056F" w:rsidRDefault="0087521C" w:rsidP="0087521C">
      <w:pPr>
        <w:spacing w:line="360" w:lineRule="auto"/>
        <w:jc w:val="both"/>
        <w:rPr>
          <w:sz w:val="20"/>
          <w:szCs w:val="20"/>
        </w:rPr>
      </w:pPr>
    </w:p>
    <w:p w14:paraId="057BCC61" w14:textId="3D7A6905" w:rsidR="0087521C" w:rsidRDefault="00E51900" w:rsidP="0087521C">
      <w:pPr>
        <w:spacing w:line="360" w:lineRule="auto"/>
        <w:jc w:val="both"/>
        <w:rPr>
          <w:rFonts w:ascii="Arial" w:hAnsi="Arial" w:cs="Arial"/>
        </w:rPr>
      </w:pPr>
      <w:r w:rsidRPr="00D45D4F">
        <w:rPr>
          <w:noProof/>
        </w:rPr>
        <w:lastRenderedPageBreak/>
        <w:drawing>
          <wp:inline distT="0" distB="0" distL="0" distR="0" wp14:anchorId="40A573CB" wp14:editId="48FA1813">
            <wp:extent cx="5143500" cy="3153383"/>
            <wp:effectExtent l="0" t="0" r="0" b="0"/>
            <wp:docPr id="46087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0" cy="3153383"/>
                    </a:xfrm>
                    <a:prstGeom prst="rect">
                      <a:avLst/>
                    </a:prstGeom>
                    <a:noFill/>
                    <a:ln>
                      <a:noFill/>
                    </a:ln>
                  </pic:spPr>
                </pic:pic>
              </a:graphicData>
            </a:graphic>
          </wp:inline>
        </w:drawing>
      </w:r>
    </w:p>
    <w:p w14:paraId="7DDC6030" w14:textId="046B31D2" w:rsidR="00BF1542" w:rsidRPr="00A27D68" w:rsidRDefault="00186471" w:rsidP="00BF1542">
      <w:pPr>
        <w:spacing w:line="360" w:lineRule="auto"/>
        <w:ind w:left="-11"/>
        <w:jc w:val="both"/>
        <w:rPr>
          <w:sz w:val="20"/>
          <w:szCs w:val="20"/>
          <w:lang w:val="es-ES"/>
        </w:rPr>
      </w:pPr>
      <w:r w:rsidRPr="00A27D68">
        <w:rPr>
          <w:sz w:val="20"/>
          <w:szCs w:val="20"/>
          <w:lang w:val="es-ES"/>
        </w:rPr>
        <w:t>La Iniciativa de Ley de Ingresos del Estado de Tlaxcala, para el Ejercicio Fiscal 202</w:t>
      </w:r>
      <w:r w:rsidR="00B70DA4">
        <w:rPr>
          <w:sz w:val="20"/>
          <w:szCs w:val="20"/>
          <w:lang w:val="es-ES"/>
        </w:rPr>
        <w:t>6</w:t>
      </w:r>
      <w:r w:rsidRPr="00A27D68">
        <w:rPr>
          <w:sz w:val="20"/>
          <w:szCs w:val="20"/>
          <w:lang w:val="es-ES"/>
        </w:rPr>
        <w:t xml:space="preserve">, considera un pronóstico de ingresos prudente, al tomar como referencia el comportamiento de las finanzas estatales y los posibles riesgos que pudieran modificar las metas planteadas, así como las medidas para contener dichos riesgos; es por ello que esta administración,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BF1542" w:rsidRPr="00A27D68">
        <w:rPr>
          <w:sz w:val="20"/>
          <w:szCs w:val="20"/>
          <w:lang w:val="es-ES"/>
        </w:rPr>
        <w:t>las Disposiciones contenidas en el artículo 42, fracción I, de la Ley Federal de Presupuesto y Responsabilidad Hacendaria (Pre-Criterios 202</w:t>
      </w:r>
      <w:r w:rsidR="00B70DA4">
        <w:rPr>
          <w:sz w:val="20"/>
          <w:szCs w:val="20"/>
          <w:lang w:val="es-ES"/>
        </w:rPr>
        <w:t>6</w:t>
      </w:r>
      <w:r w:rsidR="00BF1542" w:rsidRPr="00A27D68">
        <w:rPr>
          <w:sz w:val="20"/>
          <w:szCs w:val="20"/>
          <w:lang w:val="es-ES"/>
        </w:rPr>
        <w:t xml:space="preserve">) y en los Criterios Generales de Política Económica para la Iniciativa de Ley de Ingresos y el Proyecto de Presupuesto de Egresos de la </w:t>
      </w:r>
      <w:r w:rsidR="00BF1542" w:rsidRPr="00A27D68">
        <w:rPr>
          <w:sz w:val="20"/>
          <w:szCs w:val="20"/>
          <w:lang w:val="es-ES"/>
        </w:rPr>
        <w:lastRenderedPageBreak/>
        <w:t>Federación correspondientes al Ejercicio Fiscal 202</w:t>
      </w:r>
      <w:r w:rsidR="00B70DA4">
        <w:rPr>
          <w:sz w:val="20"/>
          <w:szCs w:val="20"/>
          <w:lang w:val="es-ES"/>
        </w:rPr>
        <w:t>6</w:t>
      </w:r>
      <w:r w:rsidR="00BF1542" w:rsidRPr="00A27D68">
        <w:rPr>
          <w:sz w:val="20"/>
          <w:szCs w:val="20"/>
          <w:lang w:val="es-ES"/>
        </w:rPr>
        <w:t xml:space="preserve"> y del Código Financiero para el Estado de Tlaxcala y sus Municipios.</w:t>
      </w:r>
    </w:p>
    <w:p w14:paraId="6B34B13B" w14:textId="77777777" w:rsidR="00A27D68" w:rsidRPr="00A27D68" w:rsidRDefault="00A27D68" w:rsidP="00186471">
      <w:pPr>
        <w:spacing w:line="360" w:lineRule="auto"/>
        <w:ind w:left="-11"/>
        <w:jc w:val="both"/>
        <w:rPr>
          <w:sz w:val="20"/>
          <w:szCs w:val="20"/>
          <w:lang w:val="es-ES"/>
        </w:rPr>
      </w:pPr>
    </w:p>
    <w:p w14:paraId="336527A8" w14:textId="452E928F" w:rsidR="00906252" w:rsidRPr="005536A1" w:rsidRDefault="00186471" w:rsidP="00906252">
      <w:pPr>
        <w:spacing w:line="360" w:lineRule="auto"/>
        <w:jc w:val="both"/>
        <w:rPr>
          <w:rFonts w:ascii="Arial" w:hAnsi="Arial" w:cs="Arial"/>
          <w:sz w:val="20"/>
          <w:szCs w:val="20"/>
        </w:rPr>
      </w:pPr>
      <w:r w:rsidRPr="00A27D68">
        <w:rPr>
          <w:sz w:val="20"/>
          <w:szCs w:val="20"/>
          <w:lang w:val="es-ES"/>
        </w:rPr>
        <w:t>Por lo antes expuesto</w:t>
      </w:r>
      <w:r w:rsidR="0096052A">
        <w:rPr>
          <w:sz w:val="20"/>
          <w:szCs w:val="20"/>
          <w:lang w:val="es-ES"/>
        </w:rPr>
        <w:t>,</w:t>
      </w:r>
      <w:r w:rsidRPr="00A27D68">
        <w:rPr>
          <w:sz w:val="20"/>
          <w:szCs w:val="20"/>
          <w:lang w:val="es-ES"/>
        </w:rPr>
        <w:t xml:space="preserve"> y dando cumplimiento a lo establecido en la Constitución Política del Estado Libre y Soberano de Tlaxcala, me permito</w:t>
      </w:r>
      <w:r w:rsidRPr="008D5C06">
        <w:rPr>
          <w:rFonts w:ascii="Arial" w:hAnsi="Arial" w:cs="Arial"/>
        </w:rPr>
        <w:t xml:space="preserve"> </w:t>
      </w:r>
      <w:r w:rsidRPr="00AA0BC9">
        <w:rPr>
          <w:sz w:val="20"/>
          <w:szCs w:val="20"/>
          <w:lang w:val="es-ES"/>
        </w:rPr>
        <w:t>someter a consideración de ese Congreso</w:t>
      </w:r>
      <w:r w:rsidRPr="008D5C06">
        <w:rPr>
          <w:rFonts w:ascii="Arial" w:hAnsi="Arial" w:cs="Arial"/>
        </w:rPr>
        <w:t xml:space="preserve"> </w:t>
      </w:r>
      <w:bookmarkStart w:id="8" w:name="_Hlk179821418"/>
      <w:bookmarkStart w:id="9" w:name="_Hlk182993965"/>
      <w:r w:rsidRPr="00307BBE">
        <w:rPr>
          <w:b/>
          <w:bCs/>
          <w:sz w:val="20"/>
          <w:szCs w:val="20"/>
        </w:rPr>
        <w:t>la Iniciativa de Ley de Ingresos del Estado de Tlaxcala, para el Ejercicio Fiscal 202</w:t>
      </w:r>
      <w:r w:rsidR="00B70DA4">
        <w:rPr>
          <w:b/>
          <w:bCs/>
          <w:sz w:val="20"/>
          <w:szCs w:val="20"/>
        </w:rPr>
        <w:t>6</w:t>
      </w:r>
      <w:r w:rsidRPr="003720AA">
        <w:t xml:space="preserve">; </w:t>
      </w:r>
      <w:r w:rsidRPr="005536A1">
        <w:rPr>
          <w:sz w:val="20"/>
          <w:szCs w:val="20"/>
        </w:rPr>
        <w:t>que prevé un monto total de ingresos por</w:t>
      </w:r>
      <w:r w:rsidRPr="005536A1">
        <w:rPr>
          <w:b/>
          <w:bCs/>
          <w:sz w:val="20"/>
          <w:szCs w:val="20"/>
        </w:rPr>
        <w:t xml:space="preserve"> </w:t>
      </w:r>
      <w:bookmarkStart w:id="10" w:name="_Hlk179983346"/>
      <w:r w:rsidRPr="005536A1">
        <w:rPr>
          <w:b/>
          <w:bCs/>
          <w:sz w:val="20"/>
          <w:szCs w:val="20"/>
        </w:rPr>
        <w:t>$</w:t>
      </w:r>
      <w:r w:rsidR="009C339D">
        <w:rPr>
          <w:b/>
          <w:bCs/>
          <w:sz w:val="20"/>
          <w:szCs w:val="20"/>
        </w:rPr>
        <w:t>30</w:t>
      </w:r>
      <w:r w:rsidR="004C1739">
        <w:rPr>
          <w:b/>
          <w:bCs/>
          <w:sz w:val="20"/>
          <w:szCs w:val="20"/>
        </w:rPr>
        <w:t>,</w:t>
      </w:r>
      <w:r w:rsidR="009C339D">
        <w:rPr>
          <w:b/>
          <w:bCs/>
          <w:sz w:val="20"/>
          <w:szCs w:val="20"/>
        </w:rPr>
        <w:t>0</w:t>
      </w:r>
      <w:r w:rsidR="004C1739">
        <w:rPr>
          <w:b/>
          <w:bCs/>
          <w:sz w:val="20"/>
          <w:szCs w:val="20"/>
        </w:rPr>
        <w:t>86,079,0</w:t>
      </w:r>
      <w:r w:rsidR="009C339D">
        <w:rPr>
          <w:b/>
          <w:bCs/>
          <w:sz w:val="20"/>
          <w:szCs w:val="20"/>
        </w:rPr>
        <w:t>2</w:t>
      </w:r>
      <w:r w:rsidR="004C1739">
        <w:rPr>
          <w:b/>
          <w:bCs/>
          <w:sz w:val="20"/>
          <w:szCs w:val="20"/>
        </w:rPr>
        <w:t>8</w:t>
      </w:r>
      <w:r w:rsidRPr="005536A1">
        <w:rPr>
          <w:b/>
          <w:bCs/>
          <w:sz w:val="20"/>
          <w:szCs w:val="20"/>
        </w:rPr>
        <w:t>.00 (</w:t>
      </w:r>
      <w:r w:rsidR="009C339D">
        <w:rPr>
          <w:b/>
          <w:bCs/>
          <w:sz w:val="20"/>
          <w:szCs w:val="20"/>
        </w:rPr>
        <w:t>Treinta</w:t>
      </w:r>
      <w:r w:rsidR="004C1739">
        <w:rPr>
          <w:b/>
          <w:bCs/>
          <w:sz w:val="20"/>
          <w:szCs w:val="20"/>
        </w:rPr>
        <w:t xml:space="preserve"> mil ochenta y seis millones setenta y nueve mil </w:t>
      </w:r>
      <w:r w:rsidR="009C339D">
        <w:rPr>
          <w:b/>
          <w:bCs/>
          <w:sz w:val="20"/>
          <w:szCs w:val="20"/>
        </w:rPr>
        <w:t>veinti</w:t>
      </w:r>
      <w:r w:rsidR="004C1739">
        <w:rPr>
          <w:b/>
          <w:bCs/>
          <w:sz w:val="20"/>
          <w:szCs w:val="20"/>
        </w:rPr>
        <w:t>ocho</w:t>
      </w:r>
      <w:r w:rsidRPr="005536A1">
        <w:rPr>
          <w:b/>
          <w:bCs/>
          <w:sz w:val="20"/>
          <w:szCs w:val="20"/>
        </w:rPr>
        <w:t xml:space="preserve"> </w:t>
      </w:r>
      <w:r w:rsidR="004C1739">
        <w:rPr>
          <w:b/>
          <w:bCs/>
          <w:sz w:val="20"/>
          <w:szCs w:val="20"/>
        </w:rPr>
        <w:t xml:space="preserve">Pesos </w:t>
      </w:r>
      <w:r w:rsidRPr="005536A1">
        <w:rPr>
          <w:b/>
          <w:bCs/>
          <w:sz w:val="20"/>
          <w:szCs w:val="20"/>
        </w:rPr>
        <w:t>00/100 M.N.)</w:t>
      </w:r>
      <w:bookmarkEnd w:id="8"/>
      <w:bookmarkEnd w:id="10"/>
      <w:r w:rsidRPr="005536A1">
        <w:rPr>
          <w:b/>
          <w:bCs/>
          <w:sz w:val="20"/>
          <w:szCs w:val="20"/>
        </w:rPr>
        <w:t>.</w:t>
      </w:r>
      <w:bookmarkEnd w:id="9"/>
    </w:p>
    <w:p w14:paraId="4AAF1878" w14:textId="77777777" w:rsidR="00906252" w:rsidRPr="008D5C06" w:rsidRDefault="00906252" w:rsidP="00906252">
      <w:pPr>
        <w:spacing w:line="360" w:lineRule="auto"/>
        <w:jc w:val="center"/>
        <w:rPr>
          <w:rFonts w:ascii="Arial" w:hAnsi="Arial" w:cs="Arial"/>
        </w:rPr>
        <w:sectPr w:rsidR="00906252" w:rsidRPr="008D5C06" w:rsidSect="00906252">
          <w:footerReference w:type="even" r:id="rId35"/>
          <w:footerReference w:type="default" r:id="rId36"/>
          <w:pgSz w:w="12240" w:h="15840"/>
          <w:pgMar w:top="3119" w:right="1021" w:bottom="1701" w:left="3119" w:header="709" w:footer="709" w:gutter="0"/>
          <w:pgNumType w:fmt="upperRoman" w:start="1"/>
          <w:cols w:space="708"/>
          <w:docGrid w:linePitch="360"/>
        </w:sectPr>
      </w:pPr>
    </w:p>
    <w:p w14:paraId="6A1AF0F3" w14:textId="77777777" w:rsidR="00CD1674" w:rsidRPr="00A27D68" w:rsidRDefault="00CD1674" w:rsidP="00CD1674">
      <w:pPr>
        <w:spacing w:line="360" w:lineRule="auto"/>
        <w:jc w:val="center"/>
        <w:rPr>
          <w:b/>
          <w:bCs/>
          <w:sz w:val="20"/>
          <w:szCs w:val="20"/>
          <w:lang w:val="es-ES"/>
        </w:rPr>
      </w:pPr>
      <w:r w:rsidRPr="00A27D68">
        <w:rPr>
          <w:b/>
          <w:bCs/>
          <w:sz w:val="20"/>
          <w:szCs w:val="20"/>
          <w:lang w:val="es-ES"/>
        </w:rPr>
        <w:lastRenderedPageBreak/>
        <w:t>INICIATIVA DE LEY DE INGRESOS DEL ESTADO DE TLAXCALA</w:t>
      </w:r>
    </w:p>
    <w:p w14:paraId="269A86A0" w14:textId="0D548CB6" w:rsidR="00CD1674" w:rsidRPr="00A27D68" w:rsidRDefault="00CD1674" w:rsidP="00CD1674">
      <w:pPr>
        <w:spacing w:line="360" w:lineRule="auto"/>
        <w:jc w:val="center"/>
        <w:rPr>
          <w:b/>
          <w:bCs/>
          <w:sz w:val="20"/>
          <w:szCs w:val="20"/>
          <w:lang w:val="es-ES"/>
        </w:rPr>
      </w:pPr>
      <w:r w:rsidRPr="00A27D68">
        <w:rPr>
          <w:b/>
          <w:bCs/>
          <w:sz w:val="20"/>
          <w:szCs w:val="20"/>
          <w:lang w:val="es-ES"/>
        </w:rPr>
        <w:t>PARA EL EJERCICIO FISCAL 202</w:t>
      </w:r>
      <w:r w:rsidR="00B70DA4">
        <w:rPr>
          <w:b/>
          <w:bCs/>
          <w:sz w:val="20"/>
          <w:szCs w:val="20"/>
          <w:lang w:val="es-ES"/>
        </w:rPr>
        <w:t>6</w:t>
      </w:r>
    </w:p>
    <w:p w14:paraId="112B74A1" w14:textId="77777777" w:rsidR="00CD1674" w:rsidRPr="0092056F" w:rsidRDefault="00CD1674" w:rsidP="00CD1674">
      <w:pPr>
        <w:spacing w:line="360" w:lineRule="auto"/>
        <w:jc w:val="center"/>
        <w:rPr>
          <w:b/>
          <w:sz w:val="20"/>
          <w:szCs w:val="20"/>
        </w:rPr>
      </w:pPr>
    </w:p>
    <w:p w14:paraId="4B26096C" w14:textId="77777777" w:rsidR="00CD1674" w:rsidRPr="00A27D68" w:rsidRDefault="00CD1674" w:rsidP="00CD1674">
      <w:pPr>
        <w:spacing w:line="360" w:lineRule="auto"/>
        <w:jc w:val="center"/>
        <w:rPr>
          <w:b/>
          <w:sz w:val="20"/>
          <w:szCs w:val="20"/>
          <w:lang w:val="es-ES"/>
        </w:rPr>
      </w:pPr>
      <w:r w:rsidRPr="00A27D68">
        <w:rPr>
          <w:b/>
          <w:sz w:val="20"/>
          <w:szCs w:val="20"/>
          <w:lang w:val="es-ES"/>
        </w:rPr>
        <w:t>CAPÍTULO I</w:t>
      </w:r>
    </w:p>
    <w:p w14:paraId="0D445246" w14:textId="77777777" w:rsidR="00CD1674" w:rsidRPr="00A27D68" w:rsidRDefault="00CD1674" w:rsidP="00CD1674">
      <w:pPr>
        <w:spacing w:line="360" w:lineRule="auto"/>
        <w:jc w:val="center"/>
        <w:rPr>
          <w:b/>
          <w:sz w:val="20"/>
          <w:szCs w:val="20"/>
          <w:lang w:val="es-ES"/>
        </w:rPr>
      </w:pPr>
      <w:r w:rsidRPr="00A27D68">
        <w:rPr>
          <w:b/>
          <w:sz w:val="20"/>
          <w:szCs w:val="20"/>
          <w:lang w:val="es-ES"/>
        </w:rPr>
        <w:t>DE LOS INGRESOS DEL ESTADO</w:t>
      </w:r>
    </w:p>
    <w:p w14:paraId="1114F956" w14:textId="77777777" w:rsidR="00CD1674" w:rsidRPr="0092056F" w:rsidRDefault="00CD1674" w:rsidP="00CD1674">
      <w:pPr>
        <w:spacing w:line="360" w:lineRule="auto"/>
        <w:rPr>
          <w:sz w:val="20"/>
          <w:szCs w:val="20"/>
        </w:rPr>
      </w:pPr>
    </w:p>
    <w:p w14:paraId="6CAE0AAB" w14:textId="40AD1F40" w:rsidR="00CD1674" w:rsidRPr="00A27D68" w:rsidRDefault="00CD1674" w:rsidP="00CD1674">
      <w:pPr>
        <w:spacing w:line="360" w:lineRule="auto"/>
        <w:jc w:val="both"/>
        <w:rPr>
          <w:rFonts w:ascii="Arial" w:hAnsi="Arial" w:cs="Arial"/>
        </w:rPr>
      </w:pPr>
      <w:r w:rsidRPr="00A27D68">
        <w:rPr>
          <w:b/>
          <w:bCs/>
          <w:sz w:val="20"/>
          <w:szCs w:val="20"/>
          <w:lang w:val="es-ES"/>
        </w:rPr>
        <w:t>ARTÍCULO 1</w:t>
      </w:r>
      <w:r w:rsidRPr="00A27D68">
        <w:rPr>
          <w:sz w:val="20"/>
          <w:szCs w:val="20"/>
          <w:lang w:val="es-ES"/>
        </w:rPr>
        <w:t>. Las disposiciones contenidas en esta Ley son de orden público e interés general, y tienen por objeto regular la recaudación, registro, administración y custodia de los ingresos de la Hacienda Pública del Estado durante el ejercicio fiscal 202</w:t>
      </w:r>
      <w:r w:rsidR="00B70DA4">
        <w:rPr>
          <w:sz w:val="20"/>
          <w:szCs w:val="20"/>
          <w:lang w:val="es-ES"/>
        </w:rPr>
        <w:t>6</w:t>
      </w:r>
      <w:r w:rsidRPr="00A27D68">
        <w:rPr>
          <w:rFonts w:ascii="Arial" w:hAnsi="Arial" w:cs="Arial"/>
        </w:rPr>
        <w:t>.</w:t>
      </w:r>
    </w:p>
    <w:p w14:paraId="6BDC2553" w14:textId="77777777" w:rsidR="00CD1674" w:rsidRPr="00A27D68" w:rsidRDefault="00CD1674" w:rsidP="00CD1674">
      <w:pPr>
        <w:spacing w:line="360" w:lineRule="auto"/>
        <w:jc w:val="both"/>
        <w:rPr>
          <w:bCs/>
          <w:sz w:val="20"/>
          <w:szCs w:val="20"/>
          <w:lang w:val="es-ES"/>
        </w:rPr>
      </w:pPr>
    </w:p>
    <w:p w14:paraId="7790CDDF" w14:textId="77777777" w:rsidR="00CD1674" w:rsidRPr="00A27D68" w:rsidRDefault="00CD1674" w:rsidP="00CD1674">
      <w:pPr>
        <w:spacing w:line="360" w:lineRule="auto"/>
        <w:jc w:val="both"/>
        <w:rPr>
          <w:bCs/>
          <w:sz w:val="20"/>
          <w:szCs w:val="20"/>
          <w:lang w:val="es-ES"/>
        </w:rPr>
      </w:pPr>
      <w:r w:rsidRPr="00A27D68">
        <w:rPr>
          <w:bCs/>
          <w:sz w:val="20"/>
          <w:szCs w:val="20"/>
          <w:lang w:val="es-ES"/>
        </w:rPr>
        <w:t>Para dar cumplimiento a las disposiciones establecidas en la presente Ley, se implementarán las políticas públicas necesarias para hacer más eficiente la recaudación de las contribuciones previstas en la misma.</w:t>
      </w:r>
    </w:p>
    <w:p w14:paraId="0936D36F" w14:textId="77777777" w:rsidR="00CD1674" w:rsidRPr="00A27D68" w:rsidRDefault="00CD1674" w:rsidP="00CD1674">
      <w:pPr>
        <w:spacing w:line="360" w:lineRule="auto"/>
        <w:jc w:val="both"/>
        <w:rPr>
          <w:bCs/>
          <w:sz w:val="20"/>
          <w:szCs w:val="20"/>
          <w:lang w:val="es-ES"/>
        </w:rPr>
      </w:pPr>
    </w:p>
    <w:p w14:paraId="175A00B3" w14:textId="7EFEB156" w:rsidR="00CD1674" w:rsidRPr="00A27D68" w:rsidRDefault="00CD1674" w:rsidP="00CD1674">
      <w:pPr>
        <w:spacing w:line="360" w:lineRule="auto"/>
        <w:jc w:val="both"/>
        <w:rPr>
          <w:sz w:val="20"/>
          <w:szCs w:val="20"/>
          <w:lang w:val="es-ES"/>
        </w:rPr>
      </w:pPr>
      <w:r w:rsidRPr="00A27D68">
        <w:rPr>
          <w:b/>
          <w:bCs/>
          <w:sz w:val="20"/>
          <w:szCs w:val="20"/>
          <w:lang w:val="es-ES"/>
        </w:rPr>
        <w:t>ARTÍCULO 2.</w:t>
      </w:r>
      <w:r w:rsidRPr="008D5C06">
        <w:rPr>
          <w:rFonts w:ascii="Arial" w:hAnsi="Arial" w:cs="Arial"/>
        </w:rPr>
        <w:t xml:space="preserve"> </w:t>
      </w:r>
      <w:r w:rsidRPr="00A27D68">
        <w:rPr>
          <w:sz w:val="20"/>
          <w:szCs w:val="20"/>
          <w:lang w:val="es-ES"/>
        </w:rPr>
        <w:t>Los ingresos que el Estado de Tlaxcala percibirá en el Ejercicio Fiscal comprendido del 1 de enero al 31 de diciembre del año 202</w:t>
      </w:r>
      <w:r w:rsidR="00B70DA4">
        <w:rPr>
          <w:sz w:val="20"/>
          <w:szCs w:val="20"/>
          <w:lang w:val="es-ES"/>
        </w:rPr>
        <w:t>6</w:t>
      </w:r>
      <w:r w:rsidRPr="00A27D68">
        <w:rPr>
          <w:sz w:val="20"/>
          <w:szCs w:val="20"/>
          <w:lang w:val="es-ES"/>
        </w:rPr>
        <w:t>, se integran por ingresos provenientes de fuentes locales, participaciones e incentivos económicos, fondos de aportaciones federales, ingresos por convenios suscritos con el Gobierno Federal e ingresos extraordinarios de conformidad con las estimaciones siguientes:</w:t>
      </w:r>
    </w:p>
    <w:p w14:paraId="2DC9687D" w14:textId="77777777" w:rsidR="00906627" w:rsidRDefault="00906627" w:rsidP="00CD1674">
      <w:pPr>
        <w:spacing w:line="360" w:lineRule="auto"/>
        <w:jc w:val="both"/>
        <w:rPr>
          <w:bCs/>
          <w:sz w:val="20"/>
          <w:szCs w:val="20"/>
          <w:lang w:val="es-ES"/>
        </w:rPr>
      </w:pPr>
    </w:p>
    <w:tbl>
      <w:tblPr>
        <w:tblW w:w="8354" w:type="dxa"/>
        <w:tblCellMar>
          <w:left w:w="70" w:type="dxa"/>
          <w:right w:w="70" w:type="dxa"/>
        </w:tblCellMar>
        <w:tblLook w:val="04A0" w:firstRow="1" w:lastRow="0" w:firstColumn="1" w:lastColumn="0" w:noHBand="0" w:noVBand="1"/>
      </w:tblPr>
      <w:tblGrid>
        <w:gridCol w:w="219"/>
        <w:gridCol w:w="351"/>
        <w:gridCol w:w="2681"/>
        <w:gridCol w:w="1275"/>
        <w:gridCol w:w="1276"/>
        <w:gridCol w:w="1276"/>
        <w:gridCol w:w="1276"/>
      </w:tblGrid>
      <w:tr w:rsidR="004C1739" w:rsidRPr="004C1739" w14:paraId="737442BC" w14:textId="77777777" w:rsidTr="004C1739">
        <w:trPr>
          <w:trHeight w:val="315"/>
          <w:tblHeader/>
        </w:trPr>
        <w:tc>
          <w:tcPr>
            <w:tcW w:w="3251"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41F73D" w14:textId="77777777" w:rsidR="004C1739" w:rsidRPr="004C1739" w:rsidRDefault="004C1739" w:rsidP="004C1739">
            <w:pPr>
              <w:jc w:val="center"/>
              <w:rPr>
                <w:rFonts w:ascii="Calibri Light" w:hAnsi="Calibri Light" w:cs="Calibri Light"/>
                <w:b/>
                <w:bCs/>
                <w:color w:val="000000"/>
                <w:sz w:val="16"/>
                <w:szCs w:val="16"/>
                <w:u w:val="single"/>
                <w:lang w:eastAsia="es-MX"/>
              </w:rPr>
            </w:pPr>
            <w:bookmarkStart w:id="11" w:name="RANGE!A1:G169"/>
            <w:r w:rsidRPr="004C1739">
              <w:rPr>
                <w:rFonts w:ascii="Calibri Light" w:hAnsi="Calibri Light" w:cs="Calibri Light"/>
                <w:b/>
                <w:bCs/>
                <w:color w:val="000000"/>
                <w:sz w:val="16"/>
                <w:szCs w:val="16"/>
                <w:u w:val="single"/>
                <w:lang w:eastAsia="es-MX"/>
              </w:rPr>
              <w:t>C O N C E P T O</w:t>
            </w:r>
            <w:bookmarkEnd w:id="11"/>
          </w:p>
        </w:tc>
        <w:tc>
          <w:tcPr>
            <w:tcW w:w="5103" w:type="dxa"/>
            <w:gridSpan w:val="4"/>
            <w:tcBorders>
              <w:top w:val="single" w:sz="8" w:space="0" w:color="auto"/>
              <w:left w:val="nil"/>
              <w:bottom w:val="single" w:sz="8" w:space="0" w:color="auto"/>
              <w:right w:val="single" w:sz="8" w:space="0" w:color="000000"/>
            </w:tcBorders>
            <w:shd w:val="clear" w:color="000000" w:fill="FFFFFF"/>
            <w:vAlign w:val="center"/>
            <w:hideMark/>
          </w:tcPr>
          <w:p w14:paraId="4DB6A8BD" w14:textId="77777777" w:rsidR="004C1739" w:rsidRPr="004C1739" w:rsidRDefault="004C1739" w:rsidP="004C1739">
            <w:pPr>
              <w:jc w:val="center"/>
              <w:rPr>
                <w:rFonts w:ascii="Calibri Light" w:hAnsi="Calibri Light" w:cs="Calibri Light"/>
                <w:b/>
                <w:bCs/>
                <w:color w:val="000000"/>
                <w:sz w:val="16"/>
                <w:szCs w:val="16"/>
                <w:lang w:eastAsia="es-MX"/>
              </w:rPr>
            </w:pPr>
            <w:r w:rsidRPr="004C1739">
              <w:rPr>
                <w:rFonts w:ascii="Calibri Light" w:hAnsi="Calibri Light" w:cs="Calibri Light"/>
                <w:b/>
                <w:bCs/>
                <w:color w:val="000000"/>
                <w:sz w:val="16"/>
                <w:szCs w:val="16"/>
                <w:lang w:eastAsia="es-MX"/>
              </w:rPr>
              <w:t xml:space="preserve"> P E S O S </w:t>
            </w:r>
          </w:p>
        </w:tc>
      </w:tr>
      <w:tr w:rsidR="004C1739" w:rsidRPr="004C1739" w14:paraId="6BDE620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E310B9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w:t>
            </w:r>
          </w:p>
        </w:tc>
        <w:tc>
          <w:tcPr>
            <w:tcW w:w="351" w:type="dxa"/>
            <w:tcBorders>
              <w:top w:val="nil"/>
              <w:left w:val="nil"/>
              <w:bottom w:val="single" w:sz="8" w:space="0" w:color="auto"/>
              <w:right w:val="single" w:sz="8" w:space="0" w:color="auto"/>
            </w:tcBorders>
            <w:vAlign w:val="center"/>
            <w:hideMark/>
          </w:tcPr>
          <w:p w14:paraId="4A96DC9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1899C8A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w:t>
            </w:r>
          </w:p>
        </w:tc>
        <w:tc>
          <w:tcPr>
            <w:tcW w:w="1275" w:type="dxa"/>
            <w:tcBorders>
              <w:top w:val="nil"/>
              <w:left w:val="nil"/>
              <w:bottom w:val="single" w:sz="8" w:space="0" w:color="auto"/>
              <w:right w:val="single" w:sz="8" w:space="0" w:color="auto"/>
            </w:tcBorders>
            <w:shd w:val="clear" w:color="000000" w:fill="FFFFFF"/>
            <w:noWrap/>
            <w:vAlign w:val="center"/>
            <w:hideMark/>
          </w:tcPr>
          <w:p w14:paraId="5EB2834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16437B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CBAC61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44E534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1,192,519,936.00</w:t>
            </w:r>
          </w:p>
        </w:tc>
      </w:tr>
      <w:tr w:rsidR="004C1739" w:rsidRPr="004C1739" w14:paraId="307D0FB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D64659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F9A15D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1.1</w:t>
            </w:r>
          </w:p>
        </w:tc>
        <w:tc>
          <w:tcPr>
            <w:tcW w:w="2681" w:type="dxa"/>
            <w:tcBorders>
              <w:top w:val="nil"/>
              <w:left w:val="nil"/>
              <w:bottom w:val="single" w:sz="8" w:space="0" w:color="auto"/>
              <w:right w:val="single" w:sz="8" w:space="0" w:color="auto"/>
            </w:tcBorders>
            <w:vAlign w:val="center"/>
            <w:hideMark/>
          </w:tcPr>
          <w:p w14:paraId="7543C319" w14:textId="60FCEB98"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Sobre los Ingresos</w:t>
            </w:r>
          </w:p>
        </w:tc>
        <w:tc>
          <w:tcPr>
            <w:tcW w:w="1275" w:type="dxa"/>
            <w:tcBorders>
              <w:top w:val="nil"/>
              <w:left w:val="nil"/>
              <w:bottom w:val="single" w:sz="8" w:space="0" w:color="auto"/>
              <w:right w:val="single" w:sz="8" w:space="0" w:color="auto"/>
            </w:tcBorders>
            <w:shd w:val="clear" w:color="000000" w:fill="FFFFFF"/>
            <w:noWrap/>
            <w:vAlign w:val="center"/>
            <w:hideMark/>
          </w:tcPr>
          <w:p w14:paraId="43A07D8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EFDAAF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493D12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8,970,508.00</w:t>
            </w:r>
          </w:p>
        </w:tc>
        <w:tc>
          <w:tcPr>
            <w:tcW w:w="1276" w:type="dxa"/>
            <w:tcBorders>
              <w:top w:val="nil"/>
              <w:left w:val="nil"/>
              <w:bottom w:val="single" w:sz="8" w:space="0" w:color="auto"/>
              <w:right w:val="single" w:sz="8" w:space="0" w:color="auto"/>
            </w:tcBorders>
            <w:shd w:val="clear" w:color="000000" w:fill="FFFFFF"/>
            <w:noWrap/>
            <w:vAlign w:val="center"/>
            <w:hideMark/>
          </w:tcPr>
          <w:p w14:paraId="15CB3A0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E9A743C"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48D14AD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030955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02DCDFEE" w14:textId="61E70F31"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loterías, rifas, sorteos, concursos y juegos con cruce de apuestas legalmente permitidos</w:t>
            </w:r>
          </w:p>
        </w:tc>
        <w:tc>
          <w:tcPr>
            <w:tcW w:w="1275" w:type="dxa"/>
            <w:tcBorders>
              <w:top w:val="nil"/>
              <w:left w:val="nil"/>
              <w:bottom w:val="single" w:sz="8" w:space="0" w:color="auto"/>
              <w:right w:val="single" w:sz="8" w:space="0" w:color="auto"/>
            </w:tcBorders>
            <w:shd w:val="clear" w:color="000000" w:fill="FFFFFF"/>
            <w:noWrap/>
            <w:vAlign w:val="center"/>
            <w:hideMark/>
          </w:tcPr>
          <w:p w14:paraId="6E8753F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8AD5F3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699,237.00</w:t>
            </w:r>
          </w:p>
        </w:tc>
        <w:tc>
          <w:tcPr>
            <w:tcW w:w="1276" w:type="dxa"/>
            <w:tcBorders>
              <w:top w:val="nil"/>
              <w:left w:val="nil"/>
              <w:bottom w:val="single" w:sz="8" w:space="0" w:color="auto"/>
              <w:right w:val="single" w:sz="8" w:space="0" w:color="auto"/>
            </w:tcBorders>
            <w:shd w:val="clear" w:color="000000" w:fill="FFFFFF"/>
            <w:noWrap/>
            <w:vAlign w:val="center"/>
            <w:hideMark/>
          </w:tcPr>
          <w:p w14:paraId="0E2B613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13DE58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B490C23"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7669EAA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85AEB3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32FF91C0" w14:textId="783EB6FE"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diversiones y espectáculos públicos</w:t>
            </w:r>
          </w:p>
        </w:tc>
        <w:tc>
          <w:tcPr>
            <w:tcW w:w="1275" w:type="dxa"/>
            <w:tcBorders>
              <w:top w:val="nil"/>
              <w:left w:val="nil"/>
              <w:bottom w:val="single" w:sz="8" w:space="0" w:color="auto"/>
              <w:right w:val="single" w:sz="8" w:space="0" w:color="auto"/>
            </w:tcBorders>
            <w:shd w:val="clear" w:color="000000" w:fill="FFFFFF"/>
            <w:noWrap/>
            <w:vAlign w:val="center"/>
            <w:hideMark/>
          </w:tcPr>
          <w:p w14:paraId="11873FA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CA0C4E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8,271,271.00</w:t>
            </w:r>
          </w:p>
        </w:tc>
        <w:tc>
          <w:tcPr>
            <w:tcW w:w="1276" w:type="dxa"/>
            <w:tcBorders>
              <w:top w:val="nil"/>
              <w:left w:val="nil"/>
              <w:bottom w:val="single" w:sz="8" w:space="0" w:color="auto"/>
              <w:right w:val="single" w:sz="8" w:space="0" w:color="auto"/>
            </w:tcBorders>
            <w:shd w:val="clear" w:color="000000" w:fill="FFFFFF"/>
            <w:noWrap/>
            <w:vAlign w:val="center"/>
            <w:hideMark/>
          </w:tcPr>
          <w:p w14:paraId="0EAE9B5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B8A7F7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1552C2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C6389F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41B1585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1.2</w:t>
            </w:r>
          </w:p>
        </w:tc>
        <w:tc>
          <w:tcPr>
            <w:tcW w:w="2681" w:type="dxa"/>
            <w:tcBorders>
              <w:top w:val="nil"/>
              <w:left w:val="nil"/>
              <w:bottom w:val="single" w:sz="8" w:space="0" w:color="auto"/>
              <w:right w:val="single" w:sz="8" w:space="0" w:color="auto"/>
            </w:tcBorders>
            <w:vAlign w:val="center"/>
            <w:hideMark/>
          </w:tcPr>
          <w:p w14:paraId="4B97130A"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Sobre el Patrimonio</w:t>
            </w:r>
          </w:p>
        </w:tc>
        <w:tc>
          <w:tcPr>
            <w:tcW w:w="1275" w:type="dxa"/>
            <w:tcBorders>
              <w:top w:val="nil"/>
              <w:left w:val="nil"/>
              <w:bottom w:val="single" w:sz="8" w:space="0" w:color="auto"/>
              <w:right w:val="single" w:sz="8" w:space="0" w:color="auto"/>
            </w:tcBorders>
            <w:shd w:val="clear" w:color="000000" w:fill="FFFFFF"/>
            <w:noWrap/>
            <w:vAlign w:val="center"/>
            <w:hideMark/>
          </w:tcPr>
          <w:p w14:paraId="7DC2561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36EEE4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1B70B5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12,769,843.00</w:t>
            </w:r>
          </w:p>
        </w:tc>
        <w:tc>
          <w:tcPr>
            <w:tcW w:w="1276" w:type="dxa"/>
            <w:tcBorders>
              <w:top w:val="nil"/>
              <w:left w:val="nil"/>
              <w:bottom w:val="single" w:sz="8" w:space="0" w:color="auto"/>
              <w:right w:val="single" w:sz="8" w:space="0" w:color="auto"/>
            </w:tcBorders>
            <w:shd w:val="clear" w:color="000000" w:fill="FFFFFF"/>
            <w:noWrap/>
            <w:vAlign w:val="center"/>
            <w:hideMark/>
          </w:tcPr>
          <w:p w14:paraId="163B707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96F786"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B8C18E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8A53BD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5F5F3E2" w14:textId="18FF3991"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estatal sobre tenencia o uso de vehículos</w:t>
            </w:r>
          </w:p>
        </w:tc>
        <w:tc>
          <w:tcPr>
            <w:tcW w:w="1275" w:type="dxa"/>
            <w:tcBorders>
              <w:top w:val="nil"/>
              <w:left w:val="nil"/>
              <w:bottom w:val="single" w:sz="8" w:space="0" w:color="auto"/>
              <w:right w:val="single" w:sz="8" w:space="0" w:color="auto"/>
            </w:tcBorders>
            <w:shd w:val="clear" w:color="000000" w:fill="FFFFFF"/>
            <w:noWrap/>
            <w:vAlign w:val="center"/>
            <w:hideMark/>
          </w:tcPr>
          <w:p w14:paraId="079A0F3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C45F92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12,769,843.00</w:t>
            </w:r>
          </w:p>
        </w:tc>
        <w:tc>
          <w:tcPr>
            <w:tcW w:w="1276" w:type="dxa"/>
            <w:tcBorders>
              <w:top w:val="nil"/>
              <w:left w:val="nil"/>
              <w:bottom w:val="single" w:sz="8" w:space="0" w:color="auto"/>
              <w:right w:val="single" w:sz="8" w:space="0" w:color="auto"/>
            </w:tcBorders>
            <w:shd w:val="clear" w:color="000000" w:fill="FFFFFF"/>
            <w:noWrap/>
            <w:vAlign w:val="center"/>
            <w:hideMark/>
          </w:tcPr>
          <w:p w14:paraId="6374675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3AE7A5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8C9D8F0"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55A2ACD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5CCC9F4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1.3</w:t>
            </w:r>
          </w:p>
        </w:tc>
        <w:tc>
          <w:tcPr>
            <w:tcW w:w="2681" w:type="dxa"/>
            <w:tcBorders>
              <w:top w:val="nil"/>
              <w:left w:val="nil"/>
              <w:bottom w:val="single" w:sz="8" w:space="0" w:color="auto"/>
              <w:right w:val="single" w:sz="8" w:space="0" w:color="auto"/>
            </w:tcBorders>
            <w:vAlign w:val="center"/>
            <w:hideMark/>
          </w:tcPr>
          <w:p w14:paraId="31080A7D" w14:textId="77777777" w:rsidR="004C1739" w:rsidRPr="004C1739" w:rsidRDefault="004C1739" w:rsidP="004C1739">
            <w:pP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Sobre la Producción, el Consumo y las Transacciones</w:t>
            </w:r>
          </w:p>
        </w:tc>
        <w:tc>
          <w:tcPr>
            <w:tcW w:w="1275" w:type="dxa"/>
            <w:tcBorders>
              <w:top w:val="nil"/>
              <w:left w:val="nil"/>
              <w:bottom w:val="single" w:sz="8" w:space="0" w:color="auto"/>
              <w:right w:val="single" w:sz="8" w:space="0" w:color="auto"/>
            </w:tcBorders>
            <w:shd w:val="clear" w:color="000000" w:fill="FFFFFF"/>
            <w:noWrap/>
            <w:vAlign w:val="center"/>
            <w:hideMark/>
          </w:tcPr>
          <w:p w14:paraId="1C873C1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B1A3B8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86A110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41,134,065.00</w:t>
            </w:r>
          </w:p>
        </w:tc>
        <w:tc>
          <w:tcPr>
            <w:tcW w:w="1276" w:type="dxa"/>
            <w:tcBorders>
              <w:top w:val="nil"/>
              <w:left w:val="nil"/>
              <w:bottom w:val="single" w:sz="8" w:space="0" w:color="auto"/>
              <w:right w:val="single" w:sz="8" w:space="0" w:color="auto"/>
            </w:tcBorders>
            <w:shd w:val="clear" w:color="000000" w:fill="FFFFFF"/>
            <w:noWrap/>
            <w:vAlign w:val="center"/>
            <w:hideMark/>
          </w:tcPr>
          <w:p w14:paraId="681BAD0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936EA32"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4294182C" w14:textId="77777777" w:rsidR="004C1739" w:rsidRPr="004C1739" w:rsidRDefault="004C1739" w:rsidP="004C1739">
            <w:pPr>
              <w:rPr>
                <w:color w:val="000000"/>
                <w:sz w:val="20"/>
                <w:szCs w:val="20"/>
                <w:lang w:eastAsia="es-MX"/>
              </w:rPr>
            </w:pPr>
            <w:r w:rsidRPr="004C1739">
              <w:rPr>
                <w:color w:val="000000"/>
                <w:sz w:val="20"/>
                <w:szCs w:val="20"/>
                <w:lang w:eastAsia="es-MX"/>
              </w:rPr>
              <w:lastRenderedPageBreak/>
              <w:t> </w:t>
            </w:r>
          </w:p>
        </w:tc>
        <w:tc>
          <w:tcPr>
            <w:tcW w:w="351" w:type="dxa"/>
            <w:tcBorders>
              <w:top w:val="nil"/>
              <w:left w:val="nil"/>
              <w:bottom w:val="single" w:sz="8" w:space="0" w:color="auto"/>
              <w:right w:val="single" w:sz="8" w:space="0" w:color="auto"/>
            </w:tcBorders>
            <w:noWrap/>
            <w:vAlign w:val="center"/>
            <w:hideMark/>
          </w:tcPr>
          <w:p w14:paraId="4670378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A0F5DA8" w14:textId="12503CEE"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la prestación del servicio de hospedaje</w:t>
            </w:r>
          </w:p>
        </w:tc>
        <w:tc>
          <w:tcPr>
            <w:tcW w:w="1275" w:type="dxa"/>
            <w:tcBorders>
              <w:top w:val="nil"/>
              <w:left w:val="nil"/>
              <w:bottom w:val="single" w:sz="8" w:space="0" w:color="auto"/>
              <w:right w:val="single" w:sz="8" w:space="0" w:color="auto"/>
            </w:tcBorders>
            <w:shd w:val="clear" w:color="000000" w:fill="FFFFFF"/>
            <w:noWrap/>
            <w:vAlign w:val="center"/>
            <w:hideMark/>
          </w:tcPr>
          <w:p w14:paraId="1A88DC8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F8139D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6,157,066.00</w:t>
            </w:r>
          </w:p>
        </w:tc>
        <w:tc>
          <w:tcPr>
            <w:tcW w:w="1276" w:type="dxa"/>
            <w:tcBorders>
              <w:top w:val="nil"/>
              <w:left w:val="nil"/>
              <w:bottom w:val="single" w:sz="8" w:space="0" w:color="auto"/>
              <w:right w:val="single" w:sz="8" w:space="0" w:color="auto"/>
            </w:tcBorders>
            <w:shd w:val="clear" w:color="000000" w:fill="FFFFFF"/>
            <w:noWrap/>
            <w:vAlign w:val="center"/>
            <w:hideMark/>
          </w:tcPr>
          <w:p w14:paraId="6B944D7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36D753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4FDA308"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1AC3358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DE8C90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67483E7" w14:textId="2B3E345A"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funciones notariales y correduría pública</w:t>
            </w:r>
          </w:p>
        </w:tc>
        <w:tc>
          <w:tcPr>
            <w:tcW w:w="1275" w:type="dxa"/>
            <w:tcBorders>
              <w:top w:val="nil"/>
              <w:left w:val="nil"/>
              <w:bottom w:val="single" w:sz="8" w:space="0" w:color="auto"/>
              <w:right w:val="single" w:sz="8" w:space="0" w:color="auto"/>
            </w:tcBorders>
            <w:shd w:val="clear" w:color="000000" w:fill="FFFFFF"/>
            <w:noWrap/>
            <w:vAlign w:val="center"/>
            <w:hideMark/>
          </w:tcPr>
          <w:p w14:paraId="6EF532D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FAD7BE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1,940,329.00</w:t>
            </w:r>
          </w:p>
        </w:tc>
        <w:tc>
          <w:tcPr>
            <w:tcW w:w="1276" w:type="dxa"/>
            <w:tcBorders>
              <w:top w:val="nil"/>
              <w:left w:val="nil"/>
              <w:bottom w:val="single" w:sz="8" w:space="0" w:color="auto"/>
              <w:right w:val="single" w:sz="8" w:space="0" w:color="auto"/>
            </w:tcBorders>
            <w:shd w:val="clear" w:color="000000" w:fill="FFFFFF"/>
            <w:noWrap/>
            <w:vAlign w:val="center"/>
            <w:hideMark/>
          </w:tcPr>
          <w:p w14:paraId="4D769C7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A5C60E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138851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164371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CA1FDE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1D96D952" w14:textId="0C6B3BE3"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ejercicio de profesiones</w:t>
            </w:r>
          </w:p>
        </w:tc>
        <w:tc>
          <w:tcPr>
            <w:tcW w:w="1275" w:type="dxa"/>
            <w:tcBorders>
              <w:top w:val="nil"/>
              <w:left w:val="nil"/>
              <w:bottom w:val="single" w:sz="8" w:space="0" w:color="auto"/>
              <w:right w:val="single" w:sz="8" w:space="0" w:color="auto"/>
            </w:tcBorders>
            <w:shd w:val="clear" w:color="000000" w:fill="FFFFFF"/>
            <w:noWrap/>
            <w:vAlign w:val="center"/>
            <w:hideMark/>
          </w:tcPr>
          <w:p w14:paraId="3F1BD41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9A3494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4,591,083.00</w:t>
            </w:r>
          </w:p>
        </w:tc>
        <w:tc>
          <w:tcPr>
            <w:tcW w:w="1276" w:type="dxa"/>
            <w:tcBorders>
              <w:top w:val="nil"/>
              <w:left w:val="nil"/>
              <w:bottom w:val="single" w:sz="8" w:space="0" w:color="auto"/>
              <w:right w:val="single" w:sz="8" w:space="0" w:color="auto"/>
            </w:tcBorders>
            <w:shd w:val="clear" w:color="000000" w:fill="FFFFFF"/>
            <w:noWrap/>
            <w:vAlign w:val="center"/>
            <w:hideMark/>
          </w:tcPr>
          <w:p w14:paraId="783EC5A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B30FBC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6E62249"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055D3B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7A7D49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2C939F24" w14:textId="08E5291E"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adquisición de vehículos automotores usados</w:t>
            </w:r>
          </w:p>
        </w:tc>
        <w:tc>
          <w:tcPr>
            <w:tcW w:w="1275" w:type="dxa"/>
            <w:tcBorders>
              <w:top w:val="nil"/>
              <w:left w:val="nil"/>
              <w:bottom w:val="single" w:sz="8" w:space="0" w:color="auto"/>
              <w:right w:val="single" w:sz="8" w:space="0" w:color="auto"/>
            </w:tcBorders>
            <w:shd w:val="clear" w:color="000000" w:fill="FFFFFF"/>
            <w:noWrap/>
            <w:vAlign w:val="center"/>
            <w:hideMark/>
          </w:tcPr>
          <w:p w14:paraId="364CEC5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138B4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28,445,587.00</w:t>
            </w:r>
          </w:p>
        </w:tc>
        <w:tc>
          <w:tcPr>
            <w:tcW w:w="1276" w:type="dxa"/>
            <w:tcBorders>
              <w:top w:val="nil"/>
              <w:left w:val="nil"/>
              <w:bottom w:val="single" w:sz="8" w:space="0" w:color="auto"/>
              <w:right w:val="single" w:sz="8" w:space="0" w:color="auto"/>
            </w:tcBorders>
            <w:shd w:val="clear" w:color="000000" w:fill="FFFFFF"/>
            <w:noWrap/>
            <w:vAlign w:val="center"/>
            <w:hideMark/>
          </w:tcPr>
          <w:p w14:paraId="48D36CE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204A2C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CB6EF2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5BE0A9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56A8DB9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1.4</w:t>
            </w:r>
          </w:p>
        </w:tc>
        <w:tc>
          <w:tcPr>
            <w:tcW w:w="2681" w:type="dxa"/>
            <w:tcBorders>
              <w:top w:val="nil"/>
              <w:left w:val="nil"/>
              <w:bottom w:val="single" w:sz="8" w:space="0" w:color="auto"/>
              <w:right w:val="single" w:sz="8" w:space="0" w:color="auto"/>
            </w:tcBorders>
            <w:vAlign w:val="center"/>
            <w:hideMark/>
          </w:tcPr>
          <w:p w14:paraId="26FCBAB9"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al Comercio Exterior</w:t>
            </w:r>
          </w:p>
        </w:tc>
        <w:tc>
          <w:tcPr>
            <w:tcW w:w="1275" w:type="dxa"/>
            <w:tcBorders>
              <w:top w:val="nil"/>
              <w:left w:val="nil"/>
              <w:bottom w:val="single" w:sz="8" w:space="0" w:color="auto"/>
              <w:right w:val="single" w:sz="8" w:space="0" w:color="auto"/>
            </w:tcBorders>
            <w:shd w:val="clear" w:color="000000" w:fill="FFFFFF"/>
            <w:noWrap/>
            <w:vAlign w:val="center"/>
            <w:hideMark/>
          </w:tcPr>
          <w:p w14:paraId="48940BA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28F9AD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A35465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8D9203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C4909A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1014B9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79BE928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1.5</w:t>
            </w:r>
          </w:p>
        </w:tc>
        <w:tc>
          <w:tcPr>
            <w:tcW w:w="2681" w:type="dxa"/>
            <w:tcBorders>
              <w:top w:val="nil"/>
              <w:left w:val="nil"/>
              <w:bottom w:val="single" w:sz="8" w:space="0" w:color="auto"/>
              <w:right w:val="single" w:sz="8" w:space="0" w:color="auto"/>
            </w:tcBorders>
            <w:vAlign w:val="center"/>
            <w:hideMark/>
          </w:tcPr>
          <w:p w14:paraId="1F087D12"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 Sobre Nóminas y Asimilables</w:t>
            </w:r>
          </w:p>
        </w:tc>
        <w:tc>
          <w:tcPr>
            <w:tcW w:w="1275" w:type="dxa"/>
            <w:tcBorders>
              <w:top w:val="nil"/>
              <w:left w:val="nil"/>
              <w:bottom w:val="single" w:sz="8" w:space="0" w:color="auto"/>
              <w:right w:val="single" w:sz="8" w:space="0" w:color="auto"/>
            </w:tcBorders>
            <w:shd w:val="clear" w:color="000000" w:fill="FFFFFF"/>
            <w:noWrap/>
            <w:vAlign w:val="center"/>
            <w:hideMark/>
          </w:tcPr>
          <w:p w14:paraId="23B2D33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E5D96E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77234E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1,113,450,462.00</w:t>
            </w:r>
          </w:p>
        </w:tc>
        <w:tc>
          <w:tcPr>
            <w:tcW w:w="1276" w:type="dxa"/>
            <w:tcBorders>
              <w:top w:val="nil"/>
              <w:left w:val="nil"/>
              <w:bottom w:val="single" w:sz="8" w:space="0" w:color="auto"/>
              <w:right w:val="single" w:sz="8" w:space="0" w:color="auto"/>
            </w:tcBorders>
            <w:shd w:val="clear" w:color="000000" w:fill="FFFFFF"/>
            <w:noWrap/>
            <w:vAlign w:val="center"/>
            <w:hideMark/>
          </w:tcPr>
          <w:p w14:paraId="4363F20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321CFE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9032E7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A1A887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06F0F82C"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Nóminas</w:t>
            </w:r>
          </w:p>
        </w:tc>
        <w:tc>
          <w:tcPr>
            <w:tcW w:w="1275" w:type="dxa"/>
            <w:tcBorders>
              <w:top w:val="nil"/>
              <w:left w:val="nil"/>
              <w:bottom w:val="single" w:sz="8" w:space="0" w:color="auto"/>
              <w:right w:val="single" w:sz="8" w:space="0" w:color="auto"/>
            </w:tcBorders>
            <w:shd w:val="clear" w:color="000000" w:fill="FFFFFF"/>
            <w:noWrap/>
            <w:vAlign w:val="center"/>
            <w:hideMark/>
          </w:tcPr>
          <w:p w14:paraId="656D6E6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3124A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1,113,450,462.00</w:t>
            </w:r>
          </w:p>
        </w:tc>
        <w:tc>
          <w:tcPr>
            <w:tcW w:w="1276" w:type="dxa"/>
            <w:tcBorders>
              <w:top w:val="nil"/>
              <w:left w:val="nil"/>
              <w:bottom w:val="single" w:sz="8" w:space="0" w:color="auto"/>
              <w:right w:val="single" w:sz="8" w:space="0" w:color="auto"/>
            </w:tcBorders>
            <w:shd w:val="clear" w:color="000000" w:fill="FFFFFF"/>
            <w:noWrap/>
            <w:vAlign w:val="center"/>
            <w:hideMark/>
          </w:tcPr>
          <w:p w14:paraId="2258269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ACC1A8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D607D2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331D99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5A75355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1.6</w:t>
            </w:r>
          </w:p>
        </w:tc>
        <w:tc>
          <w:tcPr>
            <w:tcW w:w="2681" w:type="dxa"/>
            <w:tcBorders>
              <w:top w:val="nil"/>
              <w:left w:val="nil"/>
              <w:bottom w:val="single" w:sz="8" w:space="0" w:color="auto"/>
              <w:right w:val="single" w:sz="8" w:space="0" w:color="auto"/>
            </w:tcBorders>
            <w:vAlign w:val="center"/>
            <w:hideMark/>
          </w:tcPr>
          <w:p w14:paraId="5D8B5EE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Ecológicos</w:t>
            </w:r>
          </w:p>
        </w:tc>
        <w:tc>
          <w:tcPr>
            <w:tcW w:w="1275" w:type="dxa"/>
            <w:tcBorders>
              <w:top w:val="nil"/>
              <w:left w:val="nil"/>
              <w:bottom w:val="single" w:sz="8" w:space="0" w:color="auto"/>
              <w:right w:val="single" w:sz="8" w:space="0" w:color="auto"/>
            </w:tcBorders>
            <w:shd w:val="clear" w:color="000000" w:fill="FFFFFF"/>
            <w:noWrap/>
            <w:vAlign w:val="center"/>
            <w:hideMark/>
          </w:tcPr>
          <w:p w14:paraId="46C5CFF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DC8FC9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28F2B5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97E4D1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56D03D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9AEA03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5B45C77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1.7</w:t>
            </w:r>
          </w:p>
        </w:tc>
        <w:tc>
          <w:tcPr>
            <w:tcW w:w="2681" w:type="dxa"/>
            <w:tcBorders>
              <w:top w:val="nil"/>
              <w:left w:val="nil"/>
              <w:bottom w:val="single" w:sz="8" w:space="0" w:color="auto"/>
              <w:right w:val="single" w:sz="8" w:space="0" w:color="auto"/>
            </w:tcBorders>
            <w:vAlign w:val="center"/>
            <w:hideMark/>
          </w:tcPr>
          <w:p w14:paraId="1F01AD0C"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Accesorios de Impuestos</w:t>
            </w:r>
          </w:p>
        </w:tc>
        <w:tc>
          <w:tcPr>
            <w:tcW w:w="1275" w:type="dxa"/>
            <w:tcBorders>
              <w:top w:val="nil"/>
              <w:left w:val="nil"/>
              <w:bottom w:val="single" w:sz="8" w:space="0" w:color="auto"/>
              <w:right w:val="single" w:sz="8" w:space="0" w:color="auto"/>
            </w:tcBorders>
            <w:shd w:val="clear" w:color="000000" w:fill="FFFFFF"/>
            <w:noWrap/>
            <w:vAlign w:val="center"/>
            <w:hideMark/>
          </w:tcPr>
          <w:p w14:paraId="1E585B2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EADF76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F91D8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16,195,058.00</w:t>
            </w:r>
          </w:p>
        </w:tc>
        <w:tc>
          <w:tcPr>
            <w:tcW w:w="1276" w:type="dxa"/>
            <w:tcBorders>
              <w:top w:val="nil"/>
              <w:left w:val="nil"/>
              <w:bottom w:val="single" w:sz="8" w:space="0" w:color="auto"/>
              <w:right w:val="single" w:sz="8" w:space="0" w:color="auto"/>
            </w:tcBorders>
            <w:shd w:val="clear" w:color="000000" w:fill="FFFFFF"/>
            <w:noWrap/>
            <w:vAlign w:val="center"/>
            <w:hideMark/>
          </w:tcPr>
          <w:p w14:paraId="19EDDE1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C34C9F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239753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152D9F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627F7193" w14:textId="5A671979"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Actualizaciones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4E3506B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350935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4,293,048.00</w:t>
            </w:r>
          </w:p>
        </w:tc>
        <w:tc>
          <w:tcPr>
            <w:tcW w:w="1276" w:type="dxa"/>
            <w:tcBorders>
              <w:top w:val="nil"/>
              <w:left w:val="nil"/>
              <w:bottom w:val="single" w:sz="8" w:space="0" w:color="auto"/>
              <w:right w:val="single" w:sz="8" w:space="0" w:color="auto"/>
            </w:tcBorders>
            <w:shd w:val="clear" w:color="000000" w:fill="FFFFFF"/>
            <w:noWrap/>
            <w:vAlign w:val="center"/>
            <w:hideMark/>
          </w:tcPr>
          <w:p w14:paraId="2532700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B000E6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D09427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0363A4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B661BA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173F53B9" w14:textId="40490BED"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Recargos</w:t>
            </w:r>
          </w:p>
        </w:tc>
        <w:tc>
          <w:tcPr>
            <w:tcW w:w="1275" w:type="dxa"/>
            <w:tcBorders>
              <w:top w:val="nil"/>
              <w:left w:val="nil"/>
              <w:bottom w:val="single" w:sz="8" w:space="0" w:color="auto"/>
              <w:right w:val="single" w:sz="8" w:space="0" w:color="auto"/>
            </w:tcBorders>
            <w:shd w:val="clear" w:color="000000" w:fill="FFFFFF"/>
            <w:noWrap/>
            <w:vAlign w:val="center"/>
            <w:hideMark/>
          </w:tcPr>
          <w:p w14:paraId="737B9E7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87B5F9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6,236,147.00</w:t>
            </w:r>
          </w:p>
        </w:tc>
        <w:tc>
          <w:tcPr>
            <w:tcW w:w="1276" w:type="dxa"/>
            <w:tcBorders>
              <w:top w:val="nil"/>
              <w:left w:val="nil"/>
              <w:bottom w:val="single" w:sz="8" w:space="0" w:color="auto"/>
              <w:right w:val="single" w:sz="8" w:space="0" w:color="auto"/>
            </w:tcBorders>
            <w:shd w:val="clear" w:color="000000" w:fill="FFFFFF"/>
            <w:noWrap/>
            <w:vAlign w:val="center"/>
            <w:hideMark/>
          </w:tcPr>
          <w:p w14:paraId="601044A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B27B2F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F4BD68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748750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1BE494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0C0D6044" w14:textId="4D5B5C30"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Multas</w:t>
            </w:r>
          </w:p>
        </w:tc>
        <w:tc>
          <w:tcPr>
            <w:tcW w:w="1275" w:type="dxa"/>
            <w:tcBorders>
              <w:top w:val="nil"/>
              <w:left w:val="nil"/>
              <w:bottom w:val="single" w:sz="8" w:space="0" w:color="auto"/>
              <w:right w:val="single" w:sz="8" w:space="0" w:color="auto"/>
            </w:tcBorders>
            <w:shd w:val="clear" w:color="000000" w:fill="FFFFFF"/>
            <w:noWrap/>
            <w:vAlign w:val="center"/>
            <w:hideMark/>
          </w:tcPr>
          <w:p w14:paraId="7832CAC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F99DF0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5,528,809.00</w:t>
            </w:r>
          </w:p>
        </w:tc>
        <w:tc>
          <w:tcPr>
            <w:tcW w:w="1276" w:type="dxa"/>
            <w:tcBorders>
              <w:top w:val="nil"/>
              <w:left w:val="nil"/>
              <w:bottom w:val="single" w:sz="8" w:space="0" w:color="auto"/>
              <w:right w:val="single" w:sz="8" w:space="0" w:color="auto"/>
            </w:tcBorders>
            <w:shd w:val="clear" w:color="000000" w:fill="FFFFFF"/>
            <w:noWrap/>
            <w:vAlign w:val="center"/>
            <w:hideMark/>
          </w:tcPr>
          <w:p w14:paraId="5D0CF18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49A521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08DE9B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B70FBC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8774D1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33D46E3A" w14:textId="44EC762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Gastos de ejecución</w:t>
            </w:r>
          </w:p>
        </w:tc>
        <w:tc>
          <w:tcPr>
            <w:tcW w:w="1275" w:type="dxa"/>
            <w:tcBorders>
              <w:top w:val="nil"/>
              <w:left w:val="nil"/>
              <w:bottom w:val="single" w:sz="8" w:space="0" w:color="auto"/>
              <w:right w:val="single" w:sz="8" w:space="0" w:color="auto"/>
            </w:tcBorders>
            <w:shd w:val="clear" w:color="000000" w:fill="FFFFFF"/>
            <w:noWrap/>
            <w:vAlign w:val="center"/>
            <w:hideMark/>
          </w:tcPr>
          <w:p w14:paraId="779573D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B8B12D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137,054.00</w:t>
            </w:r>
          </w:p>
        </w:tc>
        <w:tc>
          <w:tcPr>
            <w:tcW w:w="1276" w:type="dxa"/>
            <w:tcBorders>
              <w:top w:val="nil"/>
              <w:left w:val="nil"/>
              <w:bottom w:val="single" w:sz="8" w:space="0" w:color="auto"/>
              <w:right w:val="single" w:sz="8" w:space="0" w:color="auto"/>
            </w:tcBorders>
            <w:shd w:val="clear" w:color="000000" w:fill="FFFFFF"/>
            <w:noWrap/>
            <w:vAlign w:val="center"/>
            <w:hideMark/>
          </w:tcPr>
          <w:p w14:paraId="615DCFD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FB44D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A2F254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F4BEEF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F1C542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0CD41EF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Indemnización por cheques devueltos</w:t>
            </w:r>
          </w:p>
        </w:tc>
        <w:tc>
          <w:tcPr>
            <w:tcW w:w="1275" w:type="dxa"/>
            <w:tcBorders>
              <w:top w:val="nil"/>
              <w:left w:val="nil"/>
              <w:bottom w:val="single" w:sz="8" w:space="0" w:color="auto"/>
              <w:right w:val="single" w:sz="8" w:space="0" w:color="auto"/>
            </w:tcBorders>
            <w:shd w:val="clear" w:color="000000" w:fill="FFFFFF"/>
            <w:noWrap/>
            <w:vAlign w:val="center"/>
            <w:hideMark/>
          </w:tcPr>
          <w:p w14:paraId="40B51E0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F4D0D9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A10268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8A3423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224462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DB5AF3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E10BBE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1.8</w:t>
            </w:r>
          </w:p>
        </w:tc>
        <w:tc>
          <w:tcPr>
            <w:tcW w:w="2681" w:type="dxa"/>
            <w:tcBorders>
              <w:top w:val="nil"/>
              <w:left w:val="nil"/>
              <w:bottom w:val="single" w:sz="8" w:space="0" w:color="auto"/>
              <w:right w:val="single" w:sz="8" w:space="0" w:color="auto"/>
            </w:tcBorders>
            <w:vAlign w:val="center"/>
            <w:hideMark/>
          </w:tcPr>
          <w:p w14:paraId="03069492"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Otros Impuestos</w:t>
            </w:r>
          </w:p>
        </w:tc>
        <w:tc>
          <w:tcPr>
            <w:tcW w:w="1275" w:type="dxa"/>
            <w:tcBorders>
              <w:top w:val="nil"/>
              <w:left w:val="nil"/>
              <w:bottom w:val="single" w:sz="8" w:space="0" w:color="auto"/>
              <w:right w:val="single" w:sz="8" w:space="0" w:color="auto"/>
            </w:tcBorders>
            <w:shd w:val="clear" w:color="000000" w:fill="FFFFFF"/>
            <w:noWrap/>
            <w:vAlign w:val="center"/>
            <w:hideMark/>
          </w:tcPr>
          <w:p w14:paraId="2E7E693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29794C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C33D52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B846BB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8CCE810"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64A54DAB"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34A175B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1.9</w:t>
            </w:r>
          </w:p>
        </w:tc>
        <w:tc>
          <w:tcPr>
            <w:tcW w:w="2681" w:type="dxa"/>
            <w:tcBorders>
              <w:top w:val="nil"/>
              <w:left w:val="nil"/>
              <w:bottom w:val="single" w:sz="8" w:space="0" w:color="auto"/>
              <w:right w:val="single" w:sz="8" w:space="0" w:color="auto"/>
            </w:tcBorders>
            <w:vAlign w:val="center"/>
            <w:hideMark/>
          </w:tcPr>
          <w:p w14:paraId="312E744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Impuestos no Comprendidos en la Ley de Ingresos Vigente, Causados en Ejercicios Fiscales Anteriores Pendientes de Liquidación o Pago</w:t>
            </w:r>
          </w:p>
        </w:tc>
        <w:tc>
          <w:tcPr>
            <w:tcW w:w="1275" w:type="dxa"/>
            <w:tcBorders>
              <w:top w:val="nil"/>
              <w:left w:val="nil"/>
              <w:bottom w:val="single" w:sz="8" w:space="0" w:color="auto"/>
              <w:right w:val="single" w:sz="8" w:space="0" w:color="auto"/>
            </w:tcBorders>
            <w:shd w:val="clear" w:color="000000" w:fill="FFFFFF"/>
            <w:noWrap/>
            <w:vAlign w:val="center"/>
            <w:hideMark/>
          </w:tcPr>
          <w:p w14:paraId="5E2EBBF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1EE41E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C63442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73BB64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78A178E"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7EF639D"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w:t>
            </w:r>
          </w:p>
        </w:tc>
        <w:tc>
          <w:tcPr>
            <w:tcW w:w="351" w:type="dxa"/>
            <w:tcBorders>
              <w:top w:val="nil"/>
              <w:left w:val="nil"/>
              <w:bottom w:val="single" w:sz="8" w:space="0" w:color="auto"/>
              <w:right w:val="single" w:sz="8" w:space="0" w:color="auto"/>
            </w:tcBorders>
            <w:vAlign w:val="center"/>
            <w:hideMark/>
          </w:tcPr>
          <w:p w14:paraId="75CD418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E586496"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Cuotas y Aportaciones de Seguridad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0017A85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6A1968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019789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C34FAE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r>
      <w:tr w:rsidR="004C1739" w:rsidRPr="004C1739" w14:paraId="26D119A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7B67FC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6F518D7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2.1</w:t>
            </w:r>
          </w:p>
        </w:tc>
        <w:tc>
          <w:tcPr>
            <w:tcW w:w="2681" w:type="dxa"/>
            <w:tcBorders>
              <w:top w:val="nil"/>
              <w:left w:val="nil"/>
              <w:bottom w:val="single" w:sz="8" w:space="0" w:color="auto"/>
              <w:right w:val="single" w:sz="8" w:space="0" w:color="auto"/>
            </w:tcBorders>
            <w:vAlign w:val="center"/>
            <w:hideMark/>
          </w:tcPr>
          <w:p w14:paraId="26AC548A"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Aportaciones para Fondos de Vivienda</w:t>
            </w:r>
          </w:p>
        </w:tc>
        <w:tc>
          <w:tcPr>
            <w:tcW w:w="1275" w:type="dxa"/>
            <w:tcBorders>
              <w:top w:val="nil"/>
              <w:left w:val="nil"/>
              <w:bottom w:val="single" w:sz="8" w:space="0" w:color="auto"/>
              <w:right w:val="single" w:sz="8" w:space="0" w:color="auto"/>
            </w:tcBorders>
            <w:shd w:val="clear" w:color="000000" w:fill="FFFFFF"/>
            <w:noWrap/>
            <w:vAlign w:val="center"/>
            <w:hideMark/>
          </w:tcPr>
          <w:p w14:paraId="3C33EB0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ECB5A0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A49C87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B9D264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76D06F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ED0E7B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6F553F9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2.2</w:t>
            </w:r>
          </w:p>
        </w:tc>
        <w:tc>
          <w:tcPr>
            <w:tcW w:w="2681" w:type="dxa"/>
            <w:tcBorders>
              <w:top w:val="nil"/>
              <w:left w:val="nil"/>
              <w:bottom w:val="single" w:sz="8" w:space="0" w:color="auto"/>
              <w:right w:val="single" w:sz="8" w:space="0" w:color="auto"/>
            </w:tcBorders>
            <w:vAlign w:val="center"/>
            <w:hideMark/>
          </w:tcPr>
          <w:p w14:paraId="3475C9AB" w14:textId="3E7D9268"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Cuotas para el Seguro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25C66CF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4F941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FF0944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B74B5B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737981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CB16D3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3DB7293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2.3</w:t>
            </w:r>
          </w:p>
        </w:tc>
        <w:tc>
          <w:tcPr>
            <w:tcW w:w="2681" w:type="dxa"/>
            <w:tcBorders>
              <w:top w:val="nil"/>
              <w:left w:val="nil"/>
              <w:bottom w:val="single" w:sz="8" w:space="0" w:color="auto"/>
              <w:right w:val="single" w:sz="8" w:space="0" w:color="auto"/>
            </w:tcBorders>
            <w:vAlign w:val="center"/>
            <w:hideMark/>
          </w:tcPr>
          <w:p w14:paraId="36B4641E"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Cuotas de Ahorro para el Retiro</w:t>
            </w:r>
          </w:p>
        </w:tc>
        <w:tc>
          <w:tcPr>
            <w:tcW w:w="1275" w:type="dxa"/>
            <w:tcBorders>
              <w:top w:val="nil"/>
              <w:left w:val="nil"/>
              <w:bottom w:val="single" w:sz="8" w:space="0" w:color="auto"/>
              <w:right w:val="single" w:sz="8" w:space="0" w:color="auto"/>
            </w:tcBorders>
            <w:shd w:val="clear" w:color="000000" w:fill="FFFFFF"/>
            <w:noWrap/>
            <w:vAlign w:val="center"/>
            <w:hideMark/>
          </w:tcPr>
          <w:p w14:paraId="41719D8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EB51A9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4C9BE7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A9CAA2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CDD56DF"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6AD29DF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2D03175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2.4</w:t>
            </w:r>
          </w:p>
        </w:tc>
        <w:tc>
          <w:tcPr>
            <w:tcW w:w="2681" w:type="dxa"/>
            <w:tcBorders>
              <w:top w:val="nil"/>
              <w:left w:val="nil"/>
              <w:bottom w:val="single" w:sz="8" w:space="0" w:color="auto"/>
              <w:right w:val="single" w:sz="8" w:space="0" w:color="auto"/>
            </w:tcBorders>
            <w:vAlign w:val="center"/>
            <w:hideMark/>
          </w:tcPr>
          <w:p w14:paraId="6AA38CAB"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Otras Cuotas y Aportaciones para la Seguridad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1F58661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D50943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753978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CE8750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C69BA5A"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725A62A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086AE7B"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2.5</w:t>
            </w:r>
          </w:p>
        </w:tc>
        <w:tc>
          <w:tcPr>
            <w:tcW w:w="2681" w:type="dxa"/>
            <w:tcBorders>
              <w:top w:val="nil"/>
              <w:left w:val="nil"/>
              <w:bottom w:val="single" w:sz="8" w:space="0" w:color="auto"/>
              <w:right w:val="single" w:sz="8" w:space="0" w:color="auto"/>
            </w:tcBorders>
            <w:vAlign w:val="center"/>
            <w:hideMark/>
          </w:tcPr>
          <w:p w14:paraId="19E05F0E"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Accesorios de Cuotas y Aportaciones de Seguridad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4FAB62A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CF5180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1A6CF0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57622D1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4FFFF3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F1F0276"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3</w:t>
            </w:r>
          </w:p>
        </w:tc>
        <w:tc>
          <w:tcPr>
            <w:tcW w:w="351" w:type="dxa"/>
            <w:tcBorders>
              <w:top w:val="nil"/>
              <w:left w:val="nil"/>
              <w:bottom w:val="single" w:sz="8" w:space="0" w:color="auto"/>
              <w:right w:val="single" w:sz="8" w:space="0" w:color="auto"/>
            </w:tcBorders>
            <w:vAlign w:val="center"/>
            <w:hideMark/>
          </w:tcPr>
          <w:p w14:paraId="53AE34C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D2B437B"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Contribuciones de Mejoras</w:t>
            </w:r>
          </w:p>
        </w:tc>
        <w:tc>
          <w:tcPr>
            <w:tcW w:w="1275" w:type="dxa"/>
            <w:tcBorders>
              <w:top w:val="nil"/>
              <w:left w:val="nil"/>
              <w:bottom w:val="single" w:sz="8" w:space="0" w:color="auto"/>
              <w:right w:val="single" w:sz="8" w:space="0" w:color="auto"/>
            </w:tcBorders>
            <w:shd w:val="clear" w:color="000000" w:fill="FFFFFF"/>
            <w:noWrap/>
            <w:vAlign w:val="center"/>
            <w:hideMark/>
          </w:tcPr>
          <w:p w14:paraId="5FC89E5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E6EAB6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B31CD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06605F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r>
      <w:tr w:rsidR="004C1739" w:rsidRPr="004C1739" w14:paraId="42EABA5D"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4BEDDD8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7F59883E"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3.1</w:t>
            </w:r>
          </w:p>
        </w:tc>
        <w:tc>
          <w:tcPr>
            <w:tcW w:w="2681" w:type="dxa"/>
            <w:tcBorders>
              <w:top w:val="nil"/>
              <w:left w:val="nil"/>
              <w:bottom w:val="single" w:sz="8" w:space="0" w:color="auto"/>
              <w:right w:val="single" w:sz="8" w:space="0" w:color="auto"/>
            </w:tcBorders>
            <w:vAlign w:val="center"/>
            <w:hideMark/>
          </w:tcPr>
          <w:p w14:paraId="28CCB5CD"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Contribución de Mejoras por Obras Públicas</w:t>
            </w:r>
          </w:p>
        </w:tc>
        <w:tc>
          <w:tcPr>
            <w:tcW w:w="1275" w:type="dxa"/>
            <w:tcBorders>
              <w:top w:val="nil"/>
              <w:left w:val="nil"/>
              <w:bottom w:val="single" w:sz="8" w:space="0" w:color="auto"/>
              <w:right w:val="single" w:sz="8" w:space="0" w:color="auto"/>
            </w:tcBorders>
            <w:shd w:val="clear" w:color="000000" w:fill="FFFFFF"/>
            <w:noWrap/>
            <w:vAlign w:val="center"/>
            <w:hideMark/>
          </w:tcPr>
          <w:p w14:paraId="506735F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28D286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C54E18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F5D8CA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9CAEA26" w14:textId="77777777" w:rsidTr="004C1739">
        <w:trPr>
          <w:trHeight w:val="915"/>
        </w:trPr>
        <w:tc>
          <w:tcPr>
            <w:tcW w:w="219" w:type="dxa"/>
            <w:tcBorders>
              <w:top w:val="nil"/>
              <w:left w:val="single" w:sz="8" w:space="0" w:color="auto"/>
              <w:bottom w:val="single" w:sz="8" w:space="0" w:color="auto"/>
              <w:right w:val="single" w:sz="8" w:space="0" w:color="auto"/>
            </w:tcBorders>
            <w:vAlign w:val="center"/>
            <w:hideMark/>
          </w:tcPr>
          <w:p w14:paraId="41FC62D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0A67CE6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3.9</w:t>
            </w:r>
          </w:p>
        </w:tc>
        <w:tc>
          <w:tcPr>
            <w:tcW w:w="2681" w:type="dxa"/>
            <w:tcBorders>
              <w:top w:val="nil"/>
              <w:left w:val="nil"/>
              <w:bottom w:val="single" w:sz="8" w:space="0" w:color="auto"/>
              <w:right w:val="single" w:sz="8" w:space="0" w:color="auto"/>
            </w:tcBorders>
            <w:vAlign w:val="center"/>
            <w:hideMark/>
          </w:tcPr>
          <w:p w14:paraId="4B65530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Contribuciones de Mejoras no Comprendidas en la Ley de Ingresos Vigente, Causadas en Ejercicios Fiscales Anteriores Pendientes de Liquidación o Pago</w:t>
            </w:r>
          </w:p>
        </w:tc>
        <w:tc>
          <w:tcPr>
            <w:tcW w:w="1275" w:type="dxa"/>
            <w:tcBorders>
              <w:top w:val="nil"/>
              <w:left w:val="nil"/>
              <w:bottom w:val="single" w:sz="8" w:space="0" w:color="auto"/>
              <w:right w:val="single" w:sz="8" w:space="0" w:color="auto"/>
            </w:tcBorders>
            <w:shd w:val="clear" w:color="000000" w:fill="FFFFFF"/>
            <w:noWrap/>
            <w:vAlign w:val="center"/>
            <w:hideMark/>
          </w:tcPr>
          <w:p w14:paraId="092E193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893FB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45F5F2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9D209B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77AE37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88590A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w:t>
            </w:r>
          </w:p>
        </w:tc>
        <w:tc>
          <w:tcPr>
            <w:tcW w:w="351" w:type="dxa"/>
            <w:tcBorders>
              <w:top w:val="nil"/>
              <w:left w:val="nil"/>
              <w:bottom w:val="single" w:sz="8" w:space="0" w:color="auto"/>
              <w:right w:val="single" w:sz="8" w:space="0" w:color="auto"/>
            </w:tcBorders>
            <w:vAlign w:val="center"/>
            <w:hideMark/>
          </w:tcPr>
          <w:p w14:paraId="770ABF7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25F200C"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Derechos</w:t>
            </w:r>
          </w:p>
        </w:tc>
        <w:tc>
          <w:tcPr>
            <w:tcW w:w="1275" w:type="dxa"/>
            <w:tcBorders>
              <w:top w:val="nil"/>
              <w:left w:val="nil"/>
              <w:bottom w:val="single" w:sz="8" w:space="0" w:color="auto"/>
              <w:right w:val="single" w:sz="8" w:space="0" w:color="auto"/>
            </w:tcBorders>
            <w:shd w:val="clear" w:color="000000" w:fill="FFFFFF"/>
            <w:noWrap/>
            <w:vAlign w:val="center"/>
            <w:hideMark/>
          </w:tcPr>
          <w:p w14:paraId="465D700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99EDC1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E6F00C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37DADA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755,821,294.00</w:t>
            </w:r>
          </w:p>
        </w:tc>
      </w:tr>
      <w:tr w:rsidR="004C1739" w:rsidRPr="004C1739" w14:paraId="68D7E954"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0074138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001E2C1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4.1</w:t>
            </w:r>
          </w:p>
        </w:tc>
        <w:tc>
          <w:tcPr>
            <w:tcW w:w="2681" w:type="dxa"/>
            <w:tcBorders>
              <w:top w:val="nil"/>
              <w:left w:val="nil"/>
              <w:bottom w:val="single" w:sz="8" w:space="0" w:color="auto"/>
              <w:right w:val="single" w:sz="8" w:space="0" w:color="auto"/>
            </w:tcBorders>
            <w:vAlign w:val="center"/>
            <w:hideMark/>
          </w:tcPr>
          <w:p w14:paraId="208D2B9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Derechos por el Uso, Goce, Aprovechamiento o Explotación de Bienes de Dominio Público</w:t>
            </w:r>
          </w:p>
        </w:tc>
        <w:tc>
          <w:tcPr>
            <w:tcW w:w="1275" w:type="dxa"/>
            <w:tcBorders>
              <w:top w:val="nil"/>
              <w:left w:val="nil"/>
              <w:bottom w:val="single" w:sz="8" w:space="0" w:color="auto"/>
              <w:right w:val="single" w:sz="8" w:space="0" w:color="auto"/>
            </w:tcBorders>
            <w:shd w:val="clear" w:color="000000" w:fill="FFFFFF"/>
            <w:noWrap/>
            <w:vAlign w:val="center"/>
            <w:hideMark/>
          </w:tcPr>
          <w:p w14:paraId="62CF2E8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138516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898836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DF6318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4B51A5"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E1F262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4C06F8C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4.2</w:t>
            </w:r>
          </w:p>
        </w:tc>
        <w:tc>
          <w:tcPr>
            <w:tcW w:w="2681" w:type="dxa"/>
            <w:tcBorders>
              <w:top w:val="nil"/>
              <w:left w:val="nil"/>
              <w:bottom w:val="single" w:sz="8" w:space="0" w:color="auto"/>
              <w:right w:val="single" w:sz="8" w:space="0" w:color="auto"/>
            </w:tcBorders>
            <w:vAlign w:val="center"/>
            <w:hideMark/>
          </w:tcPr>
          <w:p w14:paraId="428227D5"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Derechos a los Hidrocarburos (Derogado)</w:t>
            </w:r>
          </w:p>
        </w:tc>
        <w:tc>
          <w:tcPr>
            <w:tcW w:w="1275" w:type="dxa"/>
            <w:tcBorders>
              <w:top w:val="nil"/>
              <w:left w:val="nil"/>
              <w:bottom w:val="single" w:sz="8" w:space="0" w:color="auto"/>
              <w:right w:val="single" w:sz="8" w:space="0" w:color="auto"/>
            </w:tcBorders>
            <w:shd w:val="clear" w:color="000000" w:fill="FFFFFF"/>
            <w:noWrap/>
            <w:vAlign w:val="center"/>
            <w:hideMark/>
          </w:tcPr>
          <w:p w14:paraId="163EEBC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6E8CDA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C26194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CA530B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B1A73F3"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C880D5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0A75B4AE"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4.3</w:t>
            </w:r>
          </w:p>
        </w:tc>
        <w:tc>
          <w:tcPr>
            <w:tcW w:w="2681" w:type="dxa"/>
            <w:tcBorders>
              <w:top w:val="nil"/>
              <w:left w:val="nil"/>
              <w:bottom w:val="single" w:sz="8" w:space="0" w:color="auto"/>
              <w:right w:val="single" w:sz="8" w:space="0" w:color="auto"/>
            </w:tcBorders>
            <w:vAlign w:val="center"/>
            <w:hideMark/>
          </w:tcPr>
          <w:p w14:paraId="60A12F7B"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Derechos por Prestación de Servicios</w:t>
            </w:r>
          </w:p>
        </w:tc>
        <w:tc>
          <w:tcPr>
            <w:tcW w:w="1275" w:type="dxa"/>
            <w:tcBorders>
              <w:top w:val="nil"/>
              <w:left w:val="nil"/>
              <w:bottom w:val="single" w:sz="8" w:space="0" w:color="auto"/>
              <w:right w:val="single" w:sz="8" w:space="0" w:color="auto"/>
            </w:tcBorders>
            <w:shd w:val="clear" w:color="000000" w:fill="FFFFFF"/>
            <w:noWrap/>
            <w:vAlign w:val="center"/>
            <w:hideMark/>
          </w:tcPr>
          <w:p w14:paraId="22A76B5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BCD7A1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4D09E0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727,611,883.00</w:t>
            </w:r>
          </w:p>
        </w:tc>
        <w:tc>
          <w:tcPr>
            <w:tcW w:w="1276" w:type="dxa"/>
            <w:tcBorders>
              <w:top w:val="nil"/>
              <w:left w:val="nil"/>
              <w:bottom w:val="single" w:sz="8" w:space="0" w:color="auto"/>
              <w:right w:val="single" w:sz="8" w:space="0" w:color="auto"/>
            </w:tcBorders>
            <w:shd w:val="clear" w:color="000000" w:fill="FFFFFF"/>
            <w:noWrap/>
            <w:vAlign w:val="center"/>
            <w:hideMark/>
          </w:tcPr>
          <w:p w14:paraId="324AD00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D5B457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0DF3D5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F4038F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DD7700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Gobierno</w:t>
            </w:r>
          </w:p>
        </w:tc>
        <w:tc>
          <w:tcPr>
            <w:tcW w:w="1275" w:type="dxa"/>
            <w:tcBorders>
              <w:top w:val="nil"/>
              <w:left w:val="nil"/>
              <w:bottom w:val="single" w:sz="8" w:space="0" w:color="auto"/>
              <w:right w:val="single" w:sz="8" w:space="0" w:color="auto"/>
            </w:tcBorders>
            <w:shd w:val="clear" w:color="000000" w:fill="FFFFFF"/>
            <w:noWrap/>
            <w:vAlign w:val="center"/>
            <w:hideMark/>
          </w:tcPr>
          <w:p w14:paraId="7CF234E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2E56DB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70,490,849.00</w:t>
            </w:r>
          </w:p>
        </w:tc>
        <w:tc>
          <w:tcPr>
            <w:tcW w:w="1276" w:type="dxa"/>
            <w:tcBorders>
              <w:top w:val="nil"/>
              <w:left w:val="nil"/>
              <w:bottom w:val="single" w:sz="8" w:space="0" w:color="auto"/>
              <w:right w:val="single" w:sz="8" w:space="0" w:color="auto"/>
            </w:tcBorders>
            <w:shd w:val="clear" w:color="000000" w:fill="FFFFFF"/>
            <w:noWrap/>
            <w:vAlign w:val="center"/>
            <w:hideMark/>
          </w:tcPr>
          <w:p w14:paraId="66AE1A6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37F26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60F1B9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184BD3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0C5C0921"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1D6ED2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Seguridad Ciudadana</w:t>
            </w:r>
          </w:p>
        </w:tc>
        <w:tc>
          <w:tcPr>
            <w:tcW w:w="1275" w:type="dxa"/>
            <w:tcBorders>
              <w:top w:val="nil"/>
              <w:left w:val="nil"/>
              <w:bottom w:val="single" w:sz="8" w:space="0" w:color="auto"/>
              <w:right w:val="single" w:sz="8" w:space="0" w:color="auto"/>
            </w:tcBorders>
            <w:shd w:val="clear" w:color="000000" w:fill="FFFFFF"/>
            <w:noWrap/>
            <w:vAlign w:val="center"/>
            <w:hideMark/>
          </w:tcPr>
          <w:p w14:paraId="6D55243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65C635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22,903,861.00</w:t>
            </w:r>
          </w:p>
        </w:tc>
        <w:tc>
          <w:tcPr>
            <w:tcW w:w="1276" w:type="dxa"/>
            <w:tcBorders>
              <w:top w:val="nil"/>
              <w:left w:val="nil"/>
              <w:bottom w:val="single" w:sz="8" w:space="0" w:color="auto"/>
              <w:right w:val="single" w:sz="8" w:space="0" w:color="auto"/>
            </w:tcBorders>
            <w:shd w:val="clear" w:color="000000" w:fill="FFFFFF"/>
            <w:noWrap/>
            <w:vAlign w:val="center"/>
            <w:hideMark/>
          </w:tcPr>
          <w:p w14:paraId="515D0F4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A20C41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A0C09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CA15D8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58D9AF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47F0C4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Movilidad y Transporte</w:t>
            </w:r>
          </w:p>
        </w:tc>
        <w:tc>
          <w:tcPr>
            <w:tcW w:w="1275" w:type="dxa"/>
            <w:tcBorders>
              <w:top w:val="nil"/>
              <w:left w:val="nil"/>
              <w:bottom w:val="single" w:sz="8" w:space="0" w:color="auto"/>
              <w:right w:val="single" w:sz="8" w:space="0" w:color="auto"/>
            </w:tcBorders>
            <w:shd w:val="clear" w:color="000000" w:fill="FFFFFF"/>
            <w:noWrap/>
            <w:vAlign w:val="center"/>
            <w:hideMark/>
          </w:tcPr>
          <w:p w14:paraId="29063D0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F603BD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385,012,978.00</w:t>
            </w:r>
          </w:p>
        </w:tc>
        <w:tc>
          <w:tcPr>
            <w:tcW w:w="1276" w:type="dxa"/>
            <w:tcBorders>
              <w:top w:val="nil"/>
              <w:left w:val="nil"/>
              <w:bottom w:val="single" w:sz="8" w:space="0" w:color="auto"/>
              <w:right w:val="single" w:sz="8" w:space="0" w:color="auto"/>
            </w:tcBorders>
            <w:shd w:val="clear" w:color="000000" w:fill="FFFFFF"/>
            <w:noWrap/>
            <w:vAlign w:val="center"/>
            <w:hideMark/>
          </w:tcPr>
          <w:p w14:paraId="59E3879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8D5441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2DD5C4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A0A9769" w14:textId="77777777" w:rsidR="004C1739" w:rsidRPr="004C1739" w:rsidRDefault="004C1739" w:rsidP="004C1739">
            <w:pPr>
              <w:rPr>
                <w:color w:val="000000"/>
                <w:sz w:val="20"/>
                <w:szCs w:val="20"/>
                <w:lang w:eastAsia="es-MX"/>
              </w:rPr>
            </w:pPr>
            <w:r w:rsidRPr="004C1739">
              <w:rPr>
                <w:color w:val="000000"/>
                <w:sz w:val="20"/>
                <w:szCs w:val="20"/>
                <w:lang w:eastAsia="es-MX"/>
              </w:rPr>
              <w:lastRenderedPageBreak/>
              <w:t> </w:t>
            </w:r>
          </w:p>
        </w:tc>
        <w:tc>
          <w:tcPr>
            <w:tcW w:w="351" w:type="dxa"/>
            <w:tcBorders>
              <w:top w:val="nil"/>
              <w:left w:val="nil"/>
              <w:bottom w:val="single" w:sz="8" w:space="0" w:color="auto"/>
              <w:right w:val="single" w:sz="8" w:space="0" w:color="auto"/>
            </w:tcBorders>
            <w:noWrap/>
            <w:vAlign w:val="center"/>
            <w:hideMark/>
          </w:tcPr>
          <w:p w14:paraId="135F768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052FBA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Finanzas</w:t>
            </w:r>
          </w:p>
        </w:tc>
        <w:tc>
          <w:tcPr>
            <w:tcW w:w="1275" w:type="dxa"/>
            <w:tcBorders>
              <w:top w:val="nil"/>
              <w:left w:val="nil"/>
              <w:bottom w:val="single" w:sz="8" w:space="0" w:color="auto"/>
              <w:right w:val="single" w:sz="8" w:space="0" w:color="auto"/>
            </w:tcBorders>
            <w:shd w:val="clear" w:color="000000" w:fill="FFFFFF"/>
            <w:noWrap/>
            <w:vAlign w:val="center"/>
            <w:hideMark/>
          </w:tcPr>
          <w:p w14:paraId="1A8CEAA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B127F8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34,883,231.00</w:t>
            </w:r>
          </w:p>
        </w:tc>
        <w:tc>
          <w:tcPr>
            <w:tcW w:w="1276" w:type="dxa"/>
            <w:tcBorders>
              <w:top w:val="nil"/>
              <w:left w:val="nil"/>
              <w:bottom w:val="single" w:sz="8" w:space="0" w:color="auto"/>
              <w:right w:val="single" w:sz="8" w:space="0" w:color="auto"/>
            </w:tcBorders>
            <w:shd w:val="clear" w:color="000000" w:fill="FFFFFF"/>
            <w:noWrap/>
            <w:vAlign w:val="center"/>
            <w:hideMark/>
          </w:tcPr>
          <w:p w14:paraId="7FB331B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887F56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F5544D"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12A326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ADBDFF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02B3AF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Desarrollo Económico</w:t>
            </w:r>
          </w:p>
        </w:tc>
        <w:tc>
          <w:tcPr>
            <w:tcW w:w="1275" w:type="dxa"/>
            <w:tcBorders>
              <w:top w:val="nil"/>
              <w:left w:val="nil"/>
              <w:bottom w:val="single" w:sz="8" w:space="0" w:color="auto"/>
              <w:right w:val="single" w:sz="8" w:space="0" w:color="auto"/>
            </w:tcBorders>
            <w:shd w:val="clear" w:color="000000" w:fill="FFFFFF"/>
            <w:noWrap/>
            <w:vAlign w:val="center"/>
            <w:hideMark/>
          </w:tcPr>
          <w:p w14:paraId="7582709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826670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77,613.00</w:t>
            </w:r>
          </w:p>
        </w:tc>
        <w:tc>
          <w:tcPr>
            <w:tcW w:w="1276" w:type="dxa"/>
            <w:tcBorders>
              <w:top w:val="nil"/>
              <w:left w:val="nil"/>
              <w:bottom w:val="single" w:sz="8" w:space="0" w:color="auto"/>
              <w:right w:val="single" w:sz="8" w:space="0" w:color="auto"/>
            </w:tcBorders>
            <w:shd w:val="clear" w:color="000000" w:fill="FFFFFF"/>
            <w:noWrap/>
            <w:vAlign w:val="center"/>
            <w:hideMark/>
          </w:tcPr>
          <w:p w14:paraId="644AB83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8A769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F0423C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9B0040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098977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8F8100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Oficialía Mayor de Gobierno</w:t>
            </w:r>
          </w:p>
        </w:tc>
        <w:tc>
          <w:tcPr>
            <w:tcW w:w="1275" w:type="dxa"/>
            <w:tcBorders>
              <w:top w:val="nil"/>
              <w:left w:val="nil"/>
              <w:bottom w:val="single" w:sz="8" w:space="0" w:color="auto"/>
              <w:right w:val="single" w:sz="8" w:space="0" w:color="auto"/>
            </w:tcBorders>
            <w:shd w:val="clear" w:color="000000" w:fill="FFFFFF"/>
            <w:noWrap/>
            <w:vAlign w:val="center"/>
            <w:hideMark/>
          </w:tcPr>
          <w:p w14:paraId="4F8C3F0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25BB36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82,887,450.00</w:t>
            </w:r>
          </w:p>
        </w:tc>
        <w:tc>
          <w:tcPr>
            <w:tcW w:w="1276" w:type="dxa"/>
            <w:tcBorders>
              <w:top w:val="nil"/>
              <w:left w:val="nil"/>
              <w:bottom w:val="single" w:sz="8" w:space="0" w:color="auto"/>
              <w:right w:val="single" w:sz="8" w:space="0" w:color="auto"/>
            </w:tcBorders>
            <w:shd w:val="clear" w:color="000000" w:fill="FFFFFF"/>
            <w:noWrap/>
            <w:vAlign w:val="center"/>
            <w:hideMark/>
          </w:tcPr>
          <w:p w14:paraId="22FD926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4E5CD5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723430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CDC7B2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16D716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EA4DF1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Infraestructura</w:t>
            </w:r>
          </w:p>
        </w:tc>
        <w:tc>
          <w:tcPr>
            <w:tcW w:w="1275" w:type="dxa"/>
            <w:tcBorders>
              <w:top w:val="nil"/>
              <w:left w:val="nil"/>
              <w:bottom w:val="single" w:sz="8" w:space="0" w:color="auto"/>
              <w:right w:val="single" w:sz="8" w:space="0" w:color="auto"/>
            </w:tcBorders>
            <w:shd w:val="clear" w:color="000000" w:fill="FFFFFF"/>
            <w:noWrap/>
            <w:vAlign w:val="center"/>
            <w:hideMark/>
          </w:tcPr>
          <w:p w14:paraId="360EC78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0084D0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822,753.00</w:t>
            </w:r>
          </w:p>
        </w:tc>
        <w:tc>
          <w:tcPr>
            <w:tcW w:w="1276" w:type="dxa"/>
            <w:tcBorders>
              <w:top w:val="nil"/>
              <w:left w:val="nil"/>
              <w:bottom w:val="single" w:sz="8" w:space="0" w:color="auto"/>
              <w:right w:val="single" w:sz="8" w:space="0" w:color="auto"/>
            </w:tcBorders>
            <w:shd w:val="clear" w:color="000000" w:fill="FFFFFF"/>
            <w:noWrap/>
            <w:vAlign w:val="center"/>
            <w:hideMark/>
          </w:tcPr>
          <w:p w14:paraId="09808D2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3B3788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52ACE3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ECE828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371ACD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AFF7D82"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Medio Ambiente</w:t>
            </w:r>
          </w:p>
        </w:tc>
        <w:tc>
          <w:tcPr>
            <w:tcW w:w="1275" w:type="dxa"/>
            <w:tcBorders>
              <w:top w:val="nil"/>
              <w:left w:val="nil"/>
              <w:bottom w:val="single" w:sz="8" w:space="0" w:color="auto"/>
              <w:right w:val="single" w:sz="8" w:space="0" w:color="auto"/>
            </w:tcBorders>
            <w:shd w:val="clear" w:color="000000" w:fill="FFFFFF"/>
            <w:noWrap/>
            <w:vAlign w:val="center"/>
            <w:hideMark/>
          </w:tcPr>
          <w:p w14:paraId="267EA4D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385AF6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83,148,805.00</w:t>
            </w:r>
          </w:p>
        </w:tc>
        <w:tc>
          <w:tcPr>
            <w:tcW w:w="1276" w:type="dxa"/>
            <w:tcBorders>
              <w:top w:val="nil"/>
              <w:left w:val="nil"/>
              <w:bottom w:val="single" w:sz="8" w:space="0" w:color="auto"/>
              <w:right w:val="single" w:sz="8" w:space="0" w:color="auto"/>
            </w:tcBorders>
            <w:shd w:val="clear" w:color="000000" w:fill="FFFFFF"/>
            <w:noWrap/>
            <w:vAlign w:val="center"/>
            <w:hideMark/>
          </w:tcPr>
          <w:p w14:paraId="1AA7F01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7B1A59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CA91784"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4636534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D2573D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0DA60B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Procuraduría de Protección al Ambiente del Estado de Tlaxcala</w:t>
            </w:r>
          </w:p>
        </w:tc>
        <w:tc>
          <w:tcPr>
            <w:tcW w:w="1275" w:type="dxa"/>
            <w:tcBorders>
              <w:top w:val="nil"/>
              <w:left w:val="nil"/>
              <w:bottom w:val="single" w:sz="8" w:space="0" w:color="auto"/>
              <w:right w:val="single" w:sz="8" w:space="0" w:color="auto"/>
            </w:tcBorders>
            <w:shd w:val="clear" w:color="000000" w:fill="FFFFFF"/>
            <w:noWrap/>
            <w:vAlign w:val="center"/>
            <w:hideMark/>
          </w:tcPr>
          <w:p w14:paraId="24BD234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6FE0EC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1,640,000.00</w:t>
            </w:r>
          </w:p>
        </w:tc>
        <w:tc>
          <w:tcPr>
            <w:tcW w:w="1276" w:type="dxa"/>
            <w:tcBorders>
              <w:top w:val="nil"/>
              <w:left w:val="nil"/>
              <w:bottom w:val="single" w:sz="8" w:space="0" w:color="auto"/>
              <w:right w:val="single" w:sz="8" w:space="0" w:color="auto"/>
            </w:tcBorders>
            <w:shd w:val="clear" w:color="000000" w:fill="FFFFFF"/>
            <w:noWrap/>
            <w:vAlign w:val="center"/>
            <w:hideMark/>
          </w:tcPr>
          <w:p w14:paraId="5B8937B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A2C32E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D7B442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DF7EFC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BB59FE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1C4EE4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Coordinación de Bienestar Animal</w:t>
            </w:r>
          </w:p>
        </w:tc>
        <w:tc>
          <w:tcPr>
            <w:tcW w:w="1275" w:type="dxa"/>
            <w:tcBorders>
              <w:top w:val="nil"/>
              <w:left w:val="nil"/>
              <w:bottom w:val="single" w:sz="8" w:space="0" w:color="auto"/>
              <w:right w:val="single" w:sz="8" w:space="0" w:color="auto"/>
            </w:tcBorders>
            <w:shd w:val="clear" w:color="000000" w:fill="FFFFFF"/>
            <w:noWrap/>
            <w:vAlign w:val="center"/>
            <w:hideMark/>
          </w:tcPr>
          <w:p w14:paraId="7AF6405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40FDB1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503,695.00</w:t>
            </w:r>
          </w:p>
        </w:tc>
        <w:tc>
          <w:tcPr>
            <w:tcW w:w="1276" w:type="dxa"/>
            <w:tcBorders>
              <w:top w:val="nil"/>
              <w:left w:val="nil"/>
              <w:bottom w:val="single" w:sz="8" w:space="0" w:color="auto"/>
              <w:right w:val="single" w:sz="8" w:space="0" w:color="auto"/>
            </w:tcBorders>
            <w:shd w:val="clear" w:color="000000" w:fill="FFFFFF"/>
            <w:noWrap/>
            <w:vAlign w:val="center"/>
            <w:hideMark/>
          </w:tcPr>
          <w:p w14:paraId="7F55182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E8DB59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D272FA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CF198B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B7C0EB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14EC207" w14:textId="77777777" w:rsidR="004C1739" w:rsidRPr="004C1739" w:rsidRDefault="004C1739" w:rsidP="004C1739">
            <w:pP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Anticorrupción y Buen Gobierno</w:t>
            </w:r>
          </w:p>
        </w:tc>
        <w:tc>
          <w:tcPr>
            <w:tcW w:w="1275" w:type="dxa"/>
            <w:tcBorders>
              <w:top w:val="nil"/>
              <w:left w:val="nil"/>
              <w:bottom w:val="single" w:sz="8" w:space="0" w:color="auto"/>
              <w:right w:val="single" w:sz="8" w:space="0" w:color="auto"/>
            </w:tcBorders>
            <w:shd w:val="clear" w:color="000000" w:fill="FFFFFF"/>
            <w:noWrap/>
            <w:vAlign w:val="center"/>
            <w:hideMark/>
          </w:tcPr>
          <w:p w14:paraId="25765E2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906252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920,800.00</w:t>
            </w:r>
          </w:p>
        </w:tc>
        <w:tc>
          <w:tcPr>
            <w:tcW w:w="1276" w:type="dxa"/>
            <w:tcBorders>
              <w:top w:val="nil"/>
              <w:left w:val="nil"/>
              <w:bottom w:val="single" w:sz="8" w:space="0" w:color="auto"/>
              <w:right w:val="single" w:sz="8" w:space="0" w:color="auto"/>
            </w:tcBorders>
            <w:shd w:val="clear" w:color="000000" w:fill="FFFFFF"/>
            <w:noWrap/>
            <w:vAlign w:val="center"/>
            <w:hideMark/>
          </w:tcPr>
          <w:p w14:paraId="0BCC2B1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9E476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972195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35B508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412D8D2F"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B8E0FC1"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Impulso Agropecuario</w:t>
            </w:r>
          </w:p>
        </w:tc>
        <w:tc>
          <w:tcPr>
            <w:tcW w:w="1275" w:type="dxa"/>
            <w:tcBorders>
              <w:top w:val="nil"/>
              <w:left w:val="nil"/>
              <w:bottom w:val="single" w:sz="8" w:space="0" w:color="auto"/>
              <w:right w:val="single" w:sz="8" w:space="0" w:color="auto"/>
            </w:tcBorders>
            <w:shd w:val="clear" w:color="000000" w:fill="FFFFFF"/>
            <w:noWrap/>
            <w:vAlign w:val="center"/>
            <w:hideMark/>
          </w:tcPr>
          <w:p w14:paraId="63FF241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E199E4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536,086.00</w:t>
            </w:r>
          </w:p>
        </w:tc>
        <w:tc>
          <w:tcPr>
            <w:tcW w:w="1276" w:type="dxa"/>
            <w:tcBorders>
              <w:top w:val="nil"/>
              <w:left w:val="nil"/>
              <w:bottom w:val="single" w:sz="8" w:space="0" w:color="auto"/>
              <w:right w:val="single" w:sz="8" w:space="0" w:color="auto"/>
            </w:tcBorders>
            <w:shd w:val="clear" w:color="000000" w:fill="FFFFFF"/>
            <w:noWrap/>
            <w:vAlign w:val="center"/>
            <w:hideMark/>
          </w:tcPr>
          <w:p w14:paraId="47D96AD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AE4DFF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FFA54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94236F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C440D0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9B3C6B0"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Salud</w:t>
            </w:r>
          </w:p>
        </w:tc>
        <w:tc>
          <w:tcPr>
            <w:tcW w:w="1275" w:type="dxa"/>
            <w:tcBorders>
              <w:top w:val="nil"/>
              <w:left w:val="nil"/>
              <w:bottom w:val="single" w:sz="8" w:space="0" w:color="auto"/>
              <w:right w:val="single" w:sz="8" w:space="0" w:color="auto"/>
            </w:tcBorders>
            <w:shd w:val="clear" w:color="000000" w:fill="FFFFFF"/>
            <w:noWrap/>
            <w:vAlign w:val="center"/>
            <w:hideMark/>
          </w:tcPr>
          <w:p w14:paraId="10DA3A4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EFACF0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6E4DE1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529DC9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83AB62D"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17757A2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0DB00D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CBBB1BD"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Instituto Tlaxcalteca de Asistencia Especializada a la Salud</w:t>
            </w:r>
          </w:p>
        </w:tc>
        <w:tc>
          <w:tcPr>
            <w:tcW w:w="1275" w:type="dxa"/>
            <w:tcBorders>
              <w:top w:val="nil"/>
              <w:left w:val="nil"/>
              <w:bottom w:val="single" w:sz="8" w:space="0" w:color="auto"/>
              <w:right w:val="single" w:sz="8" w:space="0" w:color="auto"/>
            </w:tcBorders>
            <w:shd w:val="clear" w:color="000000" w:fill="FFFFFF"/>
            <w:noWrap/>
            <w:vAlign w:val="center"/>
            <w:hideMark/>
          </w:tcPr>
          <w:p w14:paraId="079E68A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321324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36,714,846.00</w:t>
            </w:r>
          </w:p>
        </w:tc>
        <w:tc>
          <w:tcPr>
            <w:tcW w:w="1276" w:type="dxa"/>
            <w:tcBorders>
              <w:top w:val="nil"/>
              <w:left w:val="nil"/>
              <w:bottom w:val="single" w:sz="8" w:space="0" w:color="auto"/>
              <w:right w:val="single" w:sz="8" w:space="0" w:color="auto"/>
            </w:tcBorders>
            <w:shd w:val="clear" w:color="000000" w:fill="FFFFFF"/>
            <w:noWrap/>
            <w:vAlign w:val="center"/>
            <w:hideMark/>
          </w:tcPr>
          <w:p w14:paraId="0B9260F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99F1D7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0F3F57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F6BA28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F4802F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8A7A93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Instituto de Catastro</w:t>
            </w:r>
          </w:p>
        </w:tc>
        <w:tc>
          <w:tcPr>
            <w:tcW w:w="1275" w:type="dxa"/>
            <w:tcBorders>
              <w:top w:val="nil"/>
              <w:left w:val="nil"/>
              <w:bottom w:val="single" w:sz="8" w:space="0" w:color="auto"/>
              <w:right w:val="single" w:sz="8" w:space="0" w:color="auto"/>
            </w:tcBorders>
            <w:shd w:val="clear" w:color="000000" w:fill="FFFFFF"/>
            <w:noWrap/>
            <w:vAlign w:val="center"/>
            <w:hideMark/>
          </w:tcPr>
          <w:p w14:paraId="4313356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2F4F13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9D665F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1122A7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C20273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A1DA99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EFF858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7BB37CE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Turismo</w:t>
            </w:r>
          </w:p>
        </w:tc>
        <w:tc>
          <w:tcPr>
            <w:tcW w:w="1275" w:type="dxa"/>
            <w:tcBorders>
              <w:top w:val="nil"/>
              <w:left w:val="nil"/>
              <w:bottom w:val="single" w:sz="8" w:space="0" w:color="auto"/>
              <w:right w:val="single" w:sz="8" w:space="0" w:color="auto"/>
            </w:tcBorders>
            <w:shd w:val="clear" w:color="000000" w:fill="FFFFFF"/>
            <w:noWrap/>
            <w:vAlign w:val="center"/>
            <w:hideMark/>
          </w:tcPr>
          <w:p w14:paraId="2FCBFF2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08C64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BAC3BD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981302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DBA2A1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88D894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8D74A6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64DDEF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Poder Judicial</w:t>
            </w:r>
          </w:p>
        </w:tc>
        <w:tc>
          <w:tcPr>
            <w:tcW w:w="1275" w:type="dxa"/>
            <w:tcBorders>
              <w:top w:val="nil"/>
              <w:left w:val="nil"/>
              <w:bottom w:val="single" w:sz="8" w:space="0" w:color="auto"/>
              <w:right w:val="single" w:sz="8" w:space="0" w:color="auto"/>
            </w:tcBorders>
            <w:shd w:val="clear" w:color="000000" w:fill="FFFFFF"/>
            <w:noWrap/>
            <w:vAlign w:val="center"/>
            <w:hideMark/>
          </w:tcPr>
          <w:p w14:paraId="5470184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B6128F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96EB57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734C01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4A2232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9ED986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AFBD440"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A0A5D4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Cultura</w:t>
            </w:r>
          </w:p>
        </w:tc>
        <w:tc>
          <w:tcPr>
            <w:tcW w:w="1275" w:type="dxa"/>
            <w:tcBorders>
              <w:top w:val="nil"/>
              <w:left w:val="nil"/>
              <w:bottom w:val="single" w:sz="8" w:space="0" w:color="auto"/>
              <w:right w:val="single" w:sz="8" w:space="0" w:color="auto"/>
            </w:tcBorders>
            <w:shd w:val="clear" w:color="000000" w:fill="FFFFFF"/>
            <w:noWrap/>
            <w:vAlign w:val="center"/>
            <w:hideMark/>
          </w:tcPr>
          <w:p w14:paraId="0AA8AE2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42DEDB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1,414,293.00</w:t>
            </w:r>
          </w:p>
        </w:tc>
        <w:tc>
          <w:tcPr>
            <w:tcW w:w="1276" w:type="dxa"/>
            <w:tcBorders>
              <w:top w:val="nil"/>
              <w:left w:val="nil"/>
              <w:bottom w:val="single" w:sz="8" w:space="0" w:color="auto"/>
              <w:right w:val="single" w:sz="8" w:space="0" w:color="auto"/>
            </w:tcBorders>
            <w:shd w:val="clear" w:color="000000" w:fill="FFFFFF"/>
            <w:noWrap/>
            <w:vAlign w:val="center"/>
            <w:hideMark/>
          </w:tcPr>
          <w:p w14:paraId="7104DC9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28EA02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B5D6B8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B2A563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23B7DA4"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F4FAC6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Bienestar</w:t>
            </w:r>
          </w:p>
        </w:tc>
        <w:tc>
          <w:tcPr>
            <w:tcW w:w="1275" w:type="dxa"/>
            <w:tcBorders>
              <w:top w:val="nil"/>
              <w:left w:val="nil"/>
              <w:bottom w:val="single" w:sz="8" w:space="0" w:color="auto"/>
              <w:right w:val="single" w:sz="8" w:space="0" w:color="auto"/>
            </w:tcBorders>
            <w:shd w:val="clear" w:color="000000" w:fill="FFFFFF"/>
            <w:noWrap/>
            <w:vAlign w:val="center"/>
            <w:hideMark/>
          </w:tcPr>
          <w:p w14:paraId="7E95011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557D93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63541F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42F730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C14FCD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9F3D20B"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9CDD753"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8CA5137"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Ordenamiento Territorial y Vivienda</w:t>
            </w:r>
          </w:p>
        </w:tc>
        <w:tc>
          <w:tcPr>
            <w:tcW w:w="1275" w:type="dxa"/>
            <w:tcBorders>
              <w:top w:val="nil"/>
              <w:left w:val="nil"/>
              <w:bottom w:val="single" w:sz="8" w:space="0" w:color="auto"/>
              <w:right w:val="single" w:sz="8" w:space="0" w:color="auto"/>
            </w:tcBorders>
            <w:shd w:val="clear" w:color="000000" w:fill="FFFFFF"/>
            <w:noWrap/>
            <w:vAlign w:val="center"/>
            <w:hideMark/>
          </w:tcPr>
          <w:p w14:paraId="549A581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322B2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1,083,852.00</w:t>
            </w:r>
          </w:p>
        </w:tc>
        <w:tc>
          <w:tcPr>
            <w:tcW w:w="1276" w:type="dxa"/>
            <w:tcBorders>
              <w:top w:val="nil"/>
              <w:left w:val="nil"/>
              <w:bottom w:val="single" w:sz="8" w:space="0" w:color="auto"/>
              <w:right w:val="single" w:sz="8" w:space="0" w:color="auto"/>
            </w:tcBorders>
            <w:shd w:val="clear" w:color="000000" w:fill="FFFFFF"/>
            <w:noWrap/>
            <w:vAlign w:val="center"/>
            <w:hideMark/>
          </w:tcPr>
          <w:p w14:paraId="5FAEEF0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514DAA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D44D0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C351C4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4C8A848B"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790B9D8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Coordinación Estatal de Protección Civil</w:t>
            </w:r>
          </w:p>
        </w:tc>
        <w:tc>
          <w:tcPr>
            <w:tcW w:w="1275" w:type="dxa"/>
            <w:tcBorders>
              <w:top w:val="nil"/>
              <w:left w:val="nil"/>
              <w:bottom w:val="single" w:sz="8" w:space="0" w:color="auto"/>
              <w:right w:val="single" w:sz="8" w:space="0" w:color="auto"/>
            </w:tcBorders>
            <w:shd w:val="clear" w:color="000000" w:fill="FFFFFF"/>
            <w:noWrap/>
            <w:vAlign w:val="center"/>
            <w:hideMark/>
          </w:tcPr>
          <w:p w14:paraId="4DA7973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160078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C0E4A0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B3B6D1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9AFF97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89B6780"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CDE5332"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82A79C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Casa de las Artesanías de Tlaxcala</w:t>
            </w:r>
          </w:p>
        </w:tc>
        <w:tc>
          <w:tcPr>
            <w:tcW w:w="1275" w:type="dxa"/>
            <w:tcBorders>
              <w:top w:val="nil"/>
              <w:left w:val="nil"/>
              <w:bottom w:val="single" w:sz="8" w:space="0" w:color="auto"/>
              <w:right w:val="single" w:sz="8" w:space="0" w:color="auto"/>
            </w:tcBorders>
            <w:shd w:val="clear" w:color="000000" w:fill="FFFFFF"/>
            <w:noWrap/>
            <w:vAlign w:val="center"/>
            <w:hideMark/>
          </w:tcPr>
          <w:p w14:paraId="308DE41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E740D5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552F906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CC481B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74D04A1"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2F02B48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5D49EE0"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8DFA635"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Secretaría de Educación Pública del Estado de Tlaxcala</w:t>
            </w:r>
          </w:p>
        </w:tc>
        <w:tc>
          <w:tcPr>
            <w:tcW w:w="1275" w:type="dxa"/>
            <w:tcBorders>
              <w:top w:val="nil"/>
              <w:left w:val="nil"/>
              <w:bottom w:val="single" w:sz="8" w:space="0" w:color="auto"/>
              <w:right w:val="single" w:sz="8" w:space="0" w:color="auto"/>
            </w:tcBorders>
            <w:shd w:val="clear" w:color="000000" w:fill="FFFFFF"/>
            <w:noWrap/>
            <w:vAlign w:val="center"/>
            <w:hideMark/>
          </w:tcPr>
          <w:p w14:paraId="56F806E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42CFED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4,570,771.00</w:t>
            </w:r>
          </w:p>
        </w:tc>
        <w:tc>
          <w:tcPr>
            <w:tcW w:w="1276" w:type="dxa"/>
            <w:tcBorders>
              <w:top w:val="nil"/>
              <w:left w:val="nil"/>
              <w:bottom w:val="single" w:sz="8" w:space="0" w:color="auto"/>
              <w:right w:val="single" w:sz="8" w:space="0" w:color="auto"/>
            </w:tcBorders>
            <w:shd w:val="clear" w:color="000000" w:fill="FFFFFF"/>
            <w:noWrap/>
            <w:vAlign w:val="center"/>
            <w:hideMark/>
          </w:tcPr>
          <w:p w14:paraId="4D38754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9F857C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66F197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0B74DF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336960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0278010"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Servicios Generales</w:t>
            </w:r>
          </w:p>
        </w:tc>
        <w:tc>
          <w:tcPr>
            <w:tcW w:w="1275" w:type="dxa"/>
            <w:tcBorders>
              <w:top w:val="nil"/>
              <w:left w:val="nil"/>
              <w:bottom w:val="single" w:sz="8" w:space="0" w:color="auto"/>
              <w:right w:val="single" w:sz="8" w:space="0" w:color="auto"/>
            </w:tcBorders>
            <w:shd w:val="clear" w:color="000000" w:fill="FFFFFF"/>
            <w:noWrap/>
            <w:vAlign w:val="center"/>
            <w:hideMark/>
          </w:tcPr>
          <w:p w14:paraId="7668B72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A46FA0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FF25F8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04732A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88397C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F31D50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75C6811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4.4</w:t>
            </w:r>
          </w:p>
        </w:tc>
        <w:tc>
          <w:tcPr>
            <w:tcW w:w="2681" w:type="dxa"/>
            <w:tcBorders>
              <w:top w:val="nil"/>
              <w:left w:val="nil"/>
              <w:bottom w:val="single" w:sz="8" w:space="0" w:color="auto"/>
              <w:right w:val="single" w:sz="8" w:space="0" w:color="auto"/>
            </w:tcBorders>
            <w:vAlign w:val="center"/>
            <w:hideMark/>
          </w:tcPr>
          <w:p w14:paraId="5B52A8B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Otros Derechos</w:t>
            </w:r>
          </w:p>
        </w:tc>
        <w:tc>
          <w:tcPr>
            <w:tcW w:w="1275" w:type="dxa"/>
            <w:tcBorders>
              <w:top w:val="nil"/>
              <w:left w:val="nil"/>
              <w:bottom w:val="single" w:sz="8" w:space="0" w:color="auto"/>
              <w:right w:val="single" w:sz="8" w:space="0" w:color="auto"/>
            </w:tcBorders>
            <w:shd w:val="clear" w:color="000000" w:fill="FFFFFF"/>
            <w:noWrap/>
            <w:vAlign w:val="center"/>
            <w:hideMark/>
          </w:tcPr>
          <w:p w14:paraId="0D1E72A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4206CA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AF4CDD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C8940B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D051B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B61653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4275896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4.5</w:t>
            </w:r>
          </w:p>
        </w:tc>
        <w:tc>
          <w:tcPr>
            <w:tcW w:w="2681" w:type="dxa"/>
            <w:tcBorders>
              <w:top w:val="nil"/>
              <w:left w:val="nil"/>
              <w:bottom w:val="single" w:sz="8" w:space="0" w:color="auto"/>
              <w:right w:val="single" w:sz="8" w:space="0" w:color="auto"/>
            </w:tcBorders>
            <w:vAlign w:val="center"/>
            <w:hideMark/>
          </w:tcPr>
          <w:p w14:paraId="32246598"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Accesorios de Derechos</w:t>
            </w:r>
          </w:p>
        </w:tc>
        <w:tc>
          <w:tcPr>
            <w:tcW w:w="1275" w:type="dxa"/>
            <w:tcBorders>
              <w:top w:val="nil"/>
              <w:left w:val="nil"/>
              <w:bottom w:val="single" w:sz="8" w:space="0" w:color="auto"/>
              <w:right w:val="single" w:sz="8" w:space="0" w:color="auto"/>
            </w:tcBorders>
            <w:shd w:val="clear" w:color="000000" w:fill="FFFFFF"/>
            <w:noWrap/>
            <w:vAlign w:val="center"/>
            <w:hideMark/>
          </w:tcPr>
          <w:p w14:paraId="395A4EC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88C60C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C6ADA7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28,209,411.00</w:t>
            </w:r>
          </w:p>
        </w:tc>
        <w:tc>
          <w:tcPr>
            <w:tcW w:w="1276" w:type="dxa"/>
            <w:tcBorders>
              <w:top w:val="nil"/>
              <w:left w:val="nil"/>
              <w:bottom w:val="single" w:sz="8" w:space="0" w:color="auto"/>
              <w:right w:val="single" w:sz="8" w:space="0" w:color="auto"/>
            </w:tcBorders>
            <w:shd w:val="clear" w:color="000000" w:fill="FFFFFF"/>
            <w:noWrap/>
            <w:vAlign w:val="center"/>
            <w:hideMark/>
          </w:tcPr>
          <w:p w14:paraId="4A4BC4F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F8766D6"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DDB710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68B34E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579D117"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Recargos</w:t>
            </w:r>
          </w:p>
        </w:tc>
        <w:tc>
          <w:tcPr>
            <w:tcW w:w="1275" w:type="dxa"/>
            <w:tcBorders>
              <w:top w:val="nil"/>
              <w:left w:val="nil"/>
              <w:bottom w:val="single" w:sz="8" w:space="0" w:color="auto"/>
              <w:right w:val="single" w:sz="8" w:space="0" w:color="auto"/>
            </w:tcBorders>
            <w:shd w:val="clear" w:color="000000" w:fill="FFFFFF"/>
            <w:noWrap/>
            <w:vAlign w:val="center"/>
            <w:hideMark/>
          </w:tcPr>
          <w:p w14:paraId="5D57689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D5592F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1,334,362.00</w:t>
            </w:r>
          </w:p>
        </w:tc>
        <w:tc>
          <w:tcPr>
            <w:tcW w:w="1276" w:type="dxa"/>
            <w:tcBorders>
              <w:top w:val="nil"/>
              <w:left w:val="nil"/>
              <w:bottom w:val="single" w:sz="8" w:space="0" w:color="auto"/>
              <w:right w:val="single" w:sz="8" w:space="0" w:color="auto"/>
            </w:tcBorders>
            <w:shd w:val="clear" w:color="000000" w:fill="FFFFFF"/>
            <w:noWrap/>
            <w:vAlign w:val="center"/>
            <w:hideMark/>
          </w:tcPr>
          <w:p w14:paraId="56F433E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178BA1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DAD81A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880E40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3B7C00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0B4F635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Actualizaciones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7FA3491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638BA1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439,743.00</w:t>
            </w:r>
          </w:p>
        </w:tc>
        <w:tc>
          <w:tcPr>
            <w:tcW w:w="1276" w:type="dxa"/>
            <w:tcBorders>
              <w:top w:val="nil"/>
              <w:left w:val="nil"/>
              <w:bottom w:val="single" w:sz="8" w:space="0" w:color="auto"/>
              <w:right w:val="single" w:sz="8" w:space="0" w:color="auto"/>
            </w:tcBorders>
            <w:shd w:val="clear" w:color="000000" w:fill="FFFFFF"/>
            <w:noWrap/>
            <w:vAlign w:val="center"/>
            <w:hideMark/>
          </w:tcPr>
          <w:p w14:paraId="39472AF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A482B2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89FCC7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4543DA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ECD58C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6D2A2F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Multas</w:t>
            </w:r>
          </w:p>
        </w:tc>
        <w:tc>
          <w:tcPr>
            <w:tcW w:w="1275" w:type="dxa"/>
            <w:tcBorders>
              <w:top w:val="nil"/>
              <w:left w:val="nil"/>
              <w:bottom w:val="single" w:sz="8" w:space="0" w:color="auto"/>
              <w:right w:val="single" w:sz="8" w:space="0" w:color="auto"/>
            </w:tcBorders>
            <w:shd w:val="clear" w:color="000000" w:fill="FFFFFF"/>
            <w:noWrap/>
            <w:vAlign w:val="center"/>
            <w:hideMark/>
          </w:tcPr>
          <w:p w14:paraId="69C339F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192CCB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26,046,940.00</w:t>
            </w:r>
          </w:p>
        </w:tc>
        <w:tc>
          <w:tcPr>
            <w:tcW w:w="1276" w:type="dxa"/>
            <w:tcBorders>
              <w:top w:val="nil"/>
              <w:left w:val="nil"/>
              <w:bottom w:val="single" w:sz="8" w:space="0" w:color="auto"/>
              <w:right w:val="single" w:sz="8" w:space="0" w:color="auto"/>
            </w:tcBorders>
            <w:shd w:val="clear" w:color="000000" w:fill="FFFFFF"/>
            <w:noWrap/>
            <w:vAlign w:val="center"/>
            <w:hideMark/>
          </w:tcPr>
          <w:p w14:paraId="77C3324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66C024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B711E9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5748C7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33D556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302DFCE"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Gastos de ejecución</w:t>
            </w:r>
          </w:p>
        </w:tc>
        <w:tc>
          <w:tcPr>
            <w:tcW w:w="1275" w:type="dxa"/>
            <w:tcBorders>
              <w:top w:val="nil"/>
              <w:left w:val="nil"/>
              <w:bottom w:val="single" w:sz="8" w:space="0" w:color="auto"/>
              <w:right w:val="single" w:sz="8" w:space="0" w:color="auto"/>
            </w:tcBorders>
            <w:shd w:val="clear" w:color="000000" w:fill="FFFFFF"/>
            <w:noWrap/>
            <w:vAlign w:val="center"/>
            <w:hideMark/>
          </w:tcPr>
          <w:p w14:paraId="5050DE4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96CB1D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388,366.00</w:t>
            </w:r>
          </w:p>
        </w:tc>
        <w:tc>
          <w:tcPr>
            <w:tcW w:w="1276" w:type="dxa"/>
            <w:tcBorders>
              <w:top w:val="nil"/>
              <w:left w:val="nil"/>
              <w:bottom w:val="single" w:sz="8" w:space="0" w:color="auto"/>
              <w:right w:val="single" w:sz="8" w:space="0" w:color="auto"/>
            </w:tcBorders>
            <w:shd w:val="clear" w:color="000000" w:fill="FFFFFF"/>
            <w:noWrap/>
            <w:vAlign w:val="center"/>
            <w:hideMark/>
          </w:tcPr>
          <w:p w14:paraId="69EF9A1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7F6358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5E24404"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DB0565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0EBF66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758C83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Indemnización por cheques devueltos</w:t>
            </w:r>
          </w:p>
        </w:tc>
        <w:tc>
          <w:tcPr>
            <w:tcW w:w="1275" w:type="dxa"/>
            <w:tcBorders>
              <w:top w:val="nil"/>
              <w:left w:val="nil"/>
              <w:bottom w:val="single" w:sz="8" w:space="0" w:color="auto"/>
              <w:right w:val="single" w:sz="8" w:space="0" w:color="auto"/>
            </w:tcBorders>
            <w:shd w:val="clear" w:color="000000" w:fill="FFFFFF"/>
            <w:noWrap/>
            <w:vAlign w:val="center"/>
            <w:hideMark/>
          </w:tcPr>
          <w:p w14:paraId="040627C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2F999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C23E91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8B293F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AA43C22"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4458218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040AE3E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4.9</w:t>
            </w:r>
          </w:p>
        </w:tc>
        <w:tc>
          <w:tcPr>
            <w:tcW w:w="2681" w:type="dxa"/>
            <w:tcBorders>
              <w:top w:val="nil"/>
              <w:left w:val="nil"/>
              <w:bottom w:val="single" w:sz="8" w:space="0" w:color="auto"/>
              <w:right w:val="single" w:sz="8" w:space="0" w:color="auto"/>
            </w:tcBorders>
            <w:vAlign w:val="center"/>
            <w:hideMark/>
          </w:tcPr>
          <w:p w14:paraId="30D4EC2E"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Derechos no Comprendidos en la Ley de Ingresos Vigente, Causados en Ejercicios Fiscales Anteriores Pendientes de Liquidación o Pago</w:t>
            </w:r>
          </w:p>
        </w:tc>
        <w:tc>
          <w:tcPr>
            <w:tcW w:w="1275" w:type="dxa"/>
            <w:tcBorders>
              <w:top w:val="nil"/>
              <w:left w:val="nil"/>
              <w:bottom w:val="single" w:sz="8" w:space="0" w:color="auto"/>
              <w:right w:val="single" w:sz="8" w:space="0" w:color="auto"/>
            </w:tcBorders>
            <w:shd w:val="clear" w:color="000000" w:fill="FFFFFF"/>
            <w:noWrap/>
            <w:vAlign w:val="center"/>
            <w:hideMark/>
          </w:tcPr>
          <w:p w14:paraId="7375787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C9AC88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90B49C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11AC27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8FA767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9A3AE7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5</w:t>
            </w:r>
          </w:p>
        </w:tc>
        <w:tc>
          <w:tcPr>
            <w:tcW w:w="351" w:type="dxa"/>
            <w:tcBorders>
              <w:top w:val="nil"/>
              <w:left w:val="nil"/>
              <w:bottom w:val="single" w:sz="8" w:space="0" w:color="auto"/>
              <w:right w:val="single" w:sz="8" w:space="0" w:color="auto"/>
            </w:tcBorders>
            <w:vAlign w:val="center"/>
            <w:hideMark/>
          </w:tcPr>
          <w:p w14:paraId="07688AA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09B314E"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Productos</w:t>
            </w:r>
          </w:p>
        </w:tc>
        <w:tc>
          <w:tcPr>
            <w:tcW w:w="1275" w:type="dxa"/>
            <w:tcBorders>
              <w:top w:val="nil"/>
              <w:left w:val="nil"/>
              <w:bottom w:val="single" w:sz="8" w:space="0" w:color="auto"/>
              <w:right w:val="single" w:sz="8" w:space="0" w:color="auto"/>
            </w:tcBorders>
            <w:shd w:val="clear" w:color="000000" w:fill="FFFFFF"/>
            <w:noWrap/>
            <w:vAlign w:val="center"/>
            <w:hideMark/>
          </w:tcPr>
          <w:p w14:paraId="6CBF6FF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737A03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C0A221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BCAAA7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120,085,647.00</w:t>
            </w:r>
          </w:p>
        </w:tc>
      </w:tr>
      <w:tr w:rsidR="004C1739" w:rsidRPr="004C1739" w14:paraId="4F5B3E94"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B9F87E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22D662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5.1</w:t>
            </w:r>
          </w:p>
        </w:tc>
        <w:tc>
          <w:tcPr>
            <w:tcW w:w="2681" w:type="dxa"/>
            <w:tcBorders>
              <w:top w:val="nil"/>
              <w:left w:val="nil"/>
              <w:bottom w:val="single" w:sz="8" w:space="0" w:color="auto"/>
              <w:right w:val="single" w:sz="8" w:space="0" w:color="auto"/>
            </w:tcBorders>
            <w:vAlign w:val="center"/>
            <w:hideMark/>
          </w:tcPr>
          <w:p w14:paraId="72B40F8C"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Productos de Tipo Corriente</w:t>
            </w:r>
          </w:p>
        </w:tc>
        <w:tc>
          <w:tcPr>
            <w:tcW w:w="1275" w:type="dxa"/>
            <w:tcBorders>
              <w:top w:val="nil"/>
              <w:left w:val="nil"/>
              <w:bottom w:val="single" w:sz="8" w:space="0" w:color="auto"/>
              <w:right w:val="single" w:sz="8" w:space="0" w:color="auto"/>
            </w:tcBorders>
            <w:shd w:val="clear" w:color="000000" w:fill="FFFFFF"/>
            <w:noWrap/>
            <w:vAlign w:val="center"/>
            <w:hideMark/>
          </w:tcPr>
          <w:p w14:paraId="00C56EF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13EAC0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C599DF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120,085,647.00</w:t>
            </w:r>
          </w:p>
        </w:tc>
        <w:tc>
          <w:tcPr>
            <w:tcW w:w="1276" w:type="dxa"/>
            <w:tcBorders>
              <w:top w:val="nil"/>
              <w:left w:val="nil"/>
              <w:bottom w:val="single" w:sz="8" w:space="0" w:color="auto"/>
              <w:right w:val="single" w:sz="8" w:space="0" w:color="auto"/>
            </w:tcBorders>
            <w:shd w:val="clear" w:color="000000" w:fill="FFFFFF"/>
            <w:noWrap/>
            <w:vAlign w:val="center"/>
            <w:hideMark/>
          </w:tcPr>
          <w:p w14:paraId="250F19B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5D8799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A7C823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59C58A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2A014B5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Enajenación de bienes muebles e inmuebles</w:t>
            </w:r>
          </w:p>
        </w:tc>
        <w:tc>
          <w:tcPr>
            <w:tcW w:w="1275" w:type="dxa"/>
            <w:tcBorders>
              <w:top w:val="nil"/>
              <w:left w:val="nil"/>
              <w:bottom w:val="single" w:sz="8" w:space="0" w:color="auto"/>
              <w:right w:val="single" w:sz="8" w:space="0" w:color="auto"/>
            </w:tcBorders>
            <w:shd w:val="clear" w:color="000000" w:fill="FFFFFF"/>
            <w:noWrap/>
            <w:vAlign w:val="center"/>
            <w:hideMark/>
          </w:tcPr>
          <w:p w14:paraId="0EB4388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EA3AF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5EE3C82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38163A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462D07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CBEA9F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98A730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F6B52F2"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Arrendamiento de bienes muebles e inmuebles</w:t>
            </w:r>
          </w:p>
        </w:tc>
        <w:tc>
          <w:tcPr>
            <w:tcW w:w="1275" w:type="dxa"/>
            <w:tcBorders>
              <w:top w:val="nil"/>
              <w:left w:val="nil"/>
              <w:bottom w:val="single" w:sz="8" w:space="0" w:color="auto"/>
              <w:right w:val="single" w:sz="8" w:space="0" w:color="auto"/>
            </w:tcBorders>
            <w:shd w:val="clear" w:color="000000" w:fill="FFFFFF"/>
            <w:noWrap/>
            <w:vAlign w:val="center"/>
            <w:hideMark/>
          </w:tcPr>
          <w:p w14:paraId="7359D65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881C6C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5,743,128.00</w:t>
            </w:r>
          </w:p>
        </w:tc>
        <w:tc>
          <w:tcPr>
            <w:tcW w:w="1276" w:type="dxa"/>
            <w:tcBorders>
              <w:top w:val="nil"/>
              <w:left w:val="nil"/>
              <w:bottom w:val="single" w:sz="8" w:space="0" w:color="auto"/>
              <w:right w:val="single" w:sz="8" w:space="0" w:color="auto"/>
            </w:tcBorders>
            <w:shd w:val="clear" w:color="000000" w:fill="FFFFFF"/>
            <w:noWrap/>
            <w:vAlign w:val="center"/>
            <w:hideMark/>
          </w:tcPr>
          <w:p w14:paraId="05B409E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ED9B1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0E85F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DE33CC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1A0050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2EC8EE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Rendimientos o intereses</w:t>
            </w:r>
          </w:p>
        </w:tc>
        <w:tc>
          <w:tcPr>
            <w:tcW w:w="1275" w:type="dxa"/>
            <w:tcBorders>
              <w:top w:val="nil"/>
              <w:left w:val="nil"/>
              <w:bottom w:val="single" w:sz="8" w:space="0" w:color="auto"/>
              <w:right w:val="single" w:sz="8" w:space="0" w:color="auto"/>
            </w:tcBorders>
            <w:shd w:val="clear" w:color="000000" w:fill="FFFFFF"/>
            <w:noWrap/>
            <w:vAlign w:val="center"/>
            <w:hideMark/>
          </w:tcPr>
          <w:p w14:paraId="28329C0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898217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88,920,328.00</w:t>
            </w:r>
          </w:p>
        </w:tc>
        <w:tc>
          <w:tcPr>
            <w:tcW w:w="1276" w:type="dxa"/>
            <w:tcBorders>
              <w:top w:val="nil"/>
              <w:left w:val="nil"/>
              <w:bottom w:val="single" w:sz="8" w:space="0" w:color="auto"/>
              <w:right w:val="single" w:sz="8" w:space="0" w:color="auto"/>
            </w:tcBorders>
            <w:shd w:val="clear" w:color="000000" w:fill="FFFFFF"/>
            <w:noWrap/>
            <w:vAlign w:val="center"/>
            <w:hideMark/>
          </w:tcPr>
          <w:p w14:paraId="3F48AE2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24E7C9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C565F21"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60356DA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CBB95B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36BCB0D"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Venta de publicaciones oficiales o del periódico oficial</w:t>
            </w:r>
          </w:p>
        </w:tc>
        <w:tc>
          <w:tcPr>
            <w:tcW w:w="1275" w:type="dxa"/>
            <w:tcBorders>
              <w:top w:val="nil"/>
              <w:left w:val="nil"/>
              <w:bottom w:val="single" w:sz="8" w:space="0" w:color="auto"/>
              <w:right w:val="single" w:sz="8" w:space="0" w:color="auto"/>
            </w:tcBorders>
            <w:shd w:val="clear" w:color="000000" w:fill="FFFFFF"/>
            <w:noWrap/>
            <w:vAlign w:val="center"/>
            <w:hideMark/>
          </w:tcPr>
          <w:p w14:paraId="19597A7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8BC827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2,989,351.00</w:t>
            </w:r>
          </w:p>
        </w:tc>
        <w:tc>
          <w:tcPr>
            <w:tcW w:w="1276" w:type="dxa"/>
            <w:tcBorders>
              <w:top w:val="nil"/>
              <w:left w:val="nil"/>
              <w:bottom w:val="single" w:sz="8" w:space="0" w:color="auto"/>
              <w:right w:val="single" w:sz="8" w:space="0" w:color="auto"/>
            </w:tcBorders>
            <w:shd w:val="clear" w:color="000000" w:fill="FFFFFF"/>
            <w:noWrap/>
            <w:vAlign w:val="center"/>
            <w:hideMark/>
          </w:tcPr>
          <w:p w14:paraId="12E621D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AE072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BE583E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88C52A7" w14:textId="77777777" w:rsidR="004C1739" w:rsidRPr="004C1739" w:rsidRDefault="004C1739" w:rsidP="004C1739">
            <w:pPr>
              <w:rPr>
                <w:color w:val="000000"/>
                <w:sz w:val="20"/>
                <w:szCs w:val="20"/>
                <w:lang w:eastAsia="es-MX"/>
              </w:rPr>
            </w:pPr>
            <w:r w:rsidRPr="004C1739">
              <w:rPr>
                <w:color w:val="000000"/>
                <w:sz w:val="20"/>
                <w:szCs w:val="20"/>
                <w:lang w:eastAsia="es-MX"/>
              </w:rPr>
              <w:lastRenderedPageBreak/>
              <w:t> </w:t>
            </w:r>
          </w:p>
        </w:tc>
        <w:tc>
          <w:tcPr>
            <w:tcW w:w="351" w:type="dxa"/>
            <w:tcBorders>
              <w:top w:val="nil"/>
              <w:left w:val="nil"/>
              <w:bottom w:val="single" w:sz="8" w:space="0" w:color="auto"/>
              <w:right w:val="single" w:sz="8" w:space="0" w:color="auto"/>
            </w:tcBorders>
            <w:noWrap/>
            <w:vAlign w:val="center"/>
            <w:hideMark/>
          </w:tcPr>
          <w:p w14:paraId="0A4B861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E640DC1"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Venta de formas oficiales</w:t>
            </w:r>
          </w:p>
        </w:tc>
        <w:tc>
          <w:tcPr>
            <w:tcW w:w="1275" w:type="dxa"/>
            <w:tcBorders>
              <w:top w:val="nil"/>
              <w:left w:val="nil"/>
              <w:bottom w:val="single" w:sz="8" w:space="0" w:color="auto"/>
              <w:right w:val="single" w:sz="8" w:space="0" w:color="auto"/>
            </w:tcBorders>
            <w:shd w:val="clear" w:color="000000" w:fill="FFFFFF"/>
            <w:noWrap/>
            <w:vAlign w:val="center"/>
            <w:hideMark/>
          </w:tcPr>
          <w:p w14:paraId="2F70601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522DD9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14,604,057.00</w:t>
            </w:r>
          </w:p>
        </w:tc>
        <w:tc>
          <w:tcPr>
            <w:tcW w:w="1276" w:type="dxa"/>
            <w:tcBorders>
              <w:top w:val="nil"/>
              <w:left w:val="nil"/>
              <w:bottom w:val="single" w:sz="8" w:space="0" w:color="auto"/>
              <w:right w:val="single" w:sz="8" w:space="0" w:color="auto"/>
            </w:tcBorders>
            <w:shd w:val="clear" w:color="000000" w:fill="FFFFFF"/>
            <w:noWrap/>
            <w:vAlign w:val="center"/>
            <w:hideMark/>
          </w:tcPr>
          <w:p w14:paraId="259BF38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AD942D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05C36E"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1F00FF8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4574E5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46400FF" w14:textId="7544107A"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w:t>
            </w:r>
            <w:r w:rsidR="003E5DCB">
              <w:rPr>
                <w:rFonts w:ascii="Calibri Light" w:hAnsi="Calibri Light" w:cs="Calibri Light"/>
                <w:color w:val="000000"/>
                <w:sz w:val="14"/>
                <w:szCs w:val="14"/>
                <w:lang w:eastAsia="es-MX"/>
              </w:rPr>
              <w:t>s</w:t>
            </w:r>
            <w:r w:rsidRPr="004C1739">
              <w:rPr>
                <w:rFonts w:ascii="Calibri Light" w:hAnsi="Calibri Light" w:cs="Calibri Light"/>
                <w:color w:val="000000"/>
                <w:sz w:val="14"/>
                <w:szCs w:val="14"/>
                <w:lang w:eastAsia="es-MX"/>
              </w:rPr>
              <w:t>t</w:t>
            </w:r>
            <w:r w:rsidR="003E5DCB">
              <w:rPr>
                <w:rFonts w:ascii="Calibri Light" w:hAnsi="Calibri Light" w:cs="Calibri Light"/>
                <w:color w:val="000000"/>
                <w:sz w:val="14"/>
                <w:szCs w:val="14"/>
                <w:lang w:eastAsia="es-MX"/>
              </w:rPr>
              <w:t>it</w:t>
            </w:r>
            <w:r w:rsidRPr="004C1739">
              <w:rPr>
                <w:rFonts w:ascii="Calibri Light" w:hAnsi="Calibri Light" w:cs="Calibri Light"/>
                <w:color w:val="000000"/>
                <w:sz w:val="14"/>
                <w:szCs w:val="14"/>
                <w:lang w:eastAsia="es-MX"/>
              </w:rPr>
              <w:t>uto de Fauna Silvestre para el Estado de Tlaxcala (Zoológico del Altiplano)</w:t>
            </w:r>
          </w:p>
        </w:tc>
        <w:tc>
          <w:tcPr>
            <w:tcW w:w="1275" w:type="dxa"/>
            <w:tcBorders>
              <w:top w:val="nil"/>
              <w:left w:val="nil"/>
              <w:bottom w:val="single" w:sz="8" w:space="0" w:color="auto"/>
              <w:right w:val="single" w:sz="8" w:space="0" w:color="auto"/>
            </w:tcBorders>
            <w:shd w:val="clear" w:color="000000" w:fill="FFFFFF"/>
            <w:noWrap/>
            <w:vAlign w:val="center"/>
            <w:hideMark/>
          </w:tcPr>
          <w:p w14:paraId="2B86F76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3CCF55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6,555,807.00</w:t>
            </w:r>
          </w:p>
        </w:tc>
        <w:tc>
          <w:tcPr>
            <w:tcW w:w="1276" w:type="dxa"/>
            <w:tcBorders>
              <w:top w:val="nil"/>
              <w:left w:val="nil"/>
              <w:bottom w:val="single" w:sz="8" w:space="0" w:color="auto"/>
              <w:right w:val="single" w:sz="8" w:space="0" w:color="auto"/>
            </w:tcBorders>
            <w:shd w:val="clear" w:color="000000" w:fill="FFFFFF"/>
            <w:noWrap/>
            <w:vAlign w:val="center"/>
            <w:hideMark/>
          </w:tcPr>
          <w:p w14:paraId="18EBFD4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060EA3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48B9E7D"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527141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739F0D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4D892E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Casa de las Artesanías de Tlaxcala</w:t>
            </w:r>
          </w:p>
        </w:tc>
        <w:tc>
          <w:tcPr>
            <w:tcW w:w="1275" w:type="dxa"/>
            <w:tcBorders>
              <w:top w:val="nil"/>
              <w:left w:val="nil"/>
              <w:bottom w:val="single" w:sz="8" w:space="0" w:color="auto"/>
              <w:right w:val="single" w:sz="8" w:space="0" w:color="auto"/>
            </w:tcBorders>
            <w:shd w:val="clear" w:color="000000" w:fill="FFFFFF"/>
            <w:noWrap/>
            <w:vAlign w:val="center"/>
            <w:hideMark/>
          </w:tcPr>
          <w:p w14:paraId="7388E0B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520BD4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240,674.00</w:t>
            </w:r>
          </w:p>
        </w:tc>
        <w:tc>
          <w:tcPr>
            <w:tcW w:w="1276" w:type="dxa"/>
            <w:tcBorders>
              <w:top w:val="nil"/>
              <w:left w:val="nil"/>
              <w:bottom w:val="single" w:sz="8" w:space="0" w:color="auto"/>
              <w:right w:val="single" w:sz="8" w:space="0" w:color="auto"/>
            </w:tcBorders>
            <w:shd w:val="clear" w:color="000000" w:fill="FFFFFF"/>
            <w:noWrap/>
            <w:vAlign w:val="center"/>
            <w:hideMark/>
          </w:tcPr>
          <w:p w14:paraId="340ABBB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AD1252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B5E7F2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B4C004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DB32F4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E28C8CD"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Otros productos</w:t>
            </w:r>
          </w:p>
        </w:tc>
        <w:tc>
          <w:tcPr>
            <w:tcW w:w="1275" w:type="dxa"/>
            <w:tcBorders>
              <w:top w:val="nil"/>
              <w:left w:val="nil"/>
              <w:bottom w:val="single" w:sz="8" w:space="0" w:color="auto"/>
              <w:right w:val="single" w:sz="8" w:space="0" w:color="auto"/>
            </w:tcBorders>
            <w:shd w:val="clear" w:color="000000" w:fill="FFFFFF"/>
            <w:noWrap/>
            <w:vAlign w:val="center"/>
            <w:hideMark/>
          </w:tcPr>
          <w:p w14:paraId="6DAC216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F8B8BA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1,032,302.00</w:t>
            </w:r>
          </w:p>
        </w:tc>
        <w:tc>
          <w:tcPr>
            <w:tcW w:w="1276" w:type="dxa"/>
            <w:tcBorders>
              <w:top w:val="nil"/>
              <w:left w:val="nil"/>
              <w:bottom w:val="single" w:sz="8" w:space="0" w:color="auto"/>
              <w:right w:val="single" w:sz="8" w:space="0" w:color="auto"/>
            </w:tcBorders>
            <w:shd w:val="clear" w:color="000000" w:fill="FFFFFF"/>
            <w:noWrap/>
            <w:vAlign w:val="center"/>
            <w:hideMark/>
          </w:tcPr>
          <w:p w14:paraId="277A122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1169BA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84C884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340F66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4E3A85B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5.2</w:t>
            </w:r>
          </w:p>
        </w:tc>
        <w:tc>
          <w:tcPr>
            <w:tcW w:w="2681" w:type="dxa"/>
            <w:tcBorders>
              <w:top w:val="nil"/>
              <w:left w:val="nil"/>
              <w:bottom w:val="single" w:sz="8" w:space="0" w:color="auto"/>
              <w:right w:val="single" w:sz="8" w:space="0" w:color="auto"/>
            </w:tcBorders>
            <w:vAlign w:val="center"/>
            <w:hideMark/>
          </w:tcPr>
          <w:p w14:paraId="3628C0AE"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Productos de Capital (Derogado)</w:t>
            </w:r>
          </w:p>
        </w:tc>
        <w:tc>
          <w:tcPr>
            <w:tcW w:w="1275" w:type="dxa"/>
            <w:tcBorders>
              <w:top w:val="nil"/>
              <w:left w:val="nil"/>
              <w:bottom w:val="single" w:sz="8" w:space="0" w:color="auto"/>
              <w:right w:val="single" w:sz="8" w:space="0" w:color="auto"/>
            </w:tcBorders>
            <w:shd w:val="clear" w:color="000000" w:fill="FFFFFF"/>
            <w:noWrap/>
            <w:vAlign w:val="center"/>
            <w:hideMark/>
          </w:tcPr>
          <w:p w14:paraId="5474AF1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B6D39E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53302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A6A3A5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614490E"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4B14C48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76C3C2A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5.9</w:t>
            </w:r>
          </w:p>
        </w:tc>
        <w:tc>
          <w:tcPr>
            <w:tcW w:w="2681" w:type="dxa"/>
            <w:tcBorders>
              <w:top w:val="nil"/>
              <w:left w:val="nil"/>
              <w:bottom w:val="single" w:sz="8" w:space="0" w:color="auto"/>
              <w:right w:val="single" w:sz="8" w:space="0" w:color="auto"/>
            </w:tcBorders>
            <w:vAlign w:val="center"/>
            <w:hideMark/>
          </w:tcPr>
          <w:p w14:paraId="4F109F65"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Productos no Comprendidos en la Ley de Ingresos Vigente, Causados en Ejercicios Fiscales Anteriores Pendientes de Liquidación o Pago</w:t>
            </w:r>
          </w:p>
        </w:tc>
        <w:tc>
          <w:tcPr>
            <w:tcW w:w="1275" w:type="dxa"/>
            <w:tcBorders>
              <w:top w:val="nil"/>
              <w:left w:val="nil"/>
              <w:bottom w:val="single" w:sz="8" w:space="0" w:color="auto"/>
              <w:right w:val="single" w:sz="8" w:space="0" w:color="auto"/>
            </w:tcBorders>
            <w:shd w:val="clear" w:color="000000" w:fill="FFFFFF"/>
            <w:noWrap/>
            <w:vAlign w:val="center"/>
            <w:hideMark/>
          </w:tcPr>
          <w:p w14:paraId="4BBFCE3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856FCB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C2A693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213A0F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01BB91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3435F9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w:t>
            </w:r>
          </w:p>
        </w:tc>
        <w:tc>
          <w:tcPr>
            <w:tcW w:w="351" w:type="dxa"/>
            <w:tcBorders>
              <w:top w:val="nil"/>
              <w:left w:val="nil"/>
              <w:bottom w:val="single" w:sz="8" w:space="0" w:color="auto"/>
              <w:right w:val="single" w:sz="8" w:space="0" w:color="auto"/>
            </w:tcBorders>
            <w:vAlign w:val="center"/>
            <w:hideMark/>
          </w:tcPr>
          <w:p w14:paraId="7AB65AC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0C6409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Aprovechamientos</w:t>
            </w:r>
          </w:p>
        </w:tc>
        <w:tc>
          <w:tcPr>
            <w:tcW w:w="1275" w:type="dxa"/>
            <w:tcBorders>
              <w:top w:val="nil"/>
              <w:left w:val="nil"/>
              <w:bottom w:val="single" w:sz="8" w:space="0" w:color="auto"/>
              <w:right w:val="single" w:sz="8" w:space="0" w:color="auto"/>
            </w:tcBorders>
            <w:shd w:val="clear" w:color="000000" w:fill="FFFFFF"/>
            <w:noWrap/>
            <w:vAlign w:val="center"/>
            <w:hideMark/>
          </w:tcPr>
          <w:p w14:paraId="10A7C94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FE1710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6B9D0E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19083C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1,501,787.00</w:t>
            </w:r>
          </w:p>
        </w:tc>
      </w:tr>
      <w:tr w:rsidR="004C1739" w:rsidRPr="004C1739" w14:paraId="1426856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2996F3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234D71F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6.1.</w:t>
            </w:r>
          </w:p>
        </w:tc>
        <w:tc>
          <w:tcPr>
            <w:tcW w:w="2681" w:type="dxa"/>
            <w:tcBorders>
              <w:top w:val="nil"/>
              <w:left w:val="nil"/>
              <w:bottom w:val="single" w:sz="8" w:space="0" w:color="auto"/>
              <w:right w:val="single" w:sz="8" w:space="0" w:color="auto"/>
            </w:tcBorders>
            <w:vAlign w:val="center"/>
            <w:hideMark/>
          </w:tcPr>
          <w:p w14:paraId="6D1A05C4"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Aprovechamientos</w:t>
            </w:r>
          </w:p>
        </w:tc>
        <w:tc>
          <w:tcPr>
            <w:tcW w:w="1275" w:type="dxa"/>
            <w:tcBorders>
              <w:top w:val="nil"/>
              <w:left w:val="nil"/>
              <w:bottom w:val="single" w:sz="8" w:space="0" w:color="auto"/>
              <w:right w:val="single" w:sz="8" w:space="0" w:color="auto"/>
            </w:tcBorders>
            <w:shd w:val="clear" w:color="000000" w:fill="FFFFFF"/>
            <w:noWrap/>
            <w:vAlign w:val="center"/>
            <w:hideMark/>
          </w:tcPr>
          <w:p w14:paraId="1A5C25C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C21A9E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27F79E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1,501,787.00</w:t>
            </w:r>
          </w:p>
        </w:tc>
        <w:tc>
          <w:tcPr>
            <w:tcW w:w="1276" w:type="dxa"/>
            <w:tcBorders>
              <w:top w:val="nil"/>
              <w:left w:val="nil"/>
              <w:bottom w:val="single" w:sz="8" w:space="0" w:color="auto"/>
              <w:right w:val="single" w:sz="8" w:space="0" w:color="auto"/>
            </w:tcBorders>
            <w:shd w:val="clear" w:color="000000" w:fill="FFFFFF"/>
            <w:noWrap/>
            <w:vAlign w:val="center"/>
            <w:hideMark/>
          </w:tcPr>
          <w:p w14:paraId="3F755AB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787CF33"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4D8DFF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2F13EF60"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6.2</w:t>
            </w:r>
          </w:p>
        </w:tc>
        <w:tc>
          <w:tcPr>
            <w:tcW w:w="2681" w:type="dxa"/>
            <w:tcBorders>
              <w:top w:val="nil"/>
              <w:left w:val="nil"/>
              <w:bottom w:val="single" w:sz="8" w:space="0" w:color="auto"/>
              <w:right w:val="single" w:sz="8" w:space="0" w:color="auto"/>
            </w:tcBorders>
            <w:vAlign w:val="center"/>
            <w:hideMark/>
          </w:tcPr>
          <w:p w14:paraId="2AD31303"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Aprovechamientos Patrimoniales</w:t>
            </w:r>
          </w:p>
        </w:tc>
        <w:tc>
          <w:tcPr>
            <w:tcW w:w="1275" w:type="dxa"/>
            <w:tcBorders>
              <w:top w:val="nil"/>
              <w:left w:val="nil"/>
              <w:bottom w:val="single" w:sz="8" w:space="0" w:color="auto"/>
              <w:right w:val="single" w:sz="8" w:space="0" w:color="auto"/>
            </w:tcBorders>
            <w:shd w:val="clear" w:color="000000" w:fill="FFFFFF"/>
            <w:noWrap/>
            <w:vAlign w:val="center"/>
            <w:hideMark/>
          </w:tcPr>
          <w:p w14:paraId="7E8D2B7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8C931C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9864B2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FFEA83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F99E46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024981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6EC806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6.3</w:t>
            </w:r>
          </w:p>
        </w:tc>
        <w:tc>
          <w:tcPr>
            <w:tcW w:w="2681" w:type="dxa"/>
            <w:tcBorders>
              <w:top w:val="nil"/>
              <w:left w:val="nil"/>
              <w:bottom w:val="single" w:sz="8" w:space="0" w:color="auto"/>
              <w:right w:val="single" w:sz="8" w:space="0" w:color="auto"/>
            </w:tcBorders>
            <w:vAlign w:val="center"/>
            <w:hideMark/>
          </w:tcPr>
          <w:p w14:paraId="0A06D088"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Accesorios de Aprovechamientos</w:t>
            </w:r>
          </w:p>
        </w:tc>
        <w:tc>
          <w:tcPr>
            <w:tcW w:w="1275" w:type="dxa"/>
            <w:tcBorders>
              <w:top w:val="nil"/>
              <w:left w:val="nil"/>
              <w:bottom w:val="single" w:sz="8" w:space="0" w:color="auto"/>
              <w:right w:val="single" w:sz="8" w:space="0" w:color="auto"/>
            </w:tcBorders>
            <w:shd w:val="clear" w:color="000000" w:fill="FFFFFF"/>
            <w:noWrap/>
            <w:vAlign w:val="center"/>
            <w:hideMark/>
          </w:tcPr>
          <w:p w14:paraId="427A9C7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4D19A4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818EE1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5F73914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B98C2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DDB39E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E4A0719"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58FF275E"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Recargos</w:t>
            </w:r>
          </w:p>
        </w:tc>
        <w:tc>
          <w:tcPr>
            <w:tcW w:w="1275" w:type="dxa"/>
            <w:tcBorders>
              <w:top w:val="nil"/>
              <w:left w:val="nil"/>
              <w:bottom w:val="single" w:sz="8" w:space="0" w:color="auto"/>
              <w:right w:val="single" w:sz="8" w:space="0" w:color="auto"/>
            </w:tcBorders>
            <w:shd w:val="clear" w:color="000000" w:fill="FFFFFF"/>
            <w:noWrap/>
            <w:vAlign w:val="center"/>
            <w:hideMark/>
          </w:tcPr>
          <w:p w14:paraId="4F96207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D68042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A73B88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47B495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205B4F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143D16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1C5064E"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1E8FA66C"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Actualizaciones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07F0322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4C1954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1883AA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23E7B1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F32BFF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FFCCE3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07FBCF7"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4F81375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Multas</w:t>
            </w:r>
          </w:p>
        </w:tc>
        <w:tc>
          <w:tcPr>
            <w:tcW w:w="1275" w:type="dxa"/>
            <w:tcBorders>
              <w:top w:val="nil"/>
              <w:left w:val="nil"/>
              <w:bottom w:val="single" w:sz="8" w:space="0" w:color="auto"/>
              <w:right w:val="single" w:sz="8" w:space="0" w:color="auto"/>
            </w:tcBorders>
            <w:shd w:val="clear" w:color="000000" w:fill="FFFFFF"/>
            <w:noWrap/>
            <w:vAlign w:val="center"/>
            <w:hideMark/>
          </w:tcPr>
          <w:p w14:paraId="2B357FE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E79166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65CC0C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F5BC8C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815D89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8FAD41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9A6ADF9"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6A6D17D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Gastos de Ejecución</w:t>
            </w:r>
          </w:p>
        </w:tc>
        <w:tc>
          <w:tcPr>
            <w:tcW w:w="1275" w:type="dxa"/>
            <w:tcBorders>
              <w:top w:val="nil"/>
              <w:left w:val="nil"/>
              <w:bottom w:val="single" w:sz="8" w:space="0" w:color="auto"/>
              <w:right w:val="single" w:sz="8" w:space="0" w:color="auto"/>
            </w:tcBorders>
            <w:shd w:val="clear" w:color="000000" w:fill="FFFFFF"/>
            <w:noWrap/>
            <w:vAlign w:val="center"/>
            <w:hideMark/>
          </w:tcPr>
          <w:p w14:paraId="7637E8D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9EC959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43383B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750F6B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218DAE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924153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84DD2F0"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0CA22EBC"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Fianzas que hagan efectivas</w:t>
            </w:r>
          </w:p>
        </w:tc>
        <w:tc>
          <w:tcPr>
            <w:tcW w:w="1275" w:type="dxa"/>
            <w:tcBorders>
              <w:top w:val="nil"/>
              <w:left w:val="nil"/>
              <w:bottom w:val="single" w:sz="8" w:space="0" w:color="auto"/>
              <w:right w:val="single" w:sz="8" w:space="0" w:color="auto"/>
            </w:tcBorders>
            <w:shd w:val="clear" w:color="000000" w:fill="FFFFFF"/>
            <w:noWrap/>
            <w:vAlign w:val="center"/>
            <w:hideMark/>
          </w:tcPr>
          <w:p w14:paraId="44E7AB3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69FB99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8A0A01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529727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69E66A3"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E91C48E"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292E34C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6CAAC0A7"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Indemnizaciones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6DADC02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DB0766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5BAFAC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1326D7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AC4CD5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5D4777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22F73066"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000886AF"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Reintegros</w:t>
            </w:r>
          </w:p>
        </w:tc>
        <w:tc>
          <w:tcPr>
            <w:tcW w:w="1275" w:type="dxa"/>
            <w:tcBorders>
              <w:top w:val="nil"/>
              <w:left w:val="nil"/>
              <w:bottom w:val="single" w:sz="8" w:space="0" w:color="auto"/>
              <w:right w:val="single" w:sz="8" w:space="0" w:color="auto"/>
            </w:tcBorders>
            <w:shd w:val="clear" w:color="000000" w:fill="FFFFFF"/>
            <w:noWrap/>
            <w:vAlign w:val="center"/>
            <w:hideMark/>
          </w:tcPr>
          <w:p w14:paraId="6223A1F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C08878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E42FE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B3065F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8132607"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6B071C5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0AD6E7E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6.9</w:t>
            </w:r>
          </w:p>
        </w:tc>
        <w:tc>
          <w:tcPr>
            <w:tcW w:w="2681" w:type="dxa"/>
            <w:tcBorders>
              <w:top w:val="nil"/>
              <w:left w:val="nil"/>
              <w:bottom w:val="single" w:sz="8" w:space="0" w:color="auto"/>
              <w:right w:val="single" w:sz="8" w:space="0" w:color="auto"/>
            </w:tcBorders>
            <w:vAlign w:val="center"/>
            <w:hideMark/>
          </w:tcPr>
          <w:p w14:paraId="718A9E7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Aprovechamientos no Comprendidos en la Ley de Ingresos Vigente, Causados en Ejercicios Fiscales Anteriores Pendientes de Liquidación o Pago</w:t>
            </w:r>
          </w:p>
        </w:tc>
        <w:tc>
          <w:tcPr>
            <w:tcW w:w="1275" w:type="dxa"/>
            <w:tcBorders>
              <w:top w:val="nil"/>
              <w:left w:val="nil"/>
              <w:bottom w:val="single" w:sz="8" w:space="0" w:color="auto"/>
              <w:right w:val="single" w:sz="8" w:space="0" w:color="auto"/>
            </w:tcBorders>
            <w:shd w:val="clear" w:color="000000" w:fill="FFFFFF"/>
            <w:noWrap/>
            <w:vAlign w:val="center"/>
            <w:hideMark/>
          </w:tcPr>
          <w:p w14:paraId="6DED50F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44897C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FF4A5F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578F85F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6C9E971"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51A6B77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w:t>
            </w:r>
          </w:p>
        </w:tc>
        <w:tc>
          <w:tcPr>
            <w:tcW w:w="351" w:type="dxa"/>
            <w:tcBorders>
              <w:top w:val="nil"/>
              <w:left w:val="nil"/>
              <w:bottom w:val="single" w:sz="8" w:space="0" w:color="auto"/>
              <w:right w:val="single" w:sz="8" w:space="0" w:color="auto"/>
            </w:tcBorders>
            <w:vAlign w:val="center"/>
            <w:hideMark/>
          </w:tcPr>
          <w:p w14:paraId="03D8BFF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2D497D56"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Ingresos por Venta de Bienes, Prestación de Servicios y Otros Ingresos</w:t>
            </w:r>
          </w:p>
        </w:tc>
        <w:tc>
          <w:tcPr>
            <w:tcW w:w="1275" w:type="dxa"/>
            <w:tcBorders>
              <w:top w:val="nil"/>
              <w:left w:val="nil"/>
              <w:bottom w:val="single" w:sz="8" w:space="0" w:color="auto"/>
              <w:right w:val="single" w:sz="8" w:space="0" w:color="auto"/>
            </w:tcBorders>
            <w:shd w:val="clear" w:color="000000" w:fill="FFFFFF"/>
            <w:noWrap/>
            <w:vAlign w:val="center"/>
            <w:hideMark/>
          </w:tcPr>
          <w:p w14:paraId="775A29D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9037ED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625A2E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CE70C2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179,902,132.00</w:t>
            </w:r>
          </w:p>
        </w:tc>
      </w:tr>
      <w:tr w:rsidR="004C1739" w:rsidRPr="004C1739" w14:paraId="0992509F"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6B0D738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7E152BC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7.1</w:t>
            </w:r>
          </w:p>
        </w:tc>
        <w:tc>
          <w:tcPr>
            <w:tcW w:w="2681" w:type="dxa"/>
            <w:tcBorders>
              <w:top w:val="nil"/>
              <w:left w:val="nil"/>
              <w:bottom w:val="single" w:sz="8" w:space="0" w:color="auto"/>
              <w:right w:val="single" w:sz="8" w:space="0" w:color="auto"/>
            </w:tcBorders>
            <w:vAlign w:val="center"/>
            <w:hideMark/>
          </w:tcPr>
          <w:p w14:paraId="0D3E2EC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Instituciones Públicas de Seguridad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2594E03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B6A244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1FE752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9E176A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41ADF2"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4D2B96B6"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C41B1BD"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7.2</w:t>
            </w:r>
          </w:p>
        </w:tc>
        <w:tc>
          <w:tcPr>
            <w:tcW w:w="2681" w:type="dxa"/>
            <w:tcBorders>
              <w:top w:val="nil"/>
              <w:left w:val="nil"/>
              <w:bottom w:val="single" w:sz="8" w:space="0" w:color="auto"/>
              <w:right w:val="single" w:sz="8" w:space="0" w:color="auto"/>
            </w:tcBorders>
            <w:vAlign w:val="center"/>
            <w:hideMark/>
          </w:tcPr>
          <w:p w14:paraId="1F4C6F8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Empresas Productivas del Estado</w:t>
            </w:r>
          </w:p>
        </w:tc>
        <w:tc>
          <w:tcPr>
            <w:tcW w:w="1275" w:type="dxa"/>
            <w:tcBorders>
              <w:top w:val="nil"/>
              <w:left w:val="nil"/>
              <w:bottom w:val="single" w:sz="8" w:space="0" w:color="auto"/>
              <w:right w:val="single" w:sz="8" w:space="0" w:color="auto"/>
            </w:tcBorders>
            <w:shd w:val="clear" w:color="000000" w:fill="FFFFFF"/>
            <w:noWrap/>
            <w:vAlign w:val="center"/>
            <w:hideMark/>
          </w:tcPr>
          <w:p w14:paraId="525FA65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A7E6EE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F71F02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1161C1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DADD92B"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0ABB114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4592AE1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7.3</w:t>
            </w:r>
          </w:p>
        </w:tc>
        <w:tc>
          <w:tcPr>
            <w:tcW w:w="2681" w:type="dxa"/>
            <w:tcBorders>
              <w:top w:val="nil"/>
              <w:left w:val="nil"/>
              <w:bottom w:val="single" w:sz="8" w:space="0" w:color="auto"/>
              <w:right w:val="single" w:sz="8" w:space="0" w:color="auto"/>
            </w:tcBorders>
            <w:vAlign w:val="center"/>
            <w:hideMark/>
          </w:tcPr>
          <w:p w14:paraId="272D149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Entidades Paraestatales y Fideicomisos no Empresariales y no Financieros</w:t>
            </w:r>
          </w:p>
        </w:tc>
        <w:tc>
          <w:tcPr>
            <w:tcW w:w="1275" w:type="dxa"/>
            <w:tcBorders>
              <w:top w:val="nil"/>
              <w:left w:val="nil"/>
              <w:bottom w:val="single" w:sz="8" w:space="0" w:color="auto"/>
              <w:right w:val="single" w:sz="8" w:space="0" w:color="auto"/>
            </w:tcBorders>
            <w:shd w:val="clear" w:color="000000" w:fill="FFFFFF"/>
            <w:noWrap/>
            <w:vAlign w:val="center"/>
            <w:hideMark/>
          </w:tcPr>
          <w:p w14:paraId="077B270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A958A1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5DF7DE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179,902,132.00</w:t>
            </w:r>
          </w:p>
        </w:tc>
        <w:tc>
          <w:tcPr>
            <w:tcW w:w="1276" w:type="dxa"/>
            <w:tcBorders>
              <w:top w:val="nil"/>
              <w:left w:val="nil"/>
              <w:bottom w:val="single" w:sz="8" w:space="0" w:color="auto"/>
              <w:right w:val="single" w:sz="8" w:space="0" w:color="auto"/>
            </w:tcBorders>
            <w:shd w:val="clear" w:color="000000" w:fill="FFFFFF"/>
            <w:noWrap/>
            <w:vAlign w:val="center"/>
            <w:hideMark/>
          </w:tcPr>
          <w:p w14:paraId="19EEEAA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4D97719"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11713D29"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40440F2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7.4</w:t>
            </w:r>
          </w:p>
        </w:tc>
        <w:tc>
          <w:tcPr>
            <w:tcW w:w="2681" w:type="dxa"/>
            <w:tcBorders>
              <w:top w:val="nil"/>
              <w:left w:val="nil"/>
              <w:bottom w:val="single" w:sz="8" w:space="0" w:color="auto"/>
              <w:right w:val="single" w:sz="8" w:space="0" w:color="auto"/>
            </w:tcBorders>
            <w:vAlign w:val="center"/>
            <w:hideMark/>
          </w:tcPr>
          <w:p w14:paraId="0E06536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Entidades Paraestatales Empresariales no Financieras con Participación Estatal Mayoritaria</w:t>
            </w:r>
          </w:p>
        </w:tc>
        <w:tc>
          <w:tcPr>
            <w:tcW w:w="1275" w:type="dxa"/>
            <w:tcBorders>
              <w:top w:val="nil"/>
              <w:left w:val="nil"/>
              <w:bottom w:val="single" w:sz="8" w:space="0" w:color="auto"/>
              <w:right w:val="single" w:sz="8" w:space="0" w:color="auto"/>
            </w:tcBorders>
            <w:shd w:val="clear" w:color="000000" w:fill="FFFFFF"/>
            <w:noWrap/>
            <w:vAlign w:val="center"/>
            <w:hideMark/>
          </w:tcPr>
          <w:p w14:paraId="23B9DF5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CBA1FC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61722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46514B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68BC60A"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75BAA4CA"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450C7C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7.5</w:t>
            </w:r>
          </w:p>
        </w:tc>
        <w:tc>
          <w:tcPr>
            <w:tcW w:w="2681" w:type="dxa"/>
            <w:tcBorders>
              <w:top w:val="nil"/>
              <w:left w:val="nil"/>
              <w:bottom w:val="single" w:sz="8" w:space="0" w:color="auto"/>
              <w:right w:val="single" w:sz="8" w:space="0" w:color="auto"/>
            </w:tcBorders>
            <w:vAlign w:val="center"/>
            <w:hideMark/>
          </w:tcPr>
          <w:p w14:paraId="7A0C000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Entidades Paraestatales Empresariales Financieras Monetarias con Participación Estatal Mayoritaria</w:t>
            </w:r>
          </w:p>
        </w:tc>
        <w:tc>
          <w:tcPr>
            <w:tcW w:w="1275" w:type="dxa"/>
            <w:tcBorders>
              <w:top w:val="nil"/>
              <w:left w:val="nil"/>
              <w:bottom w:val="single" w:sz="8" w:space="0" w:color="auto"/>
              <w:right w:val="single" w:sz="8" w:space="0" w:color="auto"/>
            </w:tcBorders>
            <w:shd w:val="clear" w:color="000000" w:fill="FFFFFF"/>
            <w:noWrap/>
            <w:vAlign w:val="center"/>
            <w:hideMark/>
          </w:tcPr>
          <w:p w14:paraId="39698F8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B4852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565628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D82308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9A53D4E"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7B394D2A"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605234C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7.6</w:t>
            </w:r>
          </w:p>
        </w:tc>
        <w:tc>
          <w:tcPr>
            <w:tcW w:w="2681" w:type="dxa"/>
            <w:tcBorders>
              <w:top w:val="nil"/>
              <w:left w:val="nil"/>
              <w:bottom w:val="single" w:sz="8" w:space="0" w:color="auto"/>
              <w:right w:val="single" w:sz="8" w:space="0" w:color="auto"/>
            </w:tcBorders>
            <w:vAlign w:val="center"/>
            <w:hideMark/>
          </w:tcPr>
          <w:p w14:paraId="4CC06FB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Entidades Paraestatales Empresariales Financieras no Monetarias con Participación Estatal mayoritaria</w:t>
            </w:r>
          </w:p>
        </w:tc>
        <w:tc>
          <w:tcPr>
            <w:tcW w:w="1275" w:type="dxa"/>
            <w:tcBorders>
              <w:top w:val="nil"/>
              <w:left w:val="nil"/>
              <w:bottom w:val="single" w:sz="8" w:space="0" w:color="auto"/>
              <w:right w:val="single" w:sz="8" w:space="0" w:color="auto"/>
            </w:tcBorders>
            <w:shd w:val="clear" w:color="000000" w:fill="FFFFFF"/>
            <w:noWrap/>
            <w:vAlign w:val="center"/>
            <w:hideMark/>
          </w:tcPr>
          <w:p w14:paraId="0D8AB81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DC61B4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412795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3C50D8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93BCEE"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732D8877"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34D920B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7.7</w:t>
            </w:r>
          </w:p>
        </w:tc>
        <w:tc>
          <w:tcPr>
            <w:tcW w:w="2681" w:type="dxa"/>
            <w:tcBorders>
              <w:top w:val="nil"/>
              <w:left w:val="nil"/>
              <w:bottom w:val="single" w:sz="8" w:space="0" w:color="auto"/>
              <w:right w:val="single" w:sz="8" w:space="0" w:color="auto"/>
            </w:tcBorders>
            <w:vAlign w:val="center"/>
            <w:hideMark/>
          </w:tcPr>
          <w:p w14:paraId="08C9AE8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Fideicomisos Financieros Públicos con Participación Estatal mayoritaria</w:t>
            </w:r>
          </w:p>
        </w:tc>
        <w:tc>
          <w:tcPr>
            <w:tcW w:w="1275" w:type="dxa"/>
            <w:tcBorders>
              <w:top w:val="nil"/>
              <w:left w:val="nil"/>
              <w:bottom w:val="single" w:sz="8" w:space="0" w:color="auto"/>
              <w:right w:val="single" w:sz="8" w:space="0" w:color="auto"/>
            </w:tcBorders>
            <w:shd w:val="clear" w:color="000000" w:fill="FFFFFF"/>
            <w:noWrap/>
            <w:vAlign w:val="center"/>
            <w:hideMark/>
          </w:tcPr>
          <w:p w14:paraId="3C394FE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DBB291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024E8F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30B3F9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E1413F5"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6BC3C31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50210268"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7.8</w:t>
            </w:r>
          </w:p>
        </w:tc>
        <w:tc>
          <w:tcPr>
            <w:tcW w:w="2681" w:type="dxa"/>
            <w:tcBorders>
              <w:top w:val="nil"/>
              <w:left w:val="nil"/>
              <w:bottom w:val="single" w:sz="8" w:space="0" w:color="auto"/>
              <w:right w:val="single" w:sz="8" w:space="0" w:color="auto"/>
            </w:tcBorders>
            <w:vAlign w:val="center"/>
            <w:hideMark/>
          </w:tcPr>
          <w:p w14:paraId="1D6625B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Ingresos por Venta de Bienes y Prestación de Servicios de los Poderes Legislativo y Judicial, y de los Órganos Autónomos</w:t>
            </w:r>
          </w:p>
        </w:tc>
        <w:tc>
          <w:tcPr>
            <w:tcW w:w="1275" w:type="dxa"/>
            <w:tcBorders>
              <w:top w:val="nil"/>
              <w:left w:val="nil"/>
              <w:bottom w:val="single" w:sz="8" w:space="0" w:color="auto"/>
              <w:right w:val="single" w:sz="8" w:space="0" w:color="auto"/>
            </w:tcBorders>
            <w:shd w:val="clear" w:color="000000" w:fill="FFFFFF"/>
            <w:noWrap/>
            <w:vAlign w:val="center"/>
            <w:hideMark/>
          </w:tcPr>
          <w:p w14:paraId="72C2112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A191B6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03CF93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E32633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A0873A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34E90F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lastRenderedPageBreak/>
              <w:t> </w:t>
            </w:r>
          </w:p>
        </w:tc>
        <w:tc>
          <w:tcPr>
            <w:tcW w:w="351" w:type="dxa"/>
            <w:tcBorders>
              <w:top w:val="nil"/>
              <w:left w:val="nil"/>
              <w:bottom w:val="single" w:sz="8" w:space="0" w:color="auto"/>
              <w:right w:val="single" w:sz="8" w:space="0" w:color="auto"/>
            </w:tcBorders>
            <w:noWrap/>
            <w:vAlign w:val="center"/>
            <w:hideMark/>
          </w:tcPr>
          <w:p w14:paraId="581B5FF7"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7.9</w:t>
            </w:r>
          </w:p>
        </w:tc>
        <w:tc>
          <w:tcPr>
            <w:tcW w:w="2681" w:type="dxa"/>
            <w:tcBorders>
              <w:top w:val="nil"/>
              <w:left w:val="nil"/>
              <w:bottom w:val="single" w:sz="8" w:space="0" w:color="auto"/>
              <w:right w:val="single" w:sz="8" w:space="0" w:color="auto"/>
            </w:tcBorders>
            <w:vAlign w:val="center"/>
            <w:hideMark/>
          </w:tcPr>
          <w:p w14:paraId="2D3D6E95"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Otros Ingresos</w:t>
            </w:r>
          </w:p>
        </w:tc>
        <w:tc>
          <w:tcPr>
            <w:tcW w:w="1275" w:type="dxa"/>
            <w:tcBorders>
              <w:top w:val="nil"/>
              <w:left w:val="nil"/>
              <w:bottom w:val="single" w:sz="8" w:space="0" w:color="auto"/>
              <w:right w:val="single" w:sz="8" w:space="0" w:color="auto"/>
            </w:tcBorders>
            <w:shd w:val="clear" w:color="000000" w:fill="FFFFFF"/>
            <w:noWrap/>
            <w:vAlign w:val="center"/>
            <w:hideMark/>
          </w:tcPr>
          <w:p w14:paraId="28C81A8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FAE831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4E6C45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40835E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D852BEA" w14:textId="77777777" w:rsidTr="004C1739">
        <w:trPr>
          <w:trHeight w:val="735"/>
        </w:trPr>
        <w:tc>
          <w:tcPr>
            <w:tcW w:w="219" w:type="dxa"/>
            <w:tcBorders>
              <w:top w:val="nil"/>
              <w:left w:val="single" w:sz="8" w:space="0" w:color="auto"/>
              <w:bottom w:val="single" w:sz="8" w:space="0" w:color="auto"/>
              <w:right w:val="single" w:sz="8" w:space="0" w:color="auto"/>
            </w:tcBorders>
            <w:vAlign w:val="center"/>
            <w:hideMark/>
          </w:tcPr>
          <w:p w14:paraId="614A736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w:t>
            </w:r>
          </w:p>
        </w:tc>
        <w:tc>
          <w:tcPr>
            <w:tcW w:w="351" w:type="dxa"/>
            <w:tcBorders>
              <w:top w:val="nil"/>
              <w:left w:val="nil"/>
              <w:bottom w:val="single" w:sz="8" w:space="0" w:color="auto"/>
              <w:right w:val="single" w:sz="8" w:space="0" w:color="auto"/>
            </w:tcBorders>
            <w:noWrap/>
            <w:vAlign w:val="center"/>
            <w:hideMark/>
          </w:tcPr>
          <w:p w14:paraId="00397802"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37BD8C70"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Participaciones, Aportaciones, Convenios, Incentivos Derivados de la Colaboración Fiscal y Fondos Distintos de Aportaciones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7DC188D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4AC8F4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B008BF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F05D33B" w14:textId="70142F92"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27,8</w:t>
            </w:r>
            <w:r w:rsidR="00C94FAF">
              <w:rPr>
                <w:rFonts w:ascii="Calibri Light" w:hAnsi="Calibri Light" w:cs="Calibri Light"/>
                <w:b/>
                <w:bCs/>
                <w:color w:val="000000"/>
                <w:sz w:val="14"/>
                <w:szCs w:val="14"/>
                <w:lang w:eastAsia="es-MX"/>
              </w:rPr>
              <w:t>3</w:t>
            </w:r>
            <w:r w:rsidRPr="004C1739">
              <w:rPr>
                <w:rFonts w:ascii="Calibri Light" w:hAnsi="Calibri Light" w:cs="Calibri Light"/>
                <w:b/>
                <w:bCs/>
                <w:color w:val="000000"/>
                <w:sz w:val="14"/>
                <w:szCs w:val="14"/>
                <w:lang w:eastAsia="es-MX"/>
              </w:rPr>
              <w:t>6,248,2</w:t>
            </w:r>
            <w:r w:rsidR="00C94FAF">
              <w:rPr>
                <w:rFonts w:ascii="Calibri Light" w:hAnsi="Calibri Light" w:cs="Calibri Light"/>
                <w:b/>
                <w:bCs/>
                <w:color w:val="000000"/>
                <w:sz w:val="14"/>
                <w:szCs w:val="14"/>
                <w:lang w:eastAsia="es-MX"/>
              </w:rPr>
              <w:t>3</w:t>
            </w:r>
            <w:r w:rsidRPr="004C1739">
              <w:rPr>
                <w:rFonts w:ascii="Calibri Light" w:hAnsi="Calibri Light" w:cs="Calibri Light"/>
                <w:b/>
                <w:bCs/>
                <w:color w:val="000000"/>
                <w:sz w:val="14"/>
                <w:szCs w:val="14"/>
                <w:lang w:eastAsia="es-MX"/>
              </w:rPr>
              <w:t>2.00</w:t>
            </w:r>
          </w:p>
        </w:tc>
      </w:tr>
      <w:tr w:rsidR="004C1739" w:rsidRPr="004C1739" w14:paraId="04DCF2F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8F293A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7D17AAB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8.1.</w:t>
            </w:r>
          </w:p>
        </w:tc>
        <w:tc>
          <w:tcPr>
            <w:tcW w:w="2681" w:type="dxa"/>
            <w:tcBorders>
              <w:top w:val="nil"/>
              <w:left w:val="nil"/>
              <w:bottom w:val="single" w:sz="8" w:space="0" w:color="auto"/>
              <w:right w:val="single" w:sz="8" w:space="0" w:color="auto"/>
            </w:tcBorders>
            <w:vAlign w:val="center"/>
            <w:hideMark/>
          </w:tcPr>
          <w:p w14:paraId="0FFCECAD" w14:textId="4F39021E"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Participaciones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7510535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E59BD5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3C1AE50" w14:textId="09EB6ECB"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13,</w:t>
            </w:r>
            <w:r w:rsidR="00C94FAF">
              <w:rPr>
                <w:rFonts w:ascii="Calibri Light" w:hAnsi="Calibri Light" w:cs="Calibri Light"/>
                <w:b/>
                <w:bCs/>
                <w:color w:val="000000"/>
                <w:sz w:val="14"/>
                <w:szCs w:val="14"/>
                <w:lang w:eastAsia="es-MX"/>
              </w:rPr>
              <w:t>93</w:t>
            </w:r>
            <w:r w:rsidRPr="004C1739">
              <w:rPr>
                <w:rFonts w:ascii="Calibri Light" w:hAnsi="Calibri Light" w:cs="Calibri Light"/>
                <w:b/>
                <w:bCs/>
                <w:color w:val="000000"/>
                <w:sz w:val="14"/>
                <w:szCs w:val="14"/>
                <w:lang w:eastAsia="es-MX"/>
              </w:rPr>
              <w:t>8,713,7</w:t>
            </w:r>
            <w:r w:rsidR="00C94FAF">
              <w:rPr>
                <w:rFonts w:ascii="Calibri Light" w:hAnsi="Calibri Light" w:cs="Calibri Light"/>
                <w:b/>
                <w:bCs/>
                <w:color w:val="000000"/>
                <w:sz w:val="14"/>
                <w:szCs w:val="14"/>
                <w:lang w:eastAsia="es-MX"/>
              </w:rPr>
              <w:t>35</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584908A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AF425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B61A57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C16188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6B8D441"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General de Participaciones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0BB3A53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5D53201" w14:textId="0F62BB1C"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10,</w:t>
            </w:r>
            <w:r w:rsidR="00C94FAF">
              <w:rPr>
                <w:rFonts w:ascii="Calibri Light" w:hAnsi="Calibri Light" w:cs="Calibri Light"/>
                <w:color w:val="000000"/>
                <w:sz w:val="14"/>
                <w:szCs w:val="14"/>
                <w:lang w:eastAsia="es-MX"/>
              </w:rPr>
              <w:t>9</w:t>
            </w:r>
            <w:r w:rsidRPr="004C1739">
              <w:rPr>
                <w:rFonts w:ascii="Calibri Light" w:hAnsi="Calibri Light" w:cs="Calibri Light"/>
                <w:color w:val="000000"/>
                <w:sz w:val="14"/>
                <w:szCs w:val="14"/>
                <w:lang w:eastAsia="es-MX"/>
              </w:rPr>
              <w:t>38,653,148.00</w:t>
            </w:r>
          </w:p>
        </w:tc>
        <w:tc>
          <w:tcPr>
            <w:tcW w:w="1276" w:type="dxa"/>
            <w:tcBorders>
              <w:top w:val="nil"/>
              <w:left w:val="nil"/>
              <w:bottom w:val="single" w:sz="8" w:space="0" w:color="auto"/>
              <w:right w:val="single" w:sz="8" w:space="0" w:color="auto"/>
            </w:tcBorders>
            <w:shd w:val="clear" w:color="000000" w:fill="FFFFFF"/>
            <w:noWrap/>
            <w:vAlign w:val="center"/>
            <w:hideMark/>
          </w:tcPr>
          <w:p w14:paraId="5EEC04B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F7E9F3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12D395E"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992093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2790AA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89A8A00"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de Fomento Municipal</w:t>
            </w:r>
          </w:p>
        </w:tc>
        <w:tc>
          <w:tcPr>
            <w:tcW w:w="1275" w:type="dxa"/>
            <w:tcBorders>
              <w:top w:val="nil"/>
              <w:left w:val="nil"/>
              <w:bottom w:val="single" w:sz="8" w:space="0" w:color="auto"/>
              <w:right w:val="single" w:sz="8" w:space="0" w:color="auto"/>
            </w:tcBorders>
            <w:shd w:val="clear" w:color="000000" w:fill="FFFFFF"/>
            <w:noWrap/>
            <w:vAlign w:val="center"/>
            <w:hideMark/>
          </w:tcPr>
          <w:p w14:paraId="4BACFA0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6013BE2" w14:textId="72DA3372"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620,124,39</w:t>
            </w:r>
            <w:r w:rsidR="00C94FAF">
              <w:rPr>
                <w:rFonts w:ascii="Calibri Light" w:hAnsi="Calibri Light" w:cs="Calibri Light"/>
                <w:color w:val="000000"/>
                <w:sz w:val="14"/>
                <w:szCs w:val="14"/>
                <w:lang w:eastAsia="es-MX"/>
              </w:rPr>
              <w:t>7</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3863164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C5B99E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165B18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EFEB94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D174CA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1E5B8B4" w14:textId="53EAD07B"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de Fiscalización</w:t>
            </w:r>
            <w:r w:rsidR="00CF4D14">
              <w:rPr>
                <w:rFonts w:ascii="Calibri Light" w:hAnsi="Calibri Light" w:cs="Calibri Light"/>
                <w:color w:val="000000"/>
                <w:sz w:val="14"/>
                <w:szCs w:val="14"/>
                <w:lang w:eastAsia="es-MX"/>
              </w:rPr>
              <w:t xml:space="preserve"> y Recaudación</w:t>
            </w:r>
          </w:p>
        </w:tc>
        <w:tc>
          <w:tcPr>
            <w:tcW w:w="1275" w:type="dxa"/>
            <w:tcBorders>
              <w:top w:val="nil"/>
              <w:left w:val="nil"/>
              <w:bottom w:val="single" w:sz="8" w:space="0" w:color="auto"/>
              <w:right w:val="single" w:sz="8" w:space="0" w:color="auto"/>
            </w:tcBorders>
            <w:shd w:val="clear" w:color="000000" w:fill="FFFFFF"/>
            <w:noWrap/>
            <w:vAlign w:val="center"/>
            <w:hideMark/>
          </w:tcPr>
          <w:p w14:paraId="24EBB72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1DDD38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636,248,842.00</w:t>
            </w:r>
          </w:p>
        </w:tc>
        <w:tc>
          <w:tcPr>
            <w:tcW w:w="1276" w:type="dxa"/>
            <w:tcBorders>
              <w:top w:val="nil"/>
              <w:left w:val="nil"/>
              <w:bottom w:val="single" w:sz="8" w:space="0" w:color="auto"/>
              <w:right w:val="single" w:sz="8" w:space="0" w:color="auto"/>
            </w:tcBorders>
            <w:shd w:val="clear" w:color="000000" w:fill="FFFFFF"/>
            <w:noWrap/>
            <w:vAlign w:val="center"/>
            <w:hideMark/>
          </w:tcPr>
          <w:p w14:paraId="360951D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E947BF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B89440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558D50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BF205F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EDD035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de Compensación</w:t>
            </w:r>
          </w:p>
        </w:tc>
        <w:tc>
          <w:tcPr>
            <w:tcW w:w="1275" w:type="dxa"/>
            <w:tcBorders>
              <w:top w:val="nil"/>
              <w:left w:val="nil"/>
              <w:bottom w:val="single" w:sz="8" w:space="0" w:color="auto"/>
              <w:right w:val="single" w:sz="8" w:space="0" w:color="auto"/>
            </w:tcBorders>
            <w:shd w:val="clear" w:color="000000" w:fill="FFFFFF"/>
            <w:noWrap/>
            <w:vAlign w:val="center"/>
            <w:hideMark/>
          </w:tcPr>
          <w:p w14:paraId="3FD61C9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4147E1E" w14:textId="3A2CB8FB" w:rsidR="004C1739" w:rsidRPr="004C1739" w:rsidRDefault="00C94FAF" w:rsidP="004C1739">
            <w:pPr>
              <w:jc w:val="right"/>
              <w:rPr>
                <w:rFonts w:ascii="Calibri Light" w:hAnsi="Calibri Light" w:cs="Calibri Light"/>
                <w:color w:val="000000"/>
                <w:sz w:val="14"/>
                <w:szCs w:val="14"/>
                <w:lang w:eastAsia="es-MX"/>
              </w:rPr>
            </w:pPr>
            <w:r>
              <w:rPr>
                <w:rFonts w:ascii="Calibri Light" w:hAnsi="Calibri Light" w:cs="Calibri Light"/>
                <w:color w:val="000000"/>
                <w:sz w:val="14"/>
                <w:szCs w:val="14"/>
                <w:lang w:eastAsia="es-MX"/>
              </w:rPr>
              <w:t>6</w:t>
            </w:r>
            <w:r w:rsidR="004C1739" w:rsidRPr="004C1739">
              <w:rPr>
                <w:rFonts w:ascii="Calibri Light" w:hAnsi="Calibri Light" w:cs="Calibri Light"/>
                <w:color w:val="000000"/>
                <w:sz w:val="14"/>
                <w:szCs w:val="14"/>
                <w:lang w:eastAsia="es-MX"/>
              </w:rPr>
              <w:t>74,358,369.00</w:t>
            </w:r>
          </w:p>
        </w:tc>
        <w:tc>
          <w:tcPr>
            <w:tcW w:w="1276" w:type="dxa"/>
            <w:tcBorders>
              <w:top w:val="nil"/>
              <w:left w:val="nil"/>
              <w:bottom w:val="single" w:sz="8" w:space="0" w:color="auto"/>
              <w:right w:val="single" w:sz="8" w:space="0" w:color="auto"/>
            </w:tcBorders>
            <w:shd w:val="clear" w:color="000000" w:fill="FFFFFF"/>
            <w:noWrap/>
            <w:vAlign w:val="center"/>
            <w:hideMark/>
          </w:tcPr>
          <w:p w14:paraId="7136F88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4E90C4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158FC3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C03B5E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56563C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DB2EBB1"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Especial Sobre Producción y Servicios</w:t>
            </w:r>
          </w:p>
        </w:tc>
        <w:tc>
          <w:tcPr>
            <w:tcW w:w="1275" w:type="dxa"/>
            <w:tcBorders>
              <w:top w:val="nil"/>
              <w:left w:val="nil"/>
              <w:bottom w:val="single" w:sz="8" w:space="0" w:color="auto"/>
              <w:right w:val="single" w:sz="8" w:space="0" w:color="auto"/>
            </w:tcBorders>
            <w:shd w:val="clear" w:color="000000" w:fill="FFFFFF"/>
            <w:noWrap/>
            <w:vAlign w:val="center"/>
            <w:hideMark/>
          </w:tcPr>
          <w:p w14:paraId="6408C9E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378721" w14:textId="73B682B3"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105,377,25</w:t>
            </w:r>
            <w:r w:rsidR="00C94FAF">
              <w:rPr>
                <w:rFonts w:ascii="Calibri Light" w:hAnsi="Calibri Light" w:cs="Calibri Light"/>
                <w:color w:val="000000"/>
                <w:sz w:val="14"/>
                <w:szCs w:val="14"/>
                <w:lang w:eastAsia="es-MX"/>
              </w:rPr>
              <w:t>4</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2D47C46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546348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E90FC3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DD0FBD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55B090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0753C49"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Incentivo a la Venta Final de Gasolinas y Diésel</w:t>
            </w:r>
          </w:p>
        </w:tc>
        <w:tc>
          <w:tcPr>
            <w:tcW w:w="1275" w:type="dxa"/>
            <w:tcBorders>
              <w:top w:val="nil"/>
              <w:left w:val="nil"/>
              <w:bottom w:val="single" w:sz="8" w:space="0" w:color="auto"/>
              <w:right w:val="single" w:sz="8" w:space="0" w:color="auto"/>
            </w:tcBorders>
            <w:shd w:val="clear" w:color="000000" w:fill="FFFFFF"/>
            <w:noWrap/>
            <w:vAlign w:val="center"/>
            <w:hideMark/>
          </w:tcPr>
          <w:p w14:paraId="3C969CF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9100DB6" w14:textId="0AD129DC"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w:t>
            </w:r>
            <w:r w:rsidR="0057449A">
              <w:rPr>
                <w:rFonts w:ascii="Calibri Light" w:hAnsi="Calibri Light" w:cs="Calibri Light"/>
                <w:color w:val="000000"/>
                <w:sz w:val="14"/>
                <w:szCs w:val="14"/>
                <w:lang w:eastAsia="es-MX"/>
              </w:rPr>
              <w:t>7</w:t>
            </w:r>
            <w:r w:rsidRPr="004C1739">
              <w:rPr>
                <w:rFonts w:ascii="Calibri Light" w:hAnsi="Calibri Light" w:cs="Calibri Light"/>
                <w:color w:val="000000"/>
                <w:sz w:val="14"/>
                <w:szCs w:val="14"/>
                <w:lang w:eastAsia="es-MX"/>
              </w:rPr>
              <w:t>2,818,999.00</w:t>
            </w:r>
          </w:p>
        </w:tc>
        <w:tc>
          <w:tcPr>
            <w:tcW w:w="1276" w:type="dxa"/>
            <w:tcBorders>
              <w:top w:val="nil"/>
              <w:left w:val="nil"/>
              <w:bottom w:val="single" w:sz="8" w:space="0" w:color="auto"/>
              <w:right w:val="single" w:sz="8" w:space="0" w:color="auto"/>
            </w:tcBorders>
            <w:shd w:val="clear" w:color="000000" w:fill="FFFFFF"/>
            <w:noWrap/>
            <w:vAlign w:val="center"/>
            <w:hideMark/>
          </w:tcPr>
          <w:p w14:paraId="77EAED7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AA59D5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5F30F43"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6B2901B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F333EE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C017FD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Automóviles Nuevos (compensación)</w:t>
            </w:r>
          </w:p>
        </w:tc>
        <w:tc>
          <w:tcPr>
            <w:tcW w:w="1275" w:type="dxa"/>
            <w:tcBorders>
              <w:top w:val="nil"/>
              <w:left w:val="nil"/>
              <w:bottom w:val="single" w:sz="8" w:space="0" w:color="auto"/>
              <w:right w:val="single" w:sz="8" w:space="0" w:color="auto"/>
            </w:tcBorders>
            <w:shd w:val="clear" w:color="000000" w:fill="FFFFFF"/>
            <w:noWrap/>
            <w:vAlign w:val="center"/>
            <w:hideMark/>
          </w:tcPr>
          <w:p w14:paraId="3091ECA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9301662" w14:textId="796A337D"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13,454,12</w:t>
            </w:r>
            <w:r w:rsidR="00C94FAF">
              <w:rPr>
                <w:rFonts w:ascii="Calibri Light" w:hAnsi="Calibri Light" w:cs="Calibri Light"/>
                <w:color w:val="000000"/>
                <w:sz w:val="14"/>
                <w:szCs w:val="14"/>
                <w:lang w:eastAsia="es-MX"/>
              </w:rPr>
              <w:t>5</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74D7A06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F3100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6D9C807"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89D5C3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7E6E8B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07AACA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ISR Artículo 3-B de la Ley de Coordinación Fiscal</w:t>
            </w:r>
          </w:p>
        </w:tc>
        <w:tc>
          <w:tcPr>
            <w:tcW w:w="1275" w:type="dxa"/>
            <w:tcBorders>
              <w:top w:val="nil"/>
              <w:left w:val="nil"/>
              <w:bottom w:val="single" w:sz="8" w:space="0" w:color="auto"/>
              <w:right w:val="single" w:sz="8" w:space="0" w:color="auto"/>
            </w:tcBorders>
            <w:shd w:val="clear" w:color="000000" w:fill="FFFFFF"/>
            <w:noWrap/>
            <w:vAlign w:val="center"/>
            <w:hideMark/>
          </w:tcPr>
          <w:p w14:paraId="3D3EDD1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FB45AF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674,168,049.00</w:t>
            </w:r>
          </w:p>
        </w:tc>
        <w:tc>
          <w:tcPr>
            <w:tcW w:w="1276" w:type="dxa"/>
            <w:tcBorders>
              <w:top w:val="nil"/>
              <w:left w:val="nil"/>
              <w:bottom w:val="single" w:sz="8" w:space="0" w:color="auto"/>
              <w:right w:val="single" w:sz="8" w:space="0" w:color="auto"/>
            </w:tcBorders>
            <w:shd w:val="clear" w:color="000000" w:fill="FFFFFF"/>
            <w:noWrap/>
            <w:vAlign w:val="center"/>
            <w:hideMark/>
          </w:tcPr>
          <w:p w14:paraId="3512F55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35A361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735D91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BDB8CD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0B5B9F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6AD021D"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REPECOS e INTERMEDIOS</w:t>
            </w:r>
          </w:p>
        </w:tc>
        <w:tc>
          <w:tcPr>
            <w:tcW w:w="1275" w:type="dxa"/>
            <w:tcBorders>
              <w:top w:val="nil"/>
              <w:left w:val="nil"/>
              <w:bottom w:val="single" w:sz="8" w:space="0" w:color="auto"/>
              <w:right w:val="single" w:sz="8" w:space="0" w:color="auto"/>
            </w:tcBorders>
            <w:shd w:val="clear" w:color="000000" w:fill="FFFFFF"/>
            <w:noWrap/>
            <w:vAlign w:val="center"/>
            <w:hideMark/>
          </w:tcPr>
          <w:p w14:paraId="4636FF4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6EB5B6C" w14:textId="7398FCD0"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3,510,55</w:t>
            </w:r>
            <w:r w:rsidR="00C94FAF">
              <w:rPr>
                <w:rFonts w:ascii="Calibri Light" w:hAnsi="Calibri Light" w:cs="Calibri Light"/>
                <w:color w:val="000000"/>
                <w:sz w:val="14"/>
                <w:szCs w:val="14"/>
                <w:lang w:eastAsia="es-MX"/>
              </w:rPr>
              <w:t>2</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4E1F0CE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83F15D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B6FEB8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7D5DDC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62A9413A"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8.2</w:t>
            </w:r>
          </w:p>
        </w:tc>
        <w:tc>
          <w:tcPr>
            <w:tcW w:w="2681" w:type="dxa"/>
            <w:tcBorders>
              <w:top w:val="nil"/>
              <w:left w:val="nil"/>
              <w:bottom w:val="single" w:sz="8" w:space="0" w:color="auto"/>
              <w:right w:val="single" w:sz="8" w:space="0" w:color="auto"/>
            </w:tcBorders>
            <w:vAlign w:val="center"/>
            <w:hideMark/>
          </w:tcPr>
          <w:p w14:paraId="123841B0"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Aportaciones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133CBAD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BD8323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00AD0E7" w14:textId="051B3564"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13,741,742,2</w:t>
            </w:r>
            <w:r w:rsidR="00C94FAF">
              <w:rPr>
                <w:rFonts w:ascii="Calibri Light" w:hAnsi="Calibri Light" w:cs="Calibri Light"/>
                <w:b/>
                <w:bCs/>
                <w:color w:val="000000"/>
                <w:sz w:val="14"/>
                <w:szCs w:val="14"/>
                <w:lang w:eastAsia="es-MX"/>
              </w:rPr>
              <w:t>44</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49FD09D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026ABB7"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5FAB7322"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F6CB81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8DE406A" w14:textId="2972B5BF"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la Nómina y Gasto Operativo (FONE)</w:t>
            </w:r>
          </w:p>
        </w:tc>
        <w:tc>
          <w:tcPr>
            <w:tcW w:w="1275" w:type="dxa"/>
            <w:tcBorders>
              <w:top w:val="nil"/>
              <w:left w:val="nil"/>
              <w:bottom w:val="single" w:sz="8" w:space="0" w:color="auto"/>
              <w:right w:val="single" w:sz="8" w:space="0" w:color="auto"/>
            </w:tcBorders>
            <w:shd w:val="clear" w:color="000000" w:fill="FFFFFF"/>
            <w:noWrap/>
            <w:vAlign w:val="center"/>
            <w:hideMark/>
          </w:tcPr>
          <w:p w14:paraId="2159ECF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1E56E85" w14:textId="353BAECB"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7,940,415,90</w:t>
            </w:r>
            <w:r w:rsidR="00C94FAF">
              <w:rPr>
                <w:rFonts w:ascii="Calibri Light" w:hAnsi="Calibri Light" w:cs="Calibri Light"/>
                <w:b/>
                <w:bCs/>
                <w:color w:val="000000"/>
                <w:sz w:val="14"/>
                <w:szCs w:val="14"/>
                <w:lang w:eastAsia="es-MX"/>
              </w:rPr>
              <w:t>3</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29CD982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F5377C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BFA4734"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6965B9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1441D4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D23DE79" w14:textId="30B333B5"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FONE Servicios Personales</w:t>
            </w:r>
          </w:p>
        </w:tc>
        <w:tc>
          <w:tcPr>
            <w:tcW w:w="1275" w:type="dxa"/>
            <w:tcBorders>
              <w:top w:val="nil"/>
              <w:left w:val="nil"/>
              <w:bottom w:val="single" w:sz="8" w:space="0" w:color="auto"/>
              <w:right w:val="single" w:sz="8" w:space="0" w:color="auto"/>
            </w:tcBorders>
            <w:shd w:val="clear" w:color="000000" w:fill="FFFFFF"/>
            <w:noWrap/>
            <w:vAlign w:val="center"/>
            <w:hideMark/>
          </w:tcPr>
          <w:p w14:paraId="541A8BD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7,615,091,503.00</w:t>
            </w:r>
          </w:p>
        </w:tc>
        <w:tc>
          <w:tcPr>
            <w:tcW w:w="1276" w:type="dxa"/>
            <w:tcBorders>
              <w:top w:val="nil"/>
              <w:left w:val="nil"/>
              <w:bottom w:val="single" w:sz="8" w:space="0" w:color="auto"/>
              <w:right w:val="single" w:sz="8" w:space="0" w:color="auto"/>
            </w:tcBorders>
            <w:shd w:val="clear" w:color="000000" w:fill="FFFFFF"/>
            <w:noWrap/>
            <w:vAlign w:val="center"/>
            <w:hideMark/>
          </w:tcPr>
          <w:p w14:paraId="1973B22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6873C4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D1FE75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198891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B8A468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2C031B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240D5D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FONE Gasto Corriente</w:t>
            </w:r>
          </w:p>
        </w:tc>
        <w:tc>
          <w:tcPr>
            <w:tcW w:w="1275" w:type="dxa"/>
            <w:tcBorders>
              <w:top w:val="nil"/>
              <w:left w:val="nil"/>
              <w:bottom w:val="single" w:sz="8" w:space="0" w:color="auto"/>
              <w:right w:val="single" w:sz="8" w:space="0" w:color="auto"/>
            </w:tcBorders>
            <w:shd w:val="clear" w:color="000000" w:fill="FFFFFF"/>
            <w:noWrap/>
            <w:vAlign w:val="center"/>
            <w:hideMark/>
          </w:tcPr>
          <w:p w14:paraId="5C5832BB" w14:textId="0F3DAB4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114,995,24</w:t>
            </w:r>
            <w:r w:rsidR="00C94FAF">
              <w:rPr>
                <w:rFonts w:ascii="Calibri Light" w:hAnsi="Calibri Light" w:cs="Calibri Light"/>
                <w:color w:val="000000"/>
                <w:sz w:val="14"/>
                <w:szCs w:val="14"/>
                <w:lang w:eastAsia="es-MX"/>
              </w:rPr>
              <w:t>3</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3E9F0E6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6F8FA9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B20C8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57026B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03D0FC1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364078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F82761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FONE Gasto Operativo</w:t>
            </w:r>
          </w:p>
        </w:tc>
        <w:tc>
          <w:tcPr>
            <w:tcW w:w="1275" w:type="dxa"/>
            <w:tcBorders>
              <w:top w:val="nil"/>
              <w:left w:val="nil"/>
              <w:bottom w:val="single" w:sz="8" w:space="0" w:color="auto"/>
              <w:right w:val="single" w:sz="8" w:space="0" w:color="auto"/>
            </w:tcBorders>
            <w:shd w:val="clear" w:color="000000" w:fill="FFFFFF"/>
            <w:noWrap/>
            <w:vAlign w:val="center"/>
            <w:hideMark/>
          </w:tcPr>
          <w:p w14:paraId="3AF9A108" w14:textId="7CDB4A19"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210,329,15</w:t>
            </w:r>
            <w:r w:rsidR="00C94FAF">
              <w:rPr>
                <w:rFonts w:ascii="Calibri Light" w:hAnsi="Calibri Light" w:cs="Calibri Light"/>
                <w:color w:val="000000"/>
                <w:sz w:val="14"/>
                <w:szCs w:val="14"/>
                <w:lang w:eastAsia="es-MX"/>
              </w:rPr>
              <w:t>7</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15A384B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D279EB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401002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D8BF0B4"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5A8B3EE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AF93C1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683618D"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los Servicios de Salud (FASSA)</w:t>
            </w:r>
          </w:p>
        </w:tc>
        <w:tc>
          <w:tcPr>
            <w:tcW w:w="1275" w:type="dxa"/>
            <w:tcBorders>
              <w:top w:val="nil"/>
              <w:left w:val="nil"/>
              <w:bottom w:val="single" w:sz="8" w:space="0" w:color="auto"/>
              <w:right w:val="single" w:sz="8" w:space="0" w:color="auto"/>
            </w:tcBorders>
            <w:shd w:val="clear" w:color="000000" w:fill="FFFFFF"/>
            <w:noWrap/>
            <w:vAlign w:val="center"/>
            <w:hideMark/>
          </w:tcPr>
          <w:p w14:paraId="6942293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A346918" w14:textId="6ECDBD34"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628,816,0</w:t>
            </w:r>
            <w:r w:rsidR="00C94FAF">
              <w:rPr>
                <w:rFonts w:ascii="Calibri Light" w:hAnsi="Calibri Light" w:cs="Calibri Light"/>
                <w:b/>
                <w:bCs/>
                <w:color w:val="000000"/>
                <w:sz w:val="14"/>
                <w:szCs w:val="14"/>
                <w:lang w:eastAsia="es-MX"/>
              </w:rPr>
              <w:t>99</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37B07B1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86ECBC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A2C1218"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1C9DDC5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F1AE33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758BF7F1" w14:textId="65D37FFE"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la Infraestructura Social (FAIS)</w:t>
            </w:r>
          </w:p>
        </w:tc>
        <w:tc>
          <w:tcPr>
            <w:tcW w:w="1275" w:type="dxa"/>
            <w:tcBorders>
              <w:top w:val="nil"/>
              <w:left w:val="nil"/>
              <w:bottom w:val="single" w:sz="8" w:space="0" w:color="auto"/>
              <w:right w:val="single" w:sz="8" w:space="0" w:color="auto"/>
            </w:tcBorders>
            <w:shd w:val="clear" w:color="000000" w:fill="FFFFFF"/>
            <w:noWrap/>
            <w:vAlign w:val="center"/>
            <w:hideMark/>
          </w:tcPr>
          <w:p w14:paraId="15B3CAA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D72CE2D" w14:textId="6E62736F"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1,491,622,29</w:t>
            </w:r>
            <w:r w:rsidR="00C94FAF">
              <w:rPr>
                <w:rFonts w:ascii="Calibri Light" w:hAnsi="Calibri Light" w:cs="Calibri Light"/>
                <w:b/>
                <w:bCs/>
                <w:color w:val="000000"/>
                <w:sz w:val="14"/>
                <w:szCs w:val="14"/>
                <w:lang w:eastAsia="es-MX"/>
              </w:rPr>
              <w:t>0</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285C55D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955C32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DBA7792"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7BF10A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7EE28F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6A646D9" w14:textId="21C3B998"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para la Infraestructura Social Municipal (F</w:t>
            </w:r>
            <w:r w:rsidR="003E5DCB">
              <w:rPr>
                <w:rFonts w:ascii="Calibri Light" w:hAnsi="Calibri Light" w:cs="Calibri Light"/>
                <w:color w:val="000000"/>
                <w:sz w:val="14"/>
                <w:szCs w:val="14"/>
                <w:lang w:eastAsia="es-MX"/>
              </w:rPr>
              <w:t>A</w:t>
            </w:r>
            <w:r w:rsidRPr="004C1739">
              <w:rPr>
                <w:rFonts w:ascii="Calibri Light" w:hAnsi="Calibri Light" w:cs="Calibri Light"/>
                <w:color w:val="000000"/>
                <w:sz w:val="14"/>
                <w:szCs w:val="14"/>
                <w:lang w:eastAsia="es-MX"/>
              </w:rPr>
              <w:t>ISM</w:t>
            </w:r>
            <w:r w:rsidR="003E5DCB">
              <w:rPr>
                <w:rFonts w:ascii="Calibri Light" w:hAnsi="Calibri Light" w:cs="Calibri Light"/>
                <w:color w:val="000000"/>
                <w:sz w:val="14"/>
                <w:szCs w:val="14"/>
                <w:lang w:eastAsia="es-MX"/>
              </w:rPr>
              <w:t>UN</w:t>
            </w:r>
            <w:r w:rsidRPr="004C1739">
              <w:rPr>
                <w:rFonts w:ascii="Calibri Light" w:hAnsi="Calibri Light" w:cs="Calibri Light"/>
                <w:color w:val="000000"/>
                <w:sz w:val="14"/>
                <w:szCs w:val="14"/>
                <w:lang w:eastAsia="es-MX"/>
              </w:rPr>
              <w:t>)</w:t>
            </w:r>
          </w:p>
        </w:tc>
        <w:tc>
          <w:tcPr>
            <w:tcW w:w="1275" w:type="dxa"/>
            <w:tcBorders>
              <w:top w:val="nil"/>
              <w:left w:val="nil"/>
              <w:bottom w:val="single" w:sz="8" w:space="0" w:color="auto"/>
              <w:right w:val="single" w:sz="8" w:space="0" w:color="auto"/>
            </w:tcBorders>
            <w:shd w:val="clear" w:color="000000" w:fill="FFFFFF"/>
            <w:noWrap/>
            <w:vAlign w:val="center"/>
            <w:hideMark/>
          </w:tcPr>
          <w:p w14:paraId="73F8D8BB" w14:textId="7D6A084F"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1,310,816,01</w:t>
            </w:r>
            <w:r w:rsidR="00C94FAF">
              <w:rPr>
                <w:rFonts w:ascii="Calibri Light" w:hAnsi="Calibri Light" w:cs="Calibri Light"/>
                <w:color w:val="000000"/>
                <w:sz w:val="14"/>
                <w:szCs w:val="14"/>
                <w:lang w:eastAsia="es-MX"/>
              </w:rPr>
              <w:t>4</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2C9F7F5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DE4D46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EB4EB7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D1EB11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589E41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601490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A5CAF73" w14:textId="7DE219EC"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para la Infraestructura Social Estatal (FISE)</w:t>
            </w:r>
          </w:p>
        </w:tc>
        <w:tc>
          <w:tcPr>
            <w:tcW w:w="1275" w:type="dxa"/>
            <w:tcBorders>
              <w:top w:val="nil"/>
              <w:left w:val="nil"/>
              <w:bottom w:val="single" w:sz="8" w:space="0" w:color="auto"/>
              <w:right w:val="single" w:sz="8" w:space="0" w:color="auto"/>
            </w:tcBorders>
            <w:shd w:val="clear" w:color="000000" w:fill="FFFFFF"/>
            <w:noWrap/>
            <w:vAlign w:val="center"/>
            <w:hideMark/>
          </w:tcPr>
          <w:p w14:paraId="20C390F1" w14:textId="58B1B1CD"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180,806,27</w:t>
            </w:r>
            <w:r w:rsidR="00C94FAF">
              <w:rPr>
                <w:rFonts w:ascii="Calibri Light" w:hAnsi="Calibri Light" w:cs="Calibri Light"/>
                <w:color w:val="000000"/>
                <w:sz w:val="14"/>
                <w:szCs w:val="14"/>
                <w:lang w:eastAsia="es-MX"/>
              </w:rPr>
              <w:t>6</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099C2FF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7E7E17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5C1F69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88B845F"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3D7C80D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C67AED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0AC50AA"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el Fortalecimiento Municipal (FORTAMUN)</w:t>
            </w:r>
          </w:p>
        </w:tc>
        <w:tc>
          <w:tcPr>
            <w:tcW w:w="1275" w:type="dxa"/>
            <w:tcBorders>
              <w:top w:val="nil"/>
              <w:left w:val="nil"/>
              <w:bottom w:val="single" w:sz="8" w:space="0" w:color="auto"/>
              <w:right w:val="single" w:sz="8" w:space="0" w:color="auto"/>
            </w:tcBorders>
            <w:shd w:val="clear" w:color="000000" w:fill="FFFFFF"/>
            <w:noWrap/>
            <w:vAlign w:val="center"/>
            <w:hideMark/>
          </w:tcPr>
          <w:p w14:paraId="4D9F77A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9BF1397" w14:textId="259C4CE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1,542,082,5</w:t>
            </w:r>
            <w:r w:rsidR="00C94FAF">
              <w:rPr>
                <w:rFonts w:ascii="Calibri Light" w:hAnsi="Calibri Light" w:cs="Calibri Light"/>
                <w:b/>
                <w:bCs/>
                <w:color w:val="000000"/>
                <w:sz w:val="14"/>
                <w:szCs w:val="14"/>
                <w:lang w:eastAsia="es-MX"/>
              </w:rPr>
              <w:t>85</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325F8FB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718AC0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8319916"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0B61FA7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8D28BC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0496EB7"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la Educación Tecnológica y de Adultos (FAETA)</w:t>
            </w:r>
          </w:p>
        </w:tc>
        <w:tc>
          <w:tcPr>
            <w:tcW w:w="1275" w:type="dxa"/>
            <w:tcBorders>
              <w:top w:val="nil"/>
              <w:left w:val="nil"/>
              <w:bottom w:val="single" w:sz="8" w:space="0" w:color="auto"/>
              <w:right w:val="single" w:sz="8" w:space="0" w:color="auto"/>
            </w:tcBorders>
            <w:shd w:val="clear" w:color="000000" w:fill="FFFFFF"/>
            <w:noWrap/>
            <w:vAlign w:val="center"/>
            <w:hideMark/>
          </w:tcPr>
          <w:p w14:paraId="2C29545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969DF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135,455,774.00</w:t>
            </w:r>
          </w:p>
        </w:tc>
        <w:tc>
          <w:tcPr>
            <w:tcW w:w="1276" w:type="dxa"/>
            <w:tcBorders>
              <w:top w:val="nil"/>
              <w:left w:val="nil"/>
              <w:bottom w:val="single" w:sz="8" w:space="0" w:color="auto"/>
              <w:right w:val="single" w:sz="8" w:space="0" w:color="auto"/>
            </w:tcBorders>
            <w:shd w:val="clear" w:color="000000" w:fill="FFFFFF"/>
            <w:noWrap/>
            <w:vAlign w:val="center"/>
            <w:hideMark/>
          </w:tcPr>
          <w:p w14:paraId="55363A2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C620A4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6111E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1CAE9E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07B7DE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C9A2252"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para la Educación de Adultos (ITEA)</w:t>
            </w:r>
          </w:p>
        </w:tc>
        <w:tc>
          <w:tcPr>
            <w:tcW w:w="1275" w:type="dxa"/>
            <w:tcBorders>
              <w:top w:val="nil"/>
              <w:left w:val="nil"/>
              <w:bottom w:val="single" w:sz="8" w:space="0" w:color="auto"/>
              <w:right w:val="single" w:sz="8" w:space="0" w:color="auto"/>
            </w:tcBorders>
            <w:shd w:val="clear" w:color="000000" w:fill="FFFFFF"/>
            <w:noWrap/>
            <w:vAlign w:val="center"/>
            <w:hideMark/>
          </w:tcPr>
          <w:p w14:paraId="602372FD" w14:textId="22870BC6"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65,291,1</w:t>
            </w:r>
            <w:r w:rsidR="00C94FAF">
              <w:rPr>
                <w:rFonts w:ascii="Calibri Light" w:hAnsi="Calibri Light" w:cs="Calibri Light"/>
                <w:color w:val="000000"/>
                <w:sz w:val="14"/>
                <w:szCs w:val="14"/>
                <w:lang w:eastAsia="es-MX"/>
              </w:rPr>
              <w:t>70</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4AFF390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C3B8CE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39A093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B834A03"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1F95D6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680397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502A55CA"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Fondo para la Educación Tecnológica (CONALEP)</w:t>
            </w:r>
          </w:p>
        </w:tc>
        <w:tc>
          <w:tcPr>
            <w:tcW w:w="1275" w:type="dxa"/>
            <w:tcBorders>
              <w:top w:val="nil"/>
              <w:left w:val="nil"/>
              <w:bottom w:val="single" w:sz="8" w:space="0" w:color="auto"/>
              <w:right w:val="single" w:sz="8" w:space="0" w:color="auto"/>
            </w:tcBorders>
            <w:shd w:val="clear" w:color="000000" w:fill="FFFFFF"/>
            <w:noWrap/>
            <w:vAlign w:val="center"/>
            <w:hideMark/>
          </w:tcPr>
          <w:p w14:paraId="0329F702" w14:textId="49F4F41B"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70,164,60</w:t>
            </w:r>
            <w:r w:rsidR="00C94FAF">
              <w:rPr>
                <w:rFonts w:ascii="Calibri Light" w:hAnsi="Calibri Light" w:cs="Calibri Light"/>
                <w:color w:val="000000"/>
                <w:sz w:val="14"/>
                <w:szCs w:val="14"/>
                <w:lang w:eastAsia="es-MX"/>
              </w:rPr>
              <w:t>4</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7BF5CC4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FAAEE1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7C52D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F765B87"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26BB469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990895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8F1B110"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la Seguridad Pública (FASP)</w:t>
            </w:r>
          </w:p>
        </w:tc>
        <w:tc>
          <w:tcPr>
            <w:tcW w:w="1275" w:type="dxa"/>
            <w:tcBorders>
              <w:top w:val="nil"/>
              <w:left w:val="nil"/>
              <w:bottom w:val="single" w:sz="8" w:space="0" w:color="auto"/>
              <w:right w:val="single" w:sz="8" w:space="0" w:color="auto"/>
            </w:tcBorders>
            <w:shd w:val="clear" w:color="000000" w:fill="FFFFFF"/>
            <w:noWrap/>
            <w:vAlign w:val="center"/>
            <w:hideMark/>
          </w:tcPr>
          <w:p w14:paraId="2B22805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5A3498C" w14:textId="1FC1F4F3"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207,371,5</w:t>
            </w:r>
            <w:r w:rsidR="00C94FAF">
              <w:rPr>
                <w:rFonts w:ascii="Calibri Light" w:hAnsi="Calibri Light" w:cs="Calibri Light"/>
                <w:b/>
                <w:bCs/>
                <w:color w:val="000000"/>
                <w:sz w:val="14"/>
                <w:szCs w:val="14"/>
                <w:lang w:eastAsia="es-MX"/>
              </w:rPr>
              <w:t>55</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444970E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07E119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E53D48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AA1F2F4"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1F25B3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09A278B8"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Múltiples (FAM)</w:t>
            </w:r>
          </w:p>
        </w:tc>
        <w:tc>
          <w:tcPr>
            <w:tcW w:w="1275" w:type="dxa"/>
            <w:tcBorders>
              <w:top w:val="nil"/>
              <w:left w:val="nil"/>
              <w:bottom w:val="single" w:sz="8" w:space="0" w:color="auto"/>
              <w:right w:val="single" w:sz="8" w:space="0" w:color="auto"/>
            </w:tcBorders>
            <w:shd w:val="clear" w:color="000000" w:fill="FFFFFF"/>
            <w:noWrap/>
            <w:vAlign w:val="center"/>
            <w:hideMark/>
          </w:tcPr>
          <w:p w14:paraId="38FDEA9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01E2C4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662,260,608.00</w:t>
            </w:r>
          </w:p>
        </w:tc>
        <w:tc>
          <w:tcPr>
            <w:tcW w:w="1276" w:type="dxa"/>
            <w:tcBorders>
              <w:top w:val="nil"/>
              <w:left w:val="nil"/>
              <w:bottom w:val="single" w:sz="8" w:space="0" w:color="auto"/>
              <w:right w:val="single" w:sz="8" w:space="0" w:color="auto"/>
            </w:tcBorders>
            <w:shd w:val="clear" w:color="000000" w:fill="FFFFFF"/>
            <w:noWrap/>
            <w:vAlign w:val="center"/>
            <w:hideMark/>
          </w:tcPr>
          <w:p w14:paraId="20947B5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4C047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C90F38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10DC2D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7F7C27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26EC1058"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FAM Asistencia Social</w:t>
            </w:r>
          </w:p>
        </w:tc>
        <w:tc>
          <w:tcPr>
            <w:tcW w:w="1275" w:type="dxa"/>
            <w:tcBorders>
              <w:top w:val="nil"/>
              <w:left w:val="nil"/>
              <w:bottom w:val="single" w:sz="8" w:space="0" w:color="auto"/>
              <w:right w:val="single" w:sz="8" w:space="0" w:color="auto"/>
            </w:tcBorders>
            <w:shd w:val="clear" w:color="000000" w:fill="FFFFFF"/>
            <w:noWrap/>
            <w:vAlign w:val="center"/>
            <w:hideMark/>
          </w:tcPr>
          <w:p w14:paraId="493BD3E3" w14:textId="7717289B"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272,108,78</w:t>
            </w:r>
            <w:r w:rsidR="00C94FAF">
              <w:rPr>
                <w:rFonts w:ascii="Calibri Light" w:hAnsi="Calibri Light" w:cs="Calibri Light"/>
                <w:color w:val="000000"/>
                <w:sz w:val="14"/>
                <w:szCs w:val="14"/>
                <w:lang w:eastAsia="es-MX"/>
              </w:rPr>
              <w:t>6</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173C961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A56B60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B9274A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F9E90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FDBF80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4C7315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38BC6F55"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FAM Educación Básica</w:t>
            </w:r>
          </w:p>
        </w:tc>
        <w:tc>
          <w:tcPr>
            <w:tcW w:w="1275" w:type="dxa"/>
            <w:tcBorders>
              <w:top w:val="nil"/>
              <w:left w:val="nil"/>
              <w:bottom w:val="single" w:sz="8" w:space="0" w:color="auto"/>
              <w:right w:val="single" w:sz="8" w:space="0" w:color="auto"/>
            </w:tcBorders>
            <w:shd w:val="clear" w:color="000000" w:fill="FFFFFF"/>
            <w:noWrap/>
            <w:vAlign w:val="center"/>
            <w:hideMark/>
          </w:tcPr>
          <w:p w14:paraId="3007E779" w14:textId="45A81ADC"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213,128,96</w:t>
            </w:r>
            <w:r w:rsidR="00C94FAF">
              <w:rPr>
                <w:rFonts w:ascii="Calibri Light" w:hAnsi="Calibri Light" w:cs="Calibri Light"/>
                <w:color w:val="000000"/>
                <w:sz w:val="14"/>
                <w:szCs w:val="14"/>
                <w:lang w:eastAsia="es-MX"/>
              </w:rPr>
              <w:t>1</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3A47CD6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F9F7D9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4A3261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CC0CFBF"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B6C5CE6"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734AA5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4A787E3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FAM Educación Superior</w:t>
            </w:r>
          </w:p>
        </w:tc>
        <w:tc>
          <w:tcPr>
            <w:tcW w:w="1275" w:type="dxa"/>
            <w:tcBorders>
              <w:top w:val="nil"/>
              <w:left w:val="nil"/>
              <w:bottom w:val="single" w:sz="8" w:space="0" w:color="auto"/>
              <w:right w:val="single" w:sz="8" w:space="0" w:color="auto"/>
            </w:tcBorders>
            <w:shd w:val="clear" w:color="000000" w:fill="FFFFFF"/>
            <w:noWrap/>
            <w:vAlign w:val="center"/>
            <w:hideMark/>
          </w:tcPr>
          <w:p w14:paraId="0B8EC1F3" w14:textId="79E982AC"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164,095,98</w:t>
            </w:r>
            <w:r w:rsidR="00C94FAF">
              <w:rPr>
                <w:rFonts w:ascii="Calibri Light" w:hAnsi="Calibri Light" w:cs="Calibri Light"/>
                <w:color w:val="000000"/>
                <w:sz w:val="14"/>
                <w:szCs w:val="14"/>
                <w:lang w:eastAsia="es-MX"/>
              </w:rPr>
              <w:t>5</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7EB3431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E20E16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E75155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13262F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BEEB91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040688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1F5BD9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FAM Educación Media Superior</w:t>
            </w:r>
          </w:p>
        </w:tc>
        <w:tc>
          <w:tcPr>
            <w:tcW w:w="1275" w:type="dxa"/>
            <w:tcBorders>
              <w:top w:val="nil"/>
              <w:left w:val="nil"/>
              <w:bottom w:val="single" w:sz="8" w:space="0" w:color="auto"/>
              <w:right w:val="single" w:sz="8" w:space="0" w:color="auto"/>
            </w:tcBorders>
            <w:shd w:val="clear" w:color="000000" w:fill="FFFFFF"/>
            <w:noWrap/>
            <w:vAlign w:val="center"/>
            <w:hideMark/>
          </w:tcPr>
          <w:p w14:paraId="2B77CB9C" w14:textId="1B4E8A60"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12,926,8</w:t>
            </w:r>
            <w:r w:rsidR="00C94FAF">
              <w:rPr>
                <w:rFonts w:ascii="Calibri Light" w:hAnsi="Calibri Light" w:cs="Calibri Light"/>
                <w:color w:val="000000"/>
                <w:sz w:val="14"/>
                <w:szCs w:val="14"/>
                <w:lang w:eastAsia="es-MX"/>
              </w:rPr>
              <w:t>76</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2DCAF38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DECF29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24147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89BC2A5"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550A6A2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B963EC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1DF2C9AF" w14:textId="66096D1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 de Aportaciones para el Fortalecimiento de Entidades Federativas (FAFEF)</w:t>
            </w:r>
          </w:p>
        </w:tc>
        <w:tc>
          <w:tcPr>
            <w:tcW w:w="1275" w:type="dxa"/>
            <w:tcBorders>
              <w:top w:val="nil"/>
              <w:left w:val="nil"/>
              <w:bottom w:val="single" w:sz="8" w:space="0" w:color="auto"/>
              <w:right w:val="single" w:sz="8" w:space="0" w:color="auto"/>
            </w:tcBorders>
            <w:shd w:val="clear" w:color="000000" w:fill="FFFFFF"/>
            <w:noWrap/>
            <w:vAlign w:val="center"/>
            <w:hideMark/>
          </w:tcPr>
          <w:p w14:paraId="0630084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BB67FB" w14:textId="7701FF0B"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1,133,717,4</w:t>
            </w:r>
            <w:r w:rsidR="00C94FAF">
              <w:rPr>
                <w:rFonts w:ascii="Calibri Light" w:hAnsi="Calibri Light" w:cs="Calibri Light"/>
                <w:b/>
                <w:bCs/>
                <w:color w:val="000000"/>
                <w:sz w:val="14"/>
                <w:szCs w:val="14"/>
                <w:lang w:eastAsia="es-MX"/>
              </w:rPr>
              <w:t>30</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5F910B9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A772A3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73540B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A870A0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998C9C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shd w:val="clear" w:color="000000" w:fill="FFFFFF"/>
            <w:vAlign w:val="center"/>
            <w:hideMark/>
          </w:tcPr>
          <w:p w14:paraId="6582585F"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Rendimientos o intereses del Ramo 33</w:t>
            </w:r>
          </w:p>
        </w:tc>
        <w:tc>
          <w:tcPr>
            <w:tcW w:w="1275" w:type="dxa"/>
            <w:tcBorders>
              <w:top w:val="nil"/>
              <w:left w:val="nil"/>
              <w:bottom w:val="single" w:sz="8" w:space="0" w:color="auto"/>
              <w:right w:val="single" w:sz="8" w:space="0" w:color="auto"/>
            </w:tcBorders>
            <w:shd w:val="clear" w:color="000000" w:fill="FFFFFF"/>
            <w:noWrap/>
            <w:vAlign w:val="center"/>
            <w:hideMark/>
          </w:tcPr>
          <w:p w14:paraId="5485165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0B7F68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C7985D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D10590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9589FA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1012D30" w14:textId="77777777" w:rsidR="004C1739" w:rsidRPr="004C1739" w:rsidRDefault="004C1739" w:rsidP="004C1739">
            <w:pPr>
              <w:rPr>
                <w:color w:val="000000"/>
                <w:sz w:val="20"/>
                <w:szCs w:val="20"/>
                <w:lang w:eastAsia="es-MX"/>
              </w:rPr>
            </w:pPr>
            <w:r w:rsidRPr="004C1739">
              <w:rPr>
                <w:color w:val="000000"/>
                <w:sz w:val="20"/>
                <w:szCs w:val="20"/>
                <w:lang w:eastAsia="es-MX"/>
              </w:rPr>
              <w:lastRenderedPageBreak/>
              <w:t> </w:t>
            </w:r>
          </w:p>
        </w:tc>
        <w:tc>
          <w:tcPr>
            <w:tcW w:w="351" w:type="dxa"/>
            <w:tcBorders>
              <w:top w:val="nil"/>
              <w:left w:val="nil"/>
              <w:bottom w:val="single" w:sz="8" w:space="0" w:color="auto"/>
              <w:right w:val="single" w:sz="8" w:space="0" w:color="auto"/>
            </w:tcBorders>
            <w:vAlign w:val="center"/>
            <w:hideMark/>
          </w:tcPr>
          <w:p w14:paraId="152F497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8.3.</w:t>
            </w:r>
          </w:p>
        </w:tc>
        <w:tc>
          <w:tcPr>
            <w:tcW w:w="2681" w:type="dxa"/>
            <w:tcBorders>
              <w:top w:val="nil"/>
              <w:left w:val="nil"/>
              <w:bottom w:val="single" w:sz="8" w:space="0" w:color="auto"/>
              <w:right w:val="single" w:sz="8" w:space="0" w:color="auto"/>
            </w:tcBorders>
            <w:vAlign w:val="center"/>
            <w:hideMark/>
          </w:tcPr>
          <w:p w14:paraId="5221B7C3"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Convenios</w:t>
            </w:r>
          </w:p>
        </w:tc>
        <w:tc>
          <w:tcPr>
            <w:tcW w:w="1275" w:type="dxa"/>
            <w:tcBorders>
              <w:top w:val="nil"/>
              <w:left w:val="nil"/>
              <w:bottom w:val="single" w:sz="8" w:space="0" w:color="auto"/>
              <w:right w:val="single" w:sz="8" w:space="0" w:color="auto"/>
            </w:tcBorders>
            <w:shd w:val="clear" w:color="000000" w:fill="FFFFFF"/>
            <w:noWrap/>
            <w:vAlign w:val="center"/>
            <w:hideMark/>
          </w:tcPr>
          <w:p w14:paraId="72939EC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43E806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CD08FB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8261DF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0747830"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47F21E2A"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2E7C103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8.4.</w:t>
            </w:r>
          </w:p>
        </w:tc>
        <w:tc>
          <w:tcPr>
            <w:tcW w:w="2681" w:type="dxa"/>
            <w:tcBorders>
              <w:top w:val="nil"/>
              <w:left w:val="nil"/>
              <w:bottom w:val="single" w:sz="8" w:space="0" w:color="auto"/>
              <w:right w:val="single" w:sz="8" w:space="0" w:color="auto"/>
            </w:tcBorders>
            <w:vAlign w:val="center"/>
            <w:hideMark/>
          </w:tcPr>
          <w:p w14:paraId="688606F5"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Incentivos Derivados de la Colaboración Fiscal</w:t>
            </w:r>
          </w:p>
        </w:tc>
        <w:tc>
          <w:tcPr>
            <w:tcW w:w="1275" w:type="dxa"/>
            <w:tcBorders>
              <w:top w:val="nil"/>
              <w:left w:val="nil"/>
              <w:bottom w:val="single" w:sz="8" w:space="0" w:color="auto"/>
              <w:right w:val="single" w:sz="8" w:space="0" w:color="auto"/>
            </w:tcBorders>
            <w:shd w:val="clear" w:color="000000" w:fill="FFFFFF"/>
            <w:noWrap/>
            <w:vAlign w:val="center"/>
            <w:hideMark/>
          </w:tcPr>
          <w:p w14:paraId="78C5D91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92548E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669A234" w14:textId="44E51209"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155,792,25</w:t>
            </w:r>
            <w:r w:rsidR="00C94FAF">
              <w:rPr>
                <w:rFonts w:ascii="Calibri Light" w:hAnsi="Calibri Light" w:cs="Calibri Light"/>
                <w:b/>
                <w:bCs/>
                <w:color w:val="000000"/>
                <w:sz w:val="14"/>
                <w:szCs w:val="14"/>
                <w:lang w:eastAsia="es-MX"/>
              </w:rPr>
              <w:t>3</w:t>
            </w:r>
            <w:r w:rsidRPr="004C1739">
              <w:rPr>
                <w:rFonts w:ascii="Calibri Light" w:hAnsi="Calibri Light" w:cs="Calibri Light"/>
                <w:b/>
                <w:bCs/>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1D805CC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D780DC0"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F33BC3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EC8E16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6B7BE849" w14:textId="6CB3B2C4"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Tenencia o Uso de Vehículos</w:t>
            </w:r>
          </w:p>
        </w:tc>
        <w:tc>
          <w:tcPr>
            <w:tcW w:w="1275" w:type="dxa"/>
            <w:tcBorders>
              <w:top w:val="nil"/>
              <w:left w:val="nil"/>
              <w:bottom w:val="single" w:sz="8" w:space="0" w:color="auto"/>
              <w:right w:val="single" w:sz="8" w:space="0" w:color="auto"/>
            </w:tcBorders>
            <w:shd w:val="clear" w:color="000000" w:fill="FFFFFF"/>
            <w:noWrap/>
            <w:vAlign w:val="center"/>
            <w:hideMark/>
          </w:tcPr>
          <w:p w14:paraId="0B8B176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20CBC9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6DAB598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19648E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239ACA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1B4694C"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61386DB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CD4D40D" w14:textId="44DDEC09"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Automóviles Nuevos</w:t>
            </w:r>
          </w:p>
        </w:tc>
        <w:tc>
          <w:tcPr>
            <w:tcW w:w="1275" w:type="dxa"/>
            <w:tcBorders>
              <w:top w:val="nil"/>
              <w:left w:val="nil"/>
              <w:bottom w:val="single" w:sz="8" w:space="0" w:color="auto"/>
              <w:right w:val="single" w:sz="8" w:space="0" w:color="auto"/>
            </w:tcBorders>
            <w:shd w:val="clear" w:color="000000" w:fill="FFFFFF"/>
            <w:noWrap/>
            <w:vAlign w:val="center"/>
            <w:hideMark/>
          </w:tcPr>
          <w:p w14:paraId="1BD7CBC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0B0FE43" w14:textId="2F60C7CD"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61,776,10</w:t>
            </w:r>
            <w:r w:rsidR="00C94FAF">
              <w:rPr>
                <w:rFonts w:ascii="Calibri Light" w:hAnsi="Calibri Light" w:cs="Calibri Light"/>
                <w:color w:val="000000"/>
                <w:sz w:val="14"/>
                <w:szCs w:val="14"/>
                <w:lang w:eastAsia="es-MX"/>
              </w:rPr>
              <w:t>9</w:t>
            </w:r>
            <w:r w:rsidRPr="004C1739">
              <w:rPr>
                <w:rFonts w:ascii="Calibri Light" w:hAnsi="Calibri Light" w:cs="Calibri Light"/>
                <w:color w:val="000000"/>
                <w:sz w:val="14"/>
                <w:szCs w:val="14"/>
                <w:lang w:eastAsia="es-MX"/>
              </w:rPr>
              <w:t>.00</w:t>
            </w:r>
          </w:p>
        </w:tc>
        <w:tc>
          <w:tcPr>
            <w:tcW w:w="1276" w:type="dxa"/>
            <w:tcBorders>
              <w:top w:val="nil"/>
              <w:left w:val="nil"/>
              <w:bottom w:val="single" w:sz="8" w:space="0" w:color="auto"/>
              <w:right w:val="single" w:sz="8" w:space="0" w:color="auto"/>
            </w:tcBorders>
            <w:shd w:val="clear" w:color="000000" w:fill="FFFFFF"/>
            <w:noWrap/>
            <w:vAlign w:val="center"/>
            <w:hideMark/>
          </w:tcPr>
          <w:p w14:paraId="611724E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FF0C16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172EB46"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9A1104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2FB5C6D"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0157E24" w14:textId="10B4DF3A"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Impuestos derivados de Actos de Fiscalización</w:t>
            </w:r>
          </w:p>
        </w:tc>
        <w:tc>
          <w:tcPr>
            <w:tcW w:w="1275" w:type="dxa"/>
            <w:tcBorders>
              <w:top w:val="nil"/>
              <w:left w:val="nil"/>
              <w:bottom w:val="single" w:sz="8" w:space="0" w:color="auto"/>
              <w:right w:val="single" w:sz="8" w:space="0" w:color="auto"/>
            </w:tcBorders>
            <w:shd w:val="clear" w:color="000000" w:fill="FFFFFF"/>
            <w:noWrap/>
            <w:vAlign w:val="center"/>
            <w:hideMark/>
          </w:tcPr>
          <w:p w14:paraId="6394FBE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5918C8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7,389,455.00</w:t>
            </w:r>
          </w:p>
        </w:tc>
        <w:tc>
          <w:tcPr>
            <w:tcW w:w="1276" w:type="dxa"/>
            <w:tcBorders>
              <w:top w:val="nil"/>
              <w:left w:val="nil"/>
              <w:bottom w:val="single" w:sz="8" w:space="0" w:color="auto"/>
              <w:right w:val="single" w:sz="8" w:space="0" w:color="auto"/>
            </w:tcBorders>
            <w:shd w:val="clear" w:color="000000" w:fill="FFFFFF"/>
            <w:noWrap/>
            <w:vAlign w:val="center"/>
            <w:hideMark/>
          </w:tcPr>
          <w:p w14:paraId="1BCA458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9D953D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4037BA8"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10B8B9C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9BC60A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6AD50AE9" w14:textId="05E47244"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la Renta del Régimen Intermedio de las Personas Físicas con Actividades Empresariales</w:t>
            </w:r>
          </w:p>
        </w:tc>
        <w:tc>
          <w:tcPr>
            <w:tcW w:w="1275" w:type="dxa"/>
            <w:tcBorders>
              <w:top w:val="nil"/>
              <w:left w:val="nil"/>
              <w:bottom w:val="single" w:sz="8" w:space="0" w:color="auto"/>
              <w:right w:val="single" w:sz="8" w:space="0" w:color="auto"/>
            </w:tcBorders>
            <w:shd w:val="clear" w:color="000000" w:fill="FFFFFF"/>
            <w:noWrap/>
            <w:vAlign w:val="center"/>
            <w:hideMark/>
          </w:tcPr>
          <w:p w14:paraId="0A106C7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31E6A7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0E6875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6E3962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A6C1951"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04ABA5B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800199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6E3A395" w14:textId="2800450A"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 Sobre la Renta derivado de los Ingresos por la Enajenación de Bienes Inmuebles</w:t>
            </w:r>
          </w:p>
        </w:tc>
        <w:tc>
          <w:tcPr>
            <w:tcW w:w="1275" w:type="dxa"/>
            <w:tcBorders>
              <w:top w:val="nil"/>
              <w:left w:val="nil"/>
              <w:bottom w:val="single" w:sz="8" w:space="0" w:color="auto"/>
              <w:right w:val="single" w:sz="8" w:space="0" w:color="auto"/>
            </w:tcBorders>
            <w:shd w:val="clear" w:color="000000" w:fill="FFFFFF"/>
            <w:noWrap/>
            <w:vAlign w:val="center"/>
            <w:hideMark/>
          </w:tcPr>
          <w:p w14:paraId="2607552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25ACB0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25,566,582.00</w:t>
            </w:r>
          </w:p>
        </w:tc>
        <w:tc>
          <w:tcPr>
            <w:tcW w:w="1276" w:type="dxa"/>
            <w:tcBorders>
              <w:top w:val="nil"/>
              <w:left w:val="nil"/>
              <w:bottom w:val="single" w:sz="8" w:space="0" w:color="auto"/>
              <w:right w:val="single" w:sz="8" w:space="0" w:color="auto"/>
            </w:tcBorders>
            <w:shd w:val="clear" w:color="000000" w:fill="FFFFFF"/>
            <w:noWrap/>
            <w:vAlign w:val="center"/>
            <w:hideMark/>
          </w:tcPr>
          <w:p w14:paraId="702CA4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B5D9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AF01908"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7013E1B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45C6E02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9930F43" w14:textId="2D655C29"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Impuestos del Régimen de Pequeños Contribuyentes</w:t>
            </w:r>
          </w:p>
        </w:tc>
        <w:tc>
          <w:tcPr>
            <w:tcW w:w="1275" w:type="dxa"/>
            <w:tcBorders>
              <w:top w:val="nil"/>
              <w:left w:val="nil"/>
              <w:bottom w:val="single" w:sz="8" w:space="0" w:color="auto"/>
              <w:right w:val="single" w:sz="8" w:space="0" w:color="auto"/>
            </w:tcBorders>
            <w:shd w:val="clear" w:color="000000" w:fill="FFFFFF"/>
            <w:noWrap/>
            <w:vAlign w:val="center"/>
            <w:hideMark/>
          </w:tcPr>
          <w:p w14:paraId="19BD734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3FC410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F57D2B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73C2F5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2D7659D"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7FD233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53DEB7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37F54A7" w14:textId="12AAFD06"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Incentivos Económicos:</w:t>
            </w:r>
            <w:r w:rsidR="00FA18A9">
              <w:rPr>
                <w:rFonts w:ascii="Calibri Light" w:hAnsi="Calibri Light" w:cs="Calibri Light"/>
                <w:color w:val="000000"/>
                <w:sz w:val="14"/>
                <w:szCs w:val="14"/>
                <w:lang w:eastAsia="es-MX"/>
              </w:rPr>
              <w:t xml:space="preserve"> </w:t>
            </w:r>
            <w:r w:rsidRPr="004C1739">
              <w:rPr>
                <w:rFonts w:ascii="Calibri Light" w:hAnsi="Calibri Light" w:cs="Calibri Light"/>
                <w:color w:val="000000"/>
                <w:sz w:val="14"/>
                <w:szCs w:val="14"/>
                <w:lang w:eastAsia="es-MX"/>
              </w:rPr>
              <w:t>Fiscalización Concurrente</w:t>
            </w:r>
          </w:p>
        </w:tc>
        <w:tc>
          <w:tcPr>
            <w:tcW w:w="1275" w:type="dxa"/>
            <w:tcBorders>
              <w:top w:val="nil"/>
              <w:left w:val="nil"/>
              <w:bottom w:val="single" w:sz="8" w:space="0" w:color="auto"/>
              <w:right w:val="single" w:sz="8" w:space="0" w:color="auto"/>
            </w:tcBorders>
            <w:shd w:val="clear" w:color="000000" w:fill="FFFFFF"/>
            <w:noWrap/>
            <w:vAlign w:val="center"/>
            <w:hideMark/>
          </w:tcPr>
          <w:p w14:paraId="06DF606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281880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21,660,561.00</w:t>
            </w:r>
          </w:p>
        </w:tc>
        <w:tc>
          <w:tcPr>
            <w:tcW w:w="1276" w:type="dxa"/>
            <w:tcBorders>
              <w:top w:val="nil"/>
              <w:left w:val="nil"/>
              <w:bottom w:val="single" w:sz="8" w:space="0" w:color="auto"/>
              <w:right w:val="single" w:sz="8" w:space="0" w:color="auto"/>
            </w:tcBorders>
            <w:shd w:val="clear" w:color="000000" w:fill="FFFFFF"/>
            <w:noWrap/>
            <w:vAlign w:val="center"/>
            <w:hideMark/>
          </w:tcPr>
          <w:p w14:paraId="7E4BB0F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8D086F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079E2EE"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0C61F960"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25A89A5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5035B380"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Incentivos Económicos: Vigilancia de Obligaciones Fiscales</w:t>
            </w:r>
          </w:p>
        </w:tc>
        <w:tc>
          <w:tcPr>
            <w:tcW w:w="1275" w:type="dxa"/>
            <w:tcBorders>
              <w:top w:val="nil"/>
              <w:left w:val="nil"/>
              <w:bottom w:val="single" w:sz="8" w:space="0" w:color="auto"/>
              <w:right w:val="single" w:sz="8" w:space="0" w:color="auto"/>
            </w:tcBorders>
            <w:shd w:val="clear" w:color="000000" w:fill="FFFFFF"/>
            <w:noWrap/>
            <w:vAlign w:val="center"/>
            <w:hideMark/>
          </w:tcPr>
          <w:p w14:paraId="373422A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22ECE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4,713,992.00</w:t>
            </w:r>
          </w:p>
        </w:tc>
        <w:tc>
          <w:tcPr>
            <w:tcW w:w="1276" w:type="dxa"/>
            <w:tcBorders>
              <w:top w:val="nil"/>
              <w:left w:val="nil"/>
              <w:bottom w:val="single" w:sz="8" w:space="0" w:color="auto"/>
              <w:right w:val="single" w:sz="8" w:space="0" w:color="auto"/>
            </w:tcBorders>
            <w:shd w:val="clear" w:color="000000" w:fill="FFFFFF"/>
            <w:noWrap/>
            <w:vAlign w:val="center"/>
            <w:hideMark/>
          </w:tcPr>
          <w:p w14:paraId="64E78AF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CB549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C415E8E"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2F037A6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37BDF98"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323D8EB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Incentivos Económicos: Impuesto Sobre la Renta de Bienes Inmuebles</w:t>
            </w:r>
          </w:p>
        </w:tc>
        <w:tc>
          <w:tcPr>
            <w:tcW w:w="1275" w:type="dxa"/>
            <w:tcBorders>
              <w:top w:val="nil"/>
              <w:left w:val="nil"/>
              <w:bottom w:val="single" w:sz="8" w:space="0" w:color="auto"/>
              <w:right w:val="single" w:sz="8" w:space="0" w:color="auto"/>
            </w:tcBorders>
            <w:shd w:val="clear" w:color="000000" w:fill="FFFFFF"/>
            <w:noWrap/>
            <w:vAlign w:val="center"/>
            <w:hideMark/>
          </w:tcPr>
          <w:p w14:paraId="7E9869F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8268CD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9,738,113.00</w:t>
            </w:r>
          </w:p>
        </w:tc>
        <w:tc>
          <w:tcPr>
            <w:tcW w:w="1276" w:type="dxa"/>
            <w:tcBorders>
              <w:top w:val="nil"/>
              <w:left w:val="nil"/>
              <w:bottom w:val="single" w:sz="8" w:space="0" w:color="auto"/>
              <w:right w:val="single" w:sz="8" w:space="0" w:color="auto"/>
            </w:tcBorders>
            <w:shd w:val="clear" w:color="000000" w:fill="FFFFFF"/>
            <w:noWrap/>
            <w:vAlign w:val="center"/>
            <w:hideMark/>
          </w:tcPr>
          <w:p w14:paraId="39F4DE1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1F983C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74565F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2D551B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5CABD78E"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47793DC6"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Multas fiscales</w:t>
            </w:r>
          </w:p>
        </w:tc>
        <w:tc>
          <w:tcPr>
            <w:tcW w:w="1275" w:type="dxa"/>
            <w:tcBorders>
              <w:top w:val="nil"/>
              <w:left w:val="nil"/>
              <w:bottom w:val="single" w:sz="8" w:space="0" w:color="auto"/>
              <w:right w:val="single" w:sz="8" w:space="0" w:color="auto"/>
            </w:tcBorders>
            <w:shd w:val="clear" w:color="000000" w:fill="FFFFFF"/>
            <w:noWrap/>
            <w:vAlign w:val="center"/>
            <w:hideMark/>
          </w:tcPr>
          <w:p w14:paraId="1143B0F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CE7E97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11,881,502.00</w:t>
            </w:r>
          </w:p>
        </w:tc>
        <w:tc>
          <w:tcPr>
            <w:tcW w:w="1276" w:type="dxa"/>
            <w:tcBorders>
              <w:top w:val="nil"/>
              <w:left w:val="nil"/>
              <w:bottom w:val="single" w:sz="8" w:space="0" w:color="auto"/>
              <w:right w:val="single" w:sz="8" w:space="0" w:color="auto"/>
            </w:tcBorders>
            <w:shd w:val="clear" w:color="000000" w:fill="FFFFFF"/>
            <w:noWrap/>
            <w:vAlign w:val="center"/>
            <w:hideMark/>
          </w:tcPr>
          <w:p w14:paraId="17F5356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50DA37B"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2030EEA4"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C65D573"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19BA8E5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24F4941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Multas federales no fiscales</w:t>
            </w:r>
          </w:p>
        </w:tc>
        <w:tc>
          <w:tcPr>
            <w:tcW w:w="1275" w:type="dxa"/>
            <w:tcBorders>
              <w:top w:val="nil"/>
              <w:left w:val="nil"/>
              <w:bottom w:val="single" w:sz="8" w:space="0" w:color="auto"/>
              <w:right w:val="single" w:sz="8" w:space="0" w:color="auto"/>
            </w:tcBorders>
            <w:shd w:val="clear" w:color="000000" w:fill="FFFFFF"/>
            <w:noWrap/>
            <w:vAlign w:val="center"/>
            <w:hideMark/>
          </w:tcPr>
          <w:p w14:paraId="55E1744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5364CF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2,929,980.00</w:t>
            </w:r>
          </w:p>
        </w:tc>
        <w:tc>
          <w:tcPr>
            <w:tcW w:w="1276" w:type="dxa"/>
            <w:tcBorders>
              <w:top w:val="nil"/>
              <w:left w:val="nil"/>
              <w:bottom w:val="single" w:sz="8" w:space="0" w:color="auto"/>
              <w:right w:val="single" w:sz="8" w:space="0" w:color="auto"/>
            </w:tcBorders>
            <w:shd w:val="clear" w:color="000000" w:fill="FFFFFF"/>
            <w:noWrap/>
            <w:vAlign w:val="center"/>
            <w:hideMark/>
          </w:tcPr>
          <w:p w14:paraId="4F3367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21CA6A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009C368"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103FCAF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7A5B52B4"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1C80BAD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Recargos</w:t>
            </w:r>
          </w:p>
        </w:tc>
        <w:tc>
          <w:tcPr>
            <w:tcW w:w="1275" w:type="dxa"/>
            <w:tcBorders>
              <w:top w:val="nil"/>
              <w:left w:val="nil"/>
              <w:bottom w:val="single" w:sz="8" w:space="0" w:color="auto"/>
              <w:right w:val="single" w:sz="8" w:space="0" w:color="auto"/>
            </w:tcBorders>
            <w:shd w:val="clear" w:color="000000" w:fill="FFFFFF"/>
            <w:noWrap/>
            <w:vAlign w:val="center"/>
            <w:hideMark/>
          </w:tcPr>
          <w:p w14:paraId="118C1F2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794B1C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6,705,131.00</w:t>
            </w:r>
          </w:p>
        </w:tc>
        <w:tc>
          <w:tcPr>
            <w:tcW w:w="1276" w:type="dxa"/>
            <w:tcBorders>
              <w:top w:val="nil"/>
              <w:left w:val="nil"/>
              <w:bottom w:val="single" w:sz="8" w:space="0" w:color="auto"/>
              <w:right w:val="single" w:sz="8" w:space="0" w:color="auto"/>
            </w:tcBorders>
            <w:shd w:val="clear" w:color="000000" w:fill="FFFFFF"/>
            <w:noWrap/>
            <w:vAlign w:val="center"/>
            <w:hideMark/>
          </w:tcPr>
          <w:p w14:paraId="2E73F9A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3C580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35408B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19A55D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38DB992E"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5B905A8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Actualizaciones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4BED6DD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E9CB76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2,523,746.00</w:t>
            </w:r>
          </w:p>
        </w:tc>
        <w:tc>
          <w:tcPr>
            <w:tcW w:w="1276" w:type="dxa"/>
            <w:tcBorders>
              <w:top w:val="nil"/>
              <w:left w:val="nil"/>
              <w:bottom w:val="single" w:sz="8" w:space="0" w:color="auto"/>
              <w:right w:val="single" w:sz="8" w:space="0" w:color="auto"/>
            </w:tcBorders>
            <w:shd w:val="clear" w:color="000000" w:fill="FFFFFF"/>
            <w:noWrap/>
            <w:vAlign w:val="center"/>
            <w:hideMark/>
          </w:tcPr>
          <w:p w14:paraId="0D352837"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B547D3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ED246DA"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9DEF945"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noWrap/>
            <w:vAlign w:val="center"/>
            <w:hideMark/>
          </w:tcPr>
          <w:p w14:paraId="0A0DAD08"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49B3B1AB"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Gastos de Ejecución</w:t>
            </w:r>
          </w:p>
        </w:tc>
        <w:tc>
          <w:tcPr>
            <w:tcW w:w="1275" w:type="dxa"/>
            <w:tcBorders>
              <w:top w:val="nil"/>
              <w:left w:val="nil"/>
              <w:bottom w:val="single" w:sz="8" w:space="0" w:color="auto"/>
              <w:right w:val="single" w:sz="8" w:space="0" w:color="auto"/>
            </w:tcBorders>
            <w:shd w:val="clear" w:color="000000" w:fill="FFFFFF"/>
            <w:noWrap/>
            <w:vAlign w:val="center"/>
            <w:hideMark/>
          </w:tcPr>
          <w:p w14:paraId="0DB3DBF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80978D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285,428.00</w:t>
            </w:r>
          </w:p>
        </w:tc>
        <w:tc>
          <w:tcPr>
            <w:tcW w:w="1276" w:type="dxa"/>
            <w:tcBorders>
              <w:top w:val="nil"/>
              <w:left w:val="nil"/>
              <w:bottom w:val="single" w:sz="8" w:space="0" w:color="auto"/>
              <w:right w:val="single" w:sz="8" w:space="0" w:color="auto"/>
            </w:tcBorders>
            <w:shd w:val="clear" w:color="000000" w:fill="FFFFFF"/>
            <w:noWrap/>
            <w:vAlign w:val="center"/>
            <w:hideMark/>
          </w:tcPr>
          <w:p w14:paraId="2E6D336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E5A072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6EB4F04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3F4FC8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8898185"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6E3A8C20"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Honorarios por Notificación</w:t>
            </w:r>
          </w:p>
        </w:tc>
        <w:tc>
          <w:tcPr>
            <w:tcW w:w="1275" w:type="dxa"/>
            <w:tcBorders>
              <w:top w:val="nil"/>
              <w:left w:val="nil"/>
              <w:bottom w:val="single" w:sz="8" w:space="0" w:color="auto"/>
              <w:right w:val="single" w:sz="8" w:space="0" w:color="auto"/>
            </w:tcBorders>
            <w:shd w:val="clear" w:color="000000" w:fill="FFFFFF"/>
            <w:noWrap/>
            <w:vAlign w:val="center"/>
            <w:hideMark/>
          </w:tcPr>
          <w:p w14:paraId="571EAC6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EC899C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621,654.00</w:t>
            </w:r>
          </w:p>
        </w:tc>
        <w:tc>
          <w:tcPr>
            <w:tcW w:w="1276" w:type="dxa"/>
            <w:tcBorders>
              <w:top w:val="nil"/>
              <w:left w:val="nil"/>
              <w:bottom w:val="single" w:sz="8" w:space="0" w:color="auto"/>
              <w:right w:val="single" w:sz="8" w:space="0" w:color="auto"/>
            </w:tcBorders>
            <w:shd w:val="clear" w:color="000000" w:fill="FFFFFF"/>
            <w:noWrap/>
            <w:vAlign w:val="center"/>
            <w:hideMark/>
          </w:tcPr>
          <w:p w14:paraId="00C111A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9CF3F1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53E0FA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E73011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0CFCB1A3"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55376021"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Fianzas que hagan efectivas</w:t>
            </w:r>
          </w:p>
        </w:tc>
        <w:tc>
          <w:tcPr>
            <w:tcW w:w="1275" w:type="dxa"/>
            <w:tcBorders>
              <w:top w:val="nil"/>
              <w:left w:val="nil"/>
              <w:bottom w:val="single" w:sz="8" w:space="0" w:color="auto"/>
              <w:right w:val="single" w:sz="8" w:space="0" w:color="auto"/>
            </w:tcBorders>
            <w:shd w:val="clear" w:color="000000" w:fill="FFFFFF"/>
            <w:noWrap/>
            <w:vAlign w:val="center"/>
            <w:hideMark/>
          </w:tcPr>
          <w:p w14:paraId="486FA861"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E9B7BA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DE2F35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69ECD7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028A892"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8EC1C9D"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51298CA"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057C4AA3"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Indemnizaciones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0C480D1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32B9FFF"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7BA5D5A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4021D3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7B6DEC3"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32D7A2B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158ADAE5" w14:textId="77777777" w:rsidR="004C1739" w:rsidRPr="004C1739" w:rsidRDefault="004C1739" w:rsidP="004C1739">
            <w:pPr>
              <w:jc w:val="center"/>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2681" w:type="dxa"/>
            <w:tcBorders>
              <w:top w:val="nil"/>
              <w:left w:val="nil"/>
              <w:bottom w:val="single" w:sz="8" w:space="0" w:color="auto"/>
              <w:right w:val="single" w:sz="8" w:space="0" w:color="auto"/>
            </w:tcBorders>
            <w:vAlign w:val="center"/>
            <w:hideMark/>
          </w:tcPr>
          <w:p w14:paraId="0AFC47D4" w14:textId="77777777" w:rsidR="004C1739" w:rsidRPr="004C1739" w:rsidRDefault="004C1739" w:rsidP="004C1739">
            <w:pPr>
              <w:jc w:val="both"/>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Reintegros</w:t>
            </w:r>
          </w:p>
        </w:tc>
        <w:tc>
          <w:tcPr>
            <w:tcW w:w="1275" w:type="dxa"/>
            <w:tcBorders>
              <w:top w:val="nil"/>
              <w:left w:val="nil"/>
              <w:bottom w:val="single" w:sz="8" w:space="0" w:color="auto"/>
              <w:right w:val="single" w:sz="8" w:space="0" w:color="auto"/>
            </w:tcBorders>
            <w:shd w:val="clear" w:color="000000" w:fill="FFFFFF"/>
            <w:noWrap/>
            <w:vAlign w:val="center"/>
            <w:hideMark/>
          </w:tcPr>
          <w:p w14:paraId="0B5C522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FC9711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E04A36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2FC64E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3D52E6B"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D8C9C3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noWrap/>
            <w:vAlign w:val="center"/>
            <w:hideMark/>
          </w:tcPr>
          <w:p w14:paraId="76516E06"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8.5</w:t>
            </w:r>
          </w:p>
        </w:tc>
        <w:tc>
          <w:tcPr>
            <w:tcW w:w="2681" w:type="dxa"/>
            <w:tcBorders>
              <w:top w:val="nil"/>
              <w:left w:val="nil"/>
              <w:bottom w:val="single" w:sz="8" w:space="0" w:color="auto"/>
              <w:right w:val="single" w:sz="8" w:space="0" w:color="auto"/>
            </w:tcBorders>
            <w:vAlign w:val="center"/>
            <w:hideMark/>
          </w:tcPr>
          <w:p w14:paraId="2CF6D50A"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Fondos Distintos de Aportaciones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1457BA0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488466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B01CF8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F8386C0"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F7DDCB2"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6462A153"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w:t>
            </w:r>
          </w:p>
        </w:tc>
        <w:tc>
          <w:tcPr>
            <w:tcW w:w="351" w:type="dxa"/>
            <w:tcBorders>
              <w:top w:val="nil"/>
              <w:left w:val="nil"/>
              <w:bottom w:val="single" w:sz="8" w:space="0" w:color="auto"/>
              <w:right w:val="single" w:sz="8" w:space="0" w:color="auto"/>
            </w:tcBorders>
            <w:vAlign w:val="center"/>
            <w:hideMark/>
          </w:tcPr>
          <w:p w14:paraId="36D3E0EB"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9686332"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Transferencias, Asignaciones, Subsidios y Subvenciones, y Pensiones y Jubilaciones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34B26E7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C44F4C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C6FEB9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CAE8DA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r>
      <w:tr w:rsidR="004C1739" w:rsidRPr="004C1739" w14:paraId="6EBDDE86"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A887101"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3F64131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9.1</w:t>
            </w:r>
          </w:p>
        </w:tc>
        <w:tc>
          <w:tcPr>
            <w:tcW w:w="2681" w:type="dxa"/>
            <w:tcBorders>
              <w:top w:val="nil"/>
              <w:left w:val="nil"/>
              <w:bottom w:val="single" w:sz="8" w:space="0" w:color="auto"/>
              <w:right w:val="single" w:sz="8" w:space="0" w:color="auto"/>
            </w:tcBorders>
            <w:vAlign w:val="center"/>
            <w:hideMark/>
          </w:tcPr>
          <w:p w14:paraId="7D3E6B58"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Transferencias y Asignaciones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5EA8FC10"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3DADDA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E75784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0B9503C2"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D6833CA"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050EAB9A"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1ED9DC3C"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9.2</w:t>
            </w:r>
          </w:p>
        </w:tc>
        <w:tc>
          <w:tcPr>
            <w:tcW w:w="2681" w:type="dxa"/>
            <w:tcBorders>
              <w:top w:val="nil"/>
              <w:left w:val="nil"/>
              <w:bottom w:val="single" w:sz="8" w:space="0" w:color="auto"/>
              <w:right w:val="single" w:sz="8" w:space="0" w:color="auto"/>
            </w:tcBorders>
            <w:vAlign w:val="center"/>
            <w:hideMark/>
          </w:tcPr>
          <w:p w14:paraId="26E2A07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Transferencias al Resto del Sector Público (Derogado)</w:t>
            </w:r>
          </w:p>
        </w:tc>
        <w:tc>
          <w:tcPr>
            <w:tcW w:w="1275" w:type="dxa"/>
            <w:tcBorders>
              <w:top w:val="nil"/>
              <w:left w:val="nil"/>
              <w:bottom w:val="single" w:sz="8" w:space="0" w:color="auto"/>
              <w:right w:val="single" w:sz="8" w:space="0" w:color="auto"/>
            </w:tcBorders>
            <w:shd w:val="clear" w:color="000000" w:fill="FFFFFF"/>
            <w:noWrap/>
            <w:vAlign w:val="center"/>
            <w:hideMark/>
          </w:tcPr>
          <w:p w14:paraId="5F33F28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6EC802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9FC76B0" w14:textId="6F963B01" w:rsidR="004C1739" w:rsidRPr="004C1739" w:rsidRDefault="004C1739" w:rsidP="004C1739">
            <w:pPr>
              <w:jc w:val="right"/>
              <w:rPr>
                <w:rFonts w:ascii="Calibri Light" w:hAnsi="Calibri Light" w:cs="Calibri Light"/>
                <w:b/>
                <w:bCs/>
                <w:color w:val="000000"/>
                <w:sz w:val="14"/>
                <w:szCs w:val="14"/>
                <w:lang w:eastAsia="es-MX"/>
              </w:rPr>
            </w:pPr>
          </w:p>
        </w:tc>
        <w:tc>
          <w:tcPr>
            <w:tcW w:w="1276" w:type="dxa"/>
            <w:tcBorders>
              <w:top w:val="nil"/>
              <w:left w:val="nil"/>
              <w:bottom w:val="single" w:sz="8" w:space="0" w:color="auto"/>
              <w:right w:val="single" w:sz="8" w:space="0" w:color="auto"/>
            </w:tcBorders>
            <w:shd w:val="clear" w:color="000000" w:fill="FFFFFF"/>
            <w:noWrap/>
            <w:vAlign w:val="center"/>
            <w:hideMark/>
          </w:tcPr>
          <w:p w14:paraId="05620BB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6F80EFD"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1978AB9"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6DB1B9D7"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9.3</w:t>
            </w:r>
          </w:p>
        </w:tc>
        <w:tc>
          <w:tcPr>
            <w:tcW w:w="2681" w:type="dxa"/>
            <w:tcBorders>
              <w:top w:val="nil"/>
              <w:left w:val="nil"/>
              <w:bottom w:val="single" w:sz="8" w:space="0" w:color="auto"/>
              <w:right w:val="single" w:sz="8" w:space="0" w:color="auto"/>
            </w:tcBorders>
            <w:vAlign w:val="center"/>
            <w:hideMark/>
          </w:tcPr>
          <w:p w14:paraId="563356C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Subsidios y Subvenciones</w:t>
            </w:r>
          </w:p>
        </w:tc>
        <w:tc>
          <w:tcPr>
            <w:tcW w:w="1275" w:type="dxa"/>
            <w:tcBorders>
              <w:top w:val="nil"/>
              <w:left w:val="nil"/>
              <w:bottom w:val="single" w:sz="8" w:space="0" w:color="auto"/>
              <w:right w:val="single" w:sz="8" w:space="0" w:color="auto"/>
            </w:tcBorders>
            <w:shd w:val="clear" w:color="000000" w:fill="FFFFFF"/>
            <w:noWrap/>
            <w:vAlign w:val="center"/>
            <w:hideMark/>
          </w:tcPr>
          <w:p w14:paraId="0A94087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C14F18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A839CE3"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2626BB9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7E38A387"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6563C60B"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3FB16E6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9.4</w:t>
            </w:r>
          </w:p>
        </w:tc>
        <w:tc>
          <w:tcPr>
            <w:tcW w:w="2681" w:type="dxa"/>
            <w:tcBorders>
              <w:top w:val="nil"/>
              <w:left w:val="nil"/>
              <w:bottom w:val="single" w:sz="8" w:space="0" w:color="auto"/>
              <w:right w:val="single" w:sz="8" w:space="0" w:color="auto"/>
            </w:tcBorders>
            <w:vAlign w:val="center"/>
            <w:hideMark/>
          </w:tcPr>
          <w:p w14:paraId="14E67B62"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Ayudas Sociales (Derogado)</w:t>
            </w:r>
          </w:p>
        </w:tc>
        <w:tc>
          <w:tcPr>
            <w:tcW w:w="1275" w:type="dxa"/>
            <w:tcBorders>
              <w:top w:val="nil"/>
              <w:left w:val="nil"/>
              <w:bottom w:val="single" w:sz="8" w:space="0" w:color="auto"/>
              <w:right w:val="single" w:sz="8" w:space="0" w:color="auto"/>
            </w:tcBorders>
            <w:shd w:val="clear" w:color="000000" w:fill="FFFFFF"/>
            <w:noWrap/>
            <w:vAlign w:val="center"/>
            <w:hideMark/>
          </w:tcPr>
          <w:p w14:paraId="69181705"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C38126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E26CF5C"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1EDE35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2BCCEA5"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DE66116"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6A276A52"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9.5</w:t>
            </w:r>
          </w:p>
        </w:tc>
        <w:tc>
          <w:tcPr>
            <w:tcW w:w="2681" w:type="dxa"/>
            <w:tcBorders>
              <w:top w:val="nil"/>
              <w:left w:val="nil"/>
              <w:bottom w:val="single" w:sz="8" w:space="0" w:color="auto"/>
              <w:right w:val="single" w:sz="8" w:space="0" w:color="auto"/>
            </w:tcBorders>
            <w:vAlign w:val="center"/>
            <w:hideMark/>
          </w:tcPr>
          <w:p w14:paraId="0526CA1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Pensiones y Jubilaciones</w:t>
            </w:r>
          </w:p>
        </w:tc>
        <w:tc>
          <w:tcPr>
            <w:tcW w:w="1275" w:type="dxa"/>
            <w:tcBorders>
              <w:top w:val="nil"/>
              <w:left w:val="nil"/>
              <w:bottom w:val="single" w:sz="8" w:space="0" w:color="auto"/>
              <w:right w:val="single" w:sz="8" w:space="0" w:color="auto"/>
            </w:tcBorders>
            <w:shd w:val="clear" w:color="000000" w:fill="FFFFFF"/>
            <w:noWrap/>
            <w:vAlign w:val="center"/>
            <w:hideMark/>
          </w:tcPr>
          <w:p w14:paraId="3C24C42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6986E609"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733D27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A1F02D8"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450D8857" w14:textId="77777777" w:rsidTr="004C1739">
        <w:trPr>
          <w:trHeight w:val="375"/>
        </w:trPr>
        <w:tc>
          <w:tcPr>
            <w:tcW w:w="219" w:type="dxa"/>
            <w:tcBorders>
              <w:top w:val="nil"/>
              <w:left w:val="single" w:sz="8" w:space="0" w:color="auto"/>
              <w:bottom w:val="single" w:sz="8" w:space="0" w:color="auto"/>
              <w:right w:val="single" w:sz="8" w:space="0" w:color="auto"/>
            </w:tcBorders>
            <w:vAlign w:val="center"/>
            <w:hideMark/>
          </w:tcPr>
          <w:p w14:paraId="10504FEF"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74173BF1"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9.6</w:t>
            </w:r>
          </w:p>
        </w:tc>
        <w:tc>
          <w:tcPr>
            <w:tcW w:w="2681" w:type="dxa"/>
            <w:tcBorders>
              <w:top w:val="nil"/>
              <w:left w:val="nil"/>
              <w:bottom w:val="single" w:sz="8" w:space="0" w:color="auto"/>
              <w:right w:val="single" w:sz="8" w:space="0" w:color="auto"/>
            </w:tcBorders>
            <w:vAlign w:val="center"/>
            <w:hideMark/>
          </w:tcPr>
          <w:p w14:paraId="3A638EA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Transferencias a Fideicomisos, Mandatos y Análogos (Derogado)</w:t>
            </w:r>
          </w:p>
        </w:tc>
        <w:tc>
          <w:tcPr>
            <w:tcW w:w="1275" w:type="dxa"/>
            <w:tcBorders>
              <w:top w:val="nil"/>
              <w:left w:val="nil"/>
              <w:bottom w:val="single" w:sz="8" w:space="0" w:color="auto"/>
              <w:right w:val="single" w:sz="8" w:space="0" w:color="auto"/>
            </w:tcBorders>
            <w:shd w:val="clear" w:color="000000" w:fill="FFFFFF"/>
            <w:noWrap/>
            <w:vAlign w:val="center"/>
            <w:hideMark/>
          </w:tcPr>
          <w:p w14:paraId="1863768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AC7E4AD"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9C987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F90E77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5D2F5ED7" w14:textId="77777777" w:rsidTr="004C1739">
        <w:trPr>
          <w:trHeight w:val="555"/>
        </w:trPr>
        <w:tc>
          <w:tcPr>
            <w:tcW w:w="219" w:type="dxa"/>
            <w:tcBorders>
              <w:top w:val="nil"/>
              <w:left w:val="single" w:sz="8" w:space="0" w:color="auto"/>
              <w:bottom w:val="single" w:sz="8" w:space="0" w:color="auto"/>
              <w:right w:val="single" w:sz="8" w:space="0" w:color="auto"/>
            </w:tcBorders>
            <w:vAlign w:val="center"/>
            <w:hideMark/>
          </w:tcPr>
          <w:p w14:paraId="33345AF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7A922B50"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9.7</w:t>
            </w:r>
          </w:p>
        </w:tc>
        <w:tc>
          <w:tcPr>
            <w:tcW w:w="2681" w:type="dxa"/>
            <w:tcBorders>
              <w:top w:val="nil"/>
              <w:left w:val="nil"/>
              <w:bottom w:val="single" w:sz="8" w:space="0" w:color="auto"/>
              <w:right w:val="single" w:sz="8" w:space="0" w:color="auto"/>
            </w:tcBorders>
            <w:vAlign w:val="center"/>
            <w:hideMark/>
          </w:tcPr>
          <w:p w14:paraId="549492B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Transferencias del Fondo Mexicano del Petróleo para la Estabilización y el Desarrollo</w:t>
            </w:r>
          </w:p>
        </w:tc>
        <w:tc>
          <w:tcPr>
            <w:tcW w:w="1275" w:type="dxa"/>
            <w:tcBorders>
              <w:top w:val="nil"/>
              <w:left w:val="nil"/>
              <w:bottom w:val="single" w:sz="8" w:space="0" w:color="auto"/>
              <w:right w:val="single" w:sz="8" w:space="0" w:color="auto"/>
            </w:tcBorders>
            <w:shd w:val="clear" w:color="000000" w:fill="FFFFFF"/>
            <w:noWrap/>
            <w:vAlign w:val="center"/>
            <w:hideMark/>
          </w:tcPr>
          <w:p w14:paraId="62CE9EC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BAEEA27"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0599F2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393C665A"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15561231"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7D563744"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w:t>
            </w:r>
          </w:p>
        </w:tc>
        <w:tc>
          <w:tcPr>
            <w:tcW w:w="351" w:type="dxa"/>
            <w:tcBorders>
              <w:top w:val="nil"/>
              <w:left w:val="nil"/>
              <w:bottom w:val="single" w:sz="8" w:space="0" w:color="auto"/>
              <w:right w:val="single" w:sz="8" w:space="0" w:color="auto"/>
            </w:tcBorders>
            <w:vAlign w:val="center"/>
            <w:hideMark/>
          </w:tcPr>
          <w:p w14:paraId="6F9331BF"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2681" w:type="dxa"/>
            <w:tcBorders>
              <w:top w:val="nil"/>
              <w:left w:val="nil"/>
              <w:bottom w:val="single" w:sz="8" w:space="0" w:color="auto"/>
              <w:right w:val="single" w:sz="8" w:space="0" w:color="auto"/>
            </w:tcBorders>
            <w:vAlign w:val="center"/>
            <w:hideMark/>
          </w:tcPr>
          <w:p w14:paraId="7CE86AF0"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Ingresos Derivados de Financiamientos.</w:t>
            </w:r>
          </w:p>
        </w:tc>
        <w:tc>
          <w:tcPr>
            <w:tcW w:w="1275" w:type="dxa"/>
            <w:tcBorders>
              <w:top w:val="nil"/>
              <w:left w:val="nil"/>
              <w:bottom w:val="single" w:sz="8" w:space="0" w:color="auto"/>
              <w:right w:val="single" w:sz="8" w:space="0" w:color="auto"/>
            </w:tcBorders>
            <w:shd w:val="clear" w:color="000000" w:fill="FFFFFF"/>
            <w:noWrap/>
            <w:vAlign w:val="center"/>
            <w:hideMark/>
          </w:tcPr>
          <w:p w14:paraId="7B5B7172"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7E1C10C8"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5BCB7ED"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03E8CEE6"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r>
      <w:tr w:rsidR="004C1739" w:rsidRPr="004C1739" w14:paraId="7728240C"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2204A3F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2712FD1E"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0.1</w:t>
            </w:r>
          </w:p>
        </w:tc>
        <w:tc>
          <w:tcPr>
            <w:tcW w:w="2681" w:type="dxa"/>
            <w:tcBorders>
              <w:top w:val="nil"/>
              <w:left w:val="nil"/>
              <w:bottom w:val="single" w:sz="8" w:space="0" w:color="auto"/>
              <w:right w:val="single" w:sz="8" w:space="0" w:color="auto"/>
            </w:tcBorders>
            <w:vAlign w:val="center"/>
            <w:hideMark/>
          </w:tcPr>
          <w:p w14:paraId="1E853F3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Endeudamiento Interno</w:t>
            </w:r>
          </w:p>
        </w:tc>
        <w:tc>
          <w:tcPr>
            <w:tcW w:w="1275" w:type="dxa"/>
            <w:tcBorders>
              <w:top w:val="nil"/>
              <w:left w:val="nil"/>
              <w:bottom w:val="single" w:sz="8" w:space="0" w:color="auto"/>
              <w:right w:val="single" w:sz="8" w:space="0" w:color="auto"/>
            </w:tcBorders>
            <w:shd w:val="clear" w:color="000000" w:fill="FFFFFF"/>
            <w:noWrap/>
            <w:vAlign w:val="center"/>
            <w:hideMark/>
          </w:tcPr>
          <w:p w14:paraId="78D605BA"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5A6A2FC"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4C78579"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5584A54"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3A439899"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59FBCEA7" w14:textId="77777777" w:rsidR="004C1739" w:rsidRPr="004C1739" w:rsidRDefault="004C1739" w:rsidP="004C1739">
            <w:pPr>
              <w:rPr>
                <w:color w:val="000000"/>
                <w:sz w:val="20"/>
                <w:szCs w:val="20"/>
                <w:lang w:eastAsia="es-MX"/>
              </w:rPr>
            </w:pPr>
            <w:r w:rsidRPr="004C1739">
              <w:rPr>
                <w:color w:val="000000"/>
                <w:sz w:val="20"/>
                <w:szCs w:val="20"/>
                <w:lang w:eastAsia="es-MX"/>
              </w:rPr>
              <w:t> </w:t>
            </w:r>
          </w:p>
        </w:tc>
        <w:tc>
          <w:tcPr>
            <w:tcW w:w="351" w:type="dxa"/>
            <w:tcBorders>
              <w:top w:val="nil"/>
              <w:left w:val="nil"/>
              <w:bottom w:val="single" w:sz="8" w:space="0" w:color="auto"/>
              <w:right w:val="single" w:sz="8" w:space="0" w:color="auto"/>
            </w:tcBorders>
            <w:vAlign w:val="center"/>
            <w:hideMark/>
          </w:tcPr>
          <w:p w14:paraId="2C33C4E5"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0.2</w:t>
            </w:r>
          </w:p>
        </w:tc>
        <w:tc>
          <w:tcPr>
            <w:tcW w:w="2681" w:type="dxa"/>
            <w:tcBorders>
              <w:top w:val="nil"/>
              <w:left w:val="nil"/>
              <w:bottom w:val="single" w:sz="8" w:space="0" w:color="auto"/>
              <w:right w:val="single" w:sz="8" w:space="0" w:color="auto"/>
            </w:tcBorders>
            <w:vAlign w:val="center"/>
            <w:hideMark/>
          </w:tcPr>
          <w:p w14:paraId="59155211"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Endeudamiento Externo</w:t>
            </w:r>
          </w:p>
        </w:tc>
        <w:tc>
          <w:tcPr>
            <w:tcW w:w="1275" w:type="dxa"/>
            <w:tcBorders>
              <w:top w:val="nil"/>
              <w:left w:val="nil"/>
              <w:bottom w:val="single" w:sz="8" w:space="0" w:color="auto"/>
              <w:right w:val="single" w:sz="8" w:space="0" w:color="auto"/>
            </w:tcBorders>
            <w:shd w:val="clear" w:color="000000" w:fill="FFFFFF"/>
            <w:noWrap/>
            <w:vAlign w:val="center"/>
            <w:hideMark/>
          </w:tcPr>
          <w:p w14:paraId="21FA3DF4"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18278313"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EDC23AE"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1E519165"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FE844A6" w14:textId="77777777" w:rsidTr="004C1739">
        <w:trPr>
          <w:trHeight w:val="315"/>
        </w:trPr>
        <w:tc>
          <w:tcPr>
            <w:tcW w:w="219" w:type="dxa"/>
            <w:tcBorders>
              <w:top w:val="nil"/>
              <w:left w:val="single" w:sz="8" w:space="0" w:color="auto"/>
              <w:bottom w:val="single" w:sz="8" w:space="0" w:color="auto"/>
              <w:right w:val="single" w:sz="8" w:space="0" w:color="auto"/>
            </w:tcBorders>
            <w:vAlign w:val="center"/>
            <w:hideMark/>
          </w:tcPr>
          <w:p w14:paraId="4E41F54E"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351" w:type="dxa"/>
            <w:tcBorders>
              <w:top w:val="nil"/>
              <w:left w:val="nil"/>
              <w:bottom w:val="single" w:sz="8" w:space="0" w:color="auto"/>
              <w:right w:val="single" w:sz="8" w:space="0" w:color="auto"/>
            </w:tcBorders>
            <w:vAlign w:val="center"/>
            <w:hideMark/>
          </w:tcPr>
          <w:p w14:paraId="536C955D" w14:textId="77777777" w:rsidR="004C1739" w:rsidRPr="004C1739" w:rsidRDefault="004C1739" w:rsidP="004C1739">
            <w:pPr>
              <w:jc w:val="center"/>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0.3</w:t>
            </w:r>
          </w:p>
        </w:tc>
        <w:tc>
          <w:tcPr>
            <w:tcW w:w="2681" w:type="dxa"/>
            <w:tcBorders>
              <w:top w:val="nil"/>
              <w:left w:val="nil"/>
              <w:bottom w:val="single" w:sz="8" w:space="0" w:color="auto"/>
              <w:right w:val="single" w:sz="8" w:space="0" w:color="auto"/>
            </w:tcBorders>
            <w:vAlign w:val="center"/>
            <w:hideMark/>
          </w:tcPr>
          <w:p w14:paraId="07AAFD6F" w14:textId="77777777" w:rsidR="004C1739" w:rsidRPr="004C1739" w:rsidRDefault="004C1739" w:rsidP="004C1739">
            <w:pPr>
              <w:jc w:val="both"/>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Financiamiento Interno</w:t>
            </w:r>
          </w:p>
        </w:tc>
        <w:tc>
          <w:tcPr>
            <w:tcW w:w="1275" w:type="dxa"/>
            <w:tcBorders>
              <w:top w:val="nil"/>
              <w:left w:val="nil"/>
              <w:bottom w:val="single" w:sz="8" w:space="0" w:color="auto"/>
              <w:right w:val="single" w:sz="8" w:space="0" w:color="auto"/>
            </w:tcBorders>
            <w:shd w:val="clear" w:color="000000" w:fill="FFFFFF"/>
            <w:noWrap/>
            <w:vAlign w:val="center"/>
            <w:hideMark/>
          </w:tcPr>
          <w:p w14:paraId="45C94D56"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6A8B70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2183739F"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0.00</w:t>
            </w:r>
          </w:p>
        </w:tc>
        <w:tc>
          <w:tcPr>
            <w:tcW w:w="1276" w:type="dxa"/>
            <w:tcBorders>
              <w:top w:val="nil"/>
              <w:left w:val="nil"/>
              <w:bottom w:val="single" w:sz="8" w:space="0" w:color="auto"/>
              <w:right w:val="single" w:sz="8" w:space="0" w:color="auto"/>
            </w:tcBorders>
            <w:shd w:val="clear" w:color="000000" w:fill="FFFFFF"/>
            <w:noWrap/>
            <w:vAlign w:val="center"/>
            <w:hideMark/>
          </w:tcPr>
          <w:p w14:paraId="4AF764F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r>
      <w:tr w:rsidR="004C1739" w:rsidRPr="004C1739" w14:paraId="0C6C171D" w14:textId="77777777" w:rsidTr="004C1739">
        <w:trPr>
          <w:trHeight w:val="315"/>
        </w:trPr>
        <w:tc>
          <w:tcPr>
            <w:tcW w:w="3251" w:type="dxa"/>
            <w:gridSpan w:val="3"/>
            <w:tcBorders>
              <w:top w:val="single" w:sz="8" w:space="0" w:color="auto"/>
              <w:left w:val="single" w:sz="8" w:space="0" w:color="auto"/>
              <w:bottom w:val="single" w:sz="8" w:space="0" w:color="auto"/>
              <w:right w:val="single" w:sz="8" w:space="0" w:color="000000"/>
            </w:tcBorders>
            <w:noWrap/>
            <w:vAlign w:val="center"/>
            <w:hideMark/>
          </w:tcPr>
          <w:p w14:paraId="5C9E58A3" w14:textId="77777777" w:rsidR="004C1739" w:rsidRPr="004C1739" w:rsidRDefault="004C1739" w:rsidP="004C1739">
            <w:pPr>
              <w:jc w:val="center"/>
              <w:rPr>
                <w:rFonts w:ascii="Calibri Light" w:hAnsi="Calibri Light" w:cs="Calibri Light"/>
                <w:b/>
                <w:bCs/>
                <w:color w:val="000000"/>
                <w:sz w:val="16"/>
                <w:szCs w:val="16"/>
                <w:lang w:eastAsia="es-MX"/>
              </w:rPr>
            </w:pPr>
            <w:proofErr w:type="gramStart"/>
            <w:r w:rsidRPr="004C1739">
              <w:rPr>
                <w:rFonts w:ascii="Calibri Light" w:hAnsi="Calibri Light" w:cs="Calibri Light"/>
                <w:b/>
                <w:bCs/>
                <w:color w:val="000000"/>
                <w:sz w:val="16"/>
                <w:szCs w:val="16"/>
                <w:lang w:eastAsia="es-MX"/>
              </w:rPr>
              <w:lastRenderedPageBreak/>
              <w:t>Total</w:t>
            </w:r>
            <w:proofErr w:type="gramEnd"/>
            <w:r w:rsidRPr="004C1739">
              <w:rPr>
                <w:rFonts w:ascii="Calibri Light" w:hAnsi="Calibri Light" w:cs="Calibri Light"/>
                <w:b/>
                <w:bCs/>
                <w:color w:val="000000"/>
                <w:sz w:val="16"/>
                <w:szCs w:val="16"/>
                <w:lang w:eastAsia="es-MX"/>
              </w:rPr>
              <w:t xml:space="preserve"> Ley de Ingresos</w:t>
            </w:r>
          </w:p>
        </w:tc>
        <w:tc>
          <w:tcPr>
            <w:tcW w:w="1275" w:type="dxa"/>
            <w:tcBorders>
              <w:top w:val="nil"/>
              <w:left w:val="nil"/>
              <w:bottom w:val="single" w:sz="8" w:space="0" w:color="auto"/>
              <w:right w:val="single" w:sz="8" w:space="0" w:color="auto"/>
            </w:tcBorders>
            <w:shd w:val="clear" w:color="000000" w:fill="FFFFFF"/>
            <w:noWrap/>
            <w:vAlign w:val="center"/>
            <w:hideMark/>
          </w:tcPr>
          <w:p w14:paraId="41BB583B"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4B34A24E" w14:textId="77777777" w:rsidR="004C1739" w:rsidRPr="004C1739" w:rsidRDefault="004C1739" w:rsidP="004C1739">
            <w:pPr>
              <w:jc w:val="right"/>
              <w:rPr>
                <w:rFonts w:ascii="Calibri Light" w:hAnsi="Calibri Light" w:cs="Calibri Light"/>
                <w:color w:val="000000"/>
                <w:sz w:val="14"/>
                <w:szCs w:val="14"/>
                <w:lang w:eastAsia="es-MX"/>
              </w:rPr>
            </w:pPr>
            <w:r w:rsidRPr="004C1739">
              <w:rPr>
                <w:rFonts w:ascii="Calibri Light" w:hAnsi="Calibri Light" w:cs="Calibri Light"/>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3D436021" w14:textId="77777777" w:rsidR="004C1739" w:rsidRPr="004C1739" w:rsidRDefault="004C1739" w:rsidP="004C1739">
            <w:pPr>
              <w:jc w:val="right"/>
              <w:rPr>
                <w:rFonts w:ascii="Calibri Light" w:hAnsi="Calibri Light" w:cs="Calibri Light"/>
                <w:b/>
                <w:bCs/>
                <w:color w:val="000000"/>
                <w:sz w:val="14"/>
                <w:szCs w:val="14"/>
                <w:lang w:eastAsia="es-MX"/>
              </w:rPr>
            </w:pPr>
            <w:r w:rsidRPr="004C1739">
              <w:rPr>
                <w:rFonts w:ascii="Calibri Light" w:hAnsi="Calibri Light" w:cs="Calibri Light"/>
                <w:b/>
                <w:bCs/>
                <w:color w:val="000000"/>
                <w:sz w:val="14"/>
                <w:szCs w:val="14"/>
                <w:lang w:eastAsia="es-MX"/>
              </w:rPr>
              <w:t> </w:t>
            </w:r>
          </w:p>
        </w:tc>
        <w:tc>
          <w:tcPr>
            <w:tcW w:w="1276" w:type="dxa"/>
            <w:tcBorders>
              <w:top w:val="nil"/>
              <w:left w:val="nil"/>
              <w:bottom w:val="single" w:sz="8" w:space="0" w:color="auto"/>
              <w:right w:val="single" w:sz="8" w:space="0" w:color="auto"/>
            </w:tcBorders>
            <w:shd w:val="clear" w:color="000000" w:fill="FFFFFF"/>
            <w:noWrap/>
            <w:vAlign w:val="center"/>
            <w:hideMark/>
          </w:tcPr>
          <w:p w14:paraId="5CCBAB00" w14:textId="38855526" w:rsidR="004C1739" w:rsidRPr="004C1739" w:rsidRDefault="00C94FAF" w:rsidP="004C1739">
            <w:pPr>
              <w:jc w:val="right"/>
              <w:rPr>
                <w:rFonts w:ascii="Calibri Light" w:hAnsi="Calibri Light" w:cs="Calibri Light"/>
                <w:b/>
                <w:bCs/>
                <w:color w:val="000000"/>
                <w:sz w:val="14"/>
                <w:szCs w:val="14"/>
                <w:lang w:eastAsia="es-MX"/>
              </w:rPr>
            </w:pPr>
            <w:r>
              <w:rPr>
                <w:rFonts w:ascii="Calibri Light" w:hAnsi="Calibri Light" w:cs="Calibri Light"/>
                <w:b/>
                <w:bCs/>
                <w:color w:val="000000"/>
                <w:sz w:val="14"/>
                <w:szCs w:val="14"/>
                <w:lang w:eastAsia="es-MX"/>
              </w:rPr>
              <w:t>30</w:t>
            </w:r>
            <w:r w:rsidR="004C1739" w:rsidRPr="004C1739">
              <w:rPr>
                <w:rFonts w:ascii="Calibri Light" w:hAnsi="Calibri Light" w:cs="Calibri Light"/>
                <w:b/>
                <w:bCs/>
                <w:color w:val="000000"/>
                <w:sz w:val="14"/>
                <w:szCs w:val="14"/>
                <w:lang w:eastAsia="es-MX"/>
              </w:rPr>
              <w:t>,</w:t>
            </w:r>
            <w:r>
              <w:rPr>
                <w:rFonts w:ascii="Calibri Light" w:hAnsi="Calibri Light" w:cs="Calibri Light"/>
                <w:b/>
                <w:bCs/>
                <w:color w:val="000000"/>
                <w:sz w:val="14"/>
                <w:szCs w:val="14"/>
                <w:lang w:eastAsia="es-MX"/>
              </w:rPr>
              <w:t>0</w:t>
            </w:r>
            <w:r w:rsidR="004C1739" w:rsidRPr="004C1739">
              <w:rPr>
                <w:rFonts w:ascii="Calibri Light" w:hAnsi="Calibri Light" w:cs="Calibri Light"/>
                <w:b/>
                <w:bCs/>
                <w:color w:val="000000"/>
                <w:sz w:val="14"/>
                <w:szCs w:val="14"/>
                <w:lang w:eastAsia="es-MX"/>
              </w:rPr>
              <w:t>86,079,0</w:t>
            </w:r>
            <w:r>
              <w:rPr>
                <w:rFonts w:ascii="Calibri Light" w:hAnsi="Calibri Light" w:cs="Calibri Light"/>
                <w:b/>
                <w:bCs/>
                <w:color w:val="000000"/>
                <w:sz w:val="14"/>
                <w:szCs w:val="14"/>
                <w:lang w:eastAsia="es-MX"/>
              </w:rPr>
              <w:t>2</w:t>
            </w:r>
            <w:r w:rsidR="004C1739" w:rsidRPr="004C1739">
              <w:rPr>
                <w:rFonts w:ascii="Calibri Light" w:hAnsi="Calibri Light" w:cs="Calibri Light"/>
                <w:b/>
                <w:bCs/>
                <w:color w:val="000000"/>
                <w:sz w:val="14"/>
                <w:szCs w:val="14"/>
                <w:lang w:eastAsia="es-MX"/>
              </w:rPr>
              <w:t>8.00</w:t>
            </w:r>
          </w:p>
        </w:tc>
      </w:tr>
    </w:tbl>
    <w:p w14:paraId="0F000DCF" w14:textId="77777777" w:rsidR="004C1739" w:rsidRDefault="004C1739" w:rsidP="00CD1674">
      <w:pPr>
        <w:spacing w:line="360" w:lineRule="auto"/>
        <w:jc w:val="both"/>
        <w:rPr>
          <w:bCs/>
          <w:sz w:val="20"/>
          <w:szCs w:val="20"/>
          <w:lang w:val="es-ES"/>
        </w:rPr>
      </w:pPr>
    </w:p>
    <w:p w14:paraId="6F6E32A2" w14:textId="1AC4B697" w:rsidR="00CD1674" w:rsidRPr="00A27D68" w:rsidRDefault="00CD1674" w:rsidP="00CD1674">
      <w:pPr>
        <w:spacing w:line="360" w:lineRule="auto"/>
        <w:jc w:val="both"/>
        <w:rPr>
          <w:sz w:val="20"/>
          <w:szCs w:val="20"/>
          <w:lang w:val="es-ES"/>
        </w:rPr>
      </w:pPr>
      <w:r w:rsidRPr="00A27D68">
        <w:rPr>
          <w:sz w:val="20"/>
          <w:szCs w:val="20"/>
          <w:lang w:val="es-ES"/>
        </w:rPr>
        <w:t>Los ingresos adicionales que perciba el Estado en el ejercicio fiscal 202</w:t>
      </w:r>
      <w:r w:rsidR="00B70DA4">
        <w:rPr>
          <w:sz w:val="20"/>
          <w:szCs w:val="20"/>
          <w:lang w:val="es-ES"/>
        </w:rPr>
        <w:t>6</w:t>
      </w:r>
      <w:r w:rsidRPr="00A27D68">
        <w:rPr>
          <w:sz w:val="20"/>
          <w:szCs w:val="20"/>
          <w:lang w:val="es-ES"/>
        </w:rPr>
        <w:t xml:space="preserve">, por concepto de mayor recaudación proveniente de fuentes locales, participaciones e incentivos económicos, fondos de aportaciones federales, ingresos por convenios suscritos con el Gobierno Federal e ingresos extraordinarios, se incorporarán de manera automática a esta Ley. </w:t>
      </w:r>
    </w:p>
    <w:p w14:paraId="71995EEB" w14:textId="77777777" w:rsidR="00CD1674" w:rsidRPr="00A27D68" w:rsidRDefault="00CD1674" w:rsidP="00CD1674">
      <w:pPr>
        <w:spacing w:line="360" w:lineRule="auto"/>
        <w:jc w:val="both"/>
        <w:rPr>
          <w:sz w:val="20"/>
          <w:szCs w:val="20"/>
          <w:lang w:val="es-ES"/>
        </w:rPr>
      </w:pPr>
    </w:p>
    <w:p w14:paraId="23DB5722" w14:textId="77777777" w:rsidR="00CD1674" w:rsidRPr="00A27D68" w:rsidRDefault="00CD1674" w:rsidP="00CD1674">
      <w:pPr>
        <w:spacing w:line="360" w:lineRule="auto"/>
        <w:jc w:val="both"/>
        <w:rPr>
          <w:bCs/>
          <w:sz w:val="20"/>
          <w:szCs w:val="20"/>
          <w:lang w:val="es-ES"/>
        </w:rPr>
      </w:pPr>
      <w:r w:rsidRPr="00A27D68">
        <w:rPr>
          <w:b/>
          <w:bCs/>
          <w:sz w:val="20"/>
          <w:szCs w:val="20"/>
          <w:lang w:val="es-ES"/>
        </w:rPr>
        <w:t>ARTÍCULO 3.</w:t>
      </w:r>
      <w:r w:rsidRPr="008D5C06">
        <w:rPr>
          <w:rFonts w:ascii="Arial" w:hAnsi="Arial" w:cs="Arial"/>
          <w:bCs/>
        </w:rPr>
        <w:t xml:space="preserve"> </w:t>
      </w:r>
      <w:r w:rsidRPr="00A27D68">
        <w:rPr>
          <w:bCs/>
          <w:sz w:val="20"/>
          <w:szCs w:val="20"/>
          <w:lang w:val="es-ES"/>
        </w:rPr>
        <w:t>De conformidad con lo establecido en el artículo 14 de la Ley de Disciplina Financiera de las Entidades Federativas y los Municipios y 299 del Código Financiero para el Estado de Tlaxcala y sus Municipios, los ingresos excedentes derivados de ingresos de libre disposición que perciba el Estado y los Poderes respectivamente, deberán ser destinados a los conceptos siguientes:</w:t>
      </w:r>
    </w:p>
    <w:p w14:paraId="30AA6D46" w14:textId="77777777" w:rsidR="00CD1674" w:rsidRPr="00A27D68" w:rsidRDefault="00CD1674" w:rsidP="00CD1674">
      <w:pPr>
        <w:spacing w:line="360" w:lineRule="auto"/>
        <w:jc w:val="both"/>
        <w:rPr>
          <w:bCs/>
          <w:sz w:val="20"/>
          <w:szCs w:val="20"/>
          <w:lang w:val="es-ES"/>
        </w:rPr>
      </w:pPr>
    </w:p>
    <w:p w14:paraId="152ED992" w14:textId="77777777" w:rsidR="00CD1674" w:rsidRPr="00A27D68" w:rsidRDefault="00CD1674" w:rsidP="00573DC4">
      <w:pPr>
        <w:spacing w:line="360" w:lineRule="auto"/>
        <w:jc w:val="both"/>
        <w:rPr>
          <w:bCs/>
          <w:sz w:val="20"/>
          <w:szCs w:val="20"/>
          <w:lang w:val="es-ES"/>
        </w:rPr>
      </w:pPr>
      <w:r w:rsidRPr="009E6843">
        <w:rPr>
          <w:bCs/>
          <w:sz w:val="20"/>
          <w:szCs w:val="20"/>
        </w:rPr>
        <w:t>I.</w:t>
      </w:r>
      <w:r w:rsidRPr="008D5C06">
        <w:rPr>
          <w:rFonts w:ascii="Arial" w:hAnsi="Arial" w:cs="Arial"/>
          <w:bCs/>
        </w:rPr>
        <w:t xml:space="preserve"> </w:t>
      </w:r>
      <w:r w:rsidRPr="008D5C06">
        <w:rPr>
          <w:rFonts w:ascii="Arial" w:hAnsi="Arial" w:cs="Arial"/>
          <w:bCs/>
        </w:rPr>
        <w:tab/>
      </w:r>
      <w:r w:rsidRPr="00A27D68">
        <w:rPr>
          <w:bCs/>
          <w:sz w:val="20"/>
          <w:szCs w:val="20"/>
          <w:lang w:val="es-ES"/>
        </w:rPr>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Fondo para Desastres Naturales y de Pensiones, conforme a lo siguiente:</w:t>
      </w:r>
    </w:p>
    <w:p w14:paraId="415D5FED" w14:textId="77777777" w:rsidR="00CD1674" w:rsidRPr="009E6843" w:rsidRDefault="00CD1674" w:rsidP="00CD1674">
      <w:pPr>
        <w:spacing w:line="360" w:lineRule="auto"/>
        <w:jc w:val="both"/>
        <w:rPr>
          <w:bCs/>
          <w:sz w:val="20"/>
          <w:szCs w:val="20"/>
        </w:rPr>
      </w:pPr>
    </w:p>
    <w:p w14:paraId="3635CF2E"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a) </w:t>
      </w:r>
      <w:r w:rsidRPr="00573DC4">
        <w:rPr>
          <w:bCs/>
          <w:sz w:val="20"/>
          <w:szCs w:val="20"/>
          <w:lang w:val="es-ES"/>
        </w:rPr>
        <w:tab/>
        <w:t>Cuando la Entidad se clasifique en un nivel de endeudamiento elevado, de acuerdo al Sistema de Alertas, cuando menos el 50 por ciento;</w:t>
      </w:r>
    </w:p>
    <w:p w14:paraId="4959E782" w14:textId="77777777" w:rsidR="00CD1674" w:rsidRPr="009E6843" w:rsidRDefault="00CD1674" w:rsidP="009E6843">
      <w:pPr>
        <w:spacing w:line="360" w:lineRule="auto"/>
        <w:jc w:val="both"/>
        <w:rPr>
          <w:bCs/>
          <w:sz w:val="20"/>
          <w:szCs w:val="20"/>
        </w:rPr>
      </w:pPr>
    </w:p>
    <w:p w14:paraId="1913513A"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b) </w:t>
      </w:r>
      <w:r w:rsidRPr="00573DC4">
        <w:rPr>
          <w:bCs/>
          <w:sz w:val="20"/>
          <w:szCs w:val="20"/>
          <w:lang w:val="es-ES"/>
        </w:rPr>
        <w:tab/>
        <w:t>Cuando la Entidad se clasifique en un nivel de endeudamiento en observación, de acuerdo al Sistema de Alertas, cuando menos el 30 por ciento, y</w:t>
      </w:r>
    </w:p>
    <w:p w14:paraId="151FE03C" w14:textId="77777777" w:rsidR="00CD1674" w:rsidRPr="009E6843" w:rsidRDefault="00CD1674" w:rsidP="00CD1674">
      <w:pPr>
        <w:spacing w:line="360" w:lineRule="auto"/>
        <w:jc w:val="both"/>
        <w:rPr>
          <w:bCs/>
          <w:sz w:val="20"/>
          <w:szCs w:val="20"/>
        </w:rPr>
      </w:pPr>
    </w:p>
    <w:p w14:paraId="02EA2030" w14:textId="77777777" w:rsidR="00CD1674" w:rsidRPr="008D5C06" w:rsidRDefault="00CD1674" w:rsidP="00CD1674">
      <w:pPr>
        <w:spacing w:line="360" w:lineRule="auto"/>
        <w:ind w:left="426" w:hanging="426"/>
        <w:jc w:val="both"/>
        <w:rPr>
          <w:rFonts w:ascii="Arial" w:hAnsi="Arial" w:cs="Arial"/>
          <w:bCs/>
        </w:rPr>
      </w:pPr>
      <w:r w:rsidRPr="009E6843">
        <w:rPr>
          <w:bCs/>
          <w:sz w:val="20"/>
          <w:szCs w:val="20"/>
        </w:rPr>
        <w:lastRenderedPageBreak/>
        <w:t>II.</w:t>
      </w:r>
      <w:r w:rsidRPr="008D5C06">
        <w:rPr>
          <w:rFonts w:ascii="Arial" w:hAnsi="Arial" w:cs="Arial"/>
          <w:bCs/>
        </w:rPr>
        <w:t xml:space="preserve"> </w:t>
      </w:r>
      <w:r w:rsidRPr="008D5C06">
        <w:rPr>
          <w:rFonts w:ascii="Arial" w:hAnsi="Arial" w:cs="Arial"/>
          <w:bCs/>
        </w:rPr>
        <w:tab/>
      </w:r>
      <w:r w:rsidRPr="00573DC4">
        <w:rPr>
          <w:bCs/>
          <w:sz w:val="20"/>
          <w:szCs w:val="20"/>
          <w:lang w:val="es-ES"/>
        </w:rPr>
        <w:t>En su caso, el remanente para:</w:t>
      </w:r>
    </w:p>
    <w:p w14:paraId="6AE1825D" w14:textId="77777777" w:rsidR="00CD1674" w:rsidRPr="009E6843" w:rsidRDefault="00CD1674" w:rsidP="00CD1674">
      <w:pPr>
        <w:spacing w:line="360" w:lineRule="auto"/>
        <w:jc w:val="both"/>
        <w:rPr>
          <w:bCs/>
          <w:sz w:val="20"/>
          <w:szCs w:val="20"/>
        </w:rPr>
      </w:pPr>
    </w:p>
    <w:p w14:paraId="68531B14"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a) </w:t>
      </w:r>
      <w:r w:rsidRPr="00573DC4">
        <w:rPr>
          <w:bCs/>
          <w:sz w:val="20"/>
          <w:szCs w:val="20"/>
          <w:lang w:val="es-ES"/>
        </w:rPr>
        <w:tab/>
        <w:t>El Fondo de Inversión pública productiva; para tal efecto, los recursos correspondientes se deberán ejercer a más tardar en el ejercicio inmediato siguiente, y</w:t>
      </w:r>
    </w:p>
    <w:p w14:paraId="5742B165" w14:textId="77777777" w:rsidR="00CD1674" w:rsidRPr="009E6843" w:rsidRDefault="00CD1674" w:rsidP="009E6843">
      <w:pPr>
        <w:spacing w:line="360" w:lineRule="auto"/>
        <w:jc w:val="both"/>
        <w:rPr>
          <w:bCs/>
          <w:sz w:val="20"/>
          <w:szCs w:val="20"/>
        </w:rPr>
      </w:pPr>
    </w:p>
    <w:p w14:paraId="349C5572"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b) </w:t>
      </w:r>
      <w:r w:rsidRPr="00573DC4">
        <w:rPr>
          <w:bCs/>
          <w:sz w:val="20"/>
          <w:szCs w:val="20"/>
          <w:lang w:val="es-ES"/>
        </w:rPr>
        <w:tab/>
        <w:t>El Fondo para compensar la caída de ingresos de libre disposición de ejercicios subsecuentes.</w:t>
      </w:r>
    </w:p>
    <w:p w14:paraId="379F3D6B" w14:textId="77777777" w:rsidR="00573DC4" w:rsidRPr="009E6843" w:rsidRDefault="00573DC4" w:rsidP="00CD1674">
      <w:pPr>
        <w:spacing w:line="360" w:lineRule="auto"/>
        <w:jc w:val="both"/>
        <w:rPr>
          <w:bCs/>
          <w:sz w:val="20"/>
          <w:szCs w:val="20"/>
        </w:rPr>
      </w:pPr>
    </w:p>
    <w:p w14:paraId="09077546" w14:textId="352A6CDD" w:rsidR="00CD1674" w:rsidRPr="00573DC4" w:rsidRDefault="00CD1674" w:rsidP="00CD1674">
      <w:pPr>
        <w:spacing w:line="360" w:lineRule="auto"/>
        <w:jc w:val="both"/>
        <w:rPr>
          <w:sz w:val="20"/>
          <w:szCs w:val="20"/>
          <w:lang w:val="es-ES"/>
        </w:rPr>
      </w:pPr>
      <w:r w:rsidRPr="00573DC4">
        <w:rPr>
          <w:sz w:val="20"/>
          <w:szCs w:val="20"/>
          <w:lang w:val="es-ES"/>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7E2ABB7E" w14:textId="77777777" w:rsidR="00CD1674" w:rsidRPr="009E6843" w:rsidRDefault="00CD1674" w:rsidP="00CD1674">
      <w:pPr>
        <w:spacing w:line="360" w:lineRule="auto"/>
        <w:jc w:val="both"/>
        <w:rPr>
          <w:bCs/>
          <w:sz w:val="20"/>
          <w:szCs w:val="20"/>
        </w:rPr>
      </w:pPr>
    </w:p>
    <w:p w14:paraId="4867D266" w14:textId="77777777" w:rsidR="00CD1674" w:rsidRPr="00573DC4" w:rsidRDefault="00CD1674" w:rsidP="00CD1674">
      <w:pPr>
        <w:spacing w:line="360" w:lineRule="auto"/>
        <w:jc w:val="both"/>
        <w:rPr>
          <w:sz w:val="20"/>
          <w:szCs w:val="20"/>
          <w:lang w:val="es-ES"/>
        </w:rPr>
      </w:pPr>
      <w:r w:rsidRPr="00573DC4">
        <w:rPr>
          <w:sz w:val="20"/>
          <w:szCs w:val="20"/>
          <w:lang w:val="es-ES"/>
        </w:rPr>
        <w:t>Cuando la Entidad Federativa se clasifique en un nivel de endeudamiento sostenible de acuerdo al Sistema de Alertas, podrá utilizar hasta un 5 por ciento de los recursos a los que se refiere el presente artículo para cubrir Gasto corriente.</w:t>
      </w:r>
    </w:p>
    <w:p w14:paraId="51FF762F" w14:textId="77777777" w:rsidR="00CD1674" w:rsidRPr="009E6843" w:rsidRDefault="00CD1674" w:rsidP="00CD1674">
      <w:pPr>
        <w:spacing w:line="360" w:lineRule="auto"/>
        <w:jc w:val="both"/>
        <w:rPr>
          <w:bCs/>
          <w:sz w:val="20"/>
          <w:szCs w:val="20"/>
        </w:rPr>
      </w:pPr>
    </w:p>
    <w:p w14:paraId="5065CED3" w14:textId="77777777" w:rsidR="00CD1674" w:rsidRPr="00573DC4" w:rsidRDefault="00CD1674" w:rsidP="00CD1674">
      <w:pPr>
        <w:spacing w:line="360" w:lineRule="auto"/>
        <w:jc w:val="both"/>
        <w:rPr>
          <w:sz w:val="20"/>
          <w:szCs w:val="20"/>
          <w:lang w:val="es-ES"/>
        </w:rPr>
      </w:pPr>
      <w:r w:rsidRPr="00573DC4">
        <w:rPr>
          <w:sz w:val="20"/>
          <w:szCs w:val="20"/>
          <w:lang w:val="es-ES"/>
        </w:rPr>
        <w:t>Tratándose de Ingresos de libre disposición que se encuentren destinados a un fin específico en términos de las disposiciones legales, no resultarán aplicables las disposiciones establecidas en el presente artículo.</w:t>
      </w:r>
    </w:p>
    <w:p w14:paraId="6CBC681D" w14:textId="77777777" w:rsidR="00CD1674" w:rsidRPr="009E6843" w:rsidRDefault="00CD1674" w:rsidP="00CD1674">
      <w:pPr>
        <w:spacing w:line="360" w:lineRule="auto"/>
        <w:jc w:val="both"/>
        <w:rPr>
          <w:bCs/>
          <w:sz w:val="20"/>
          <w:szCs w:val="20"/>
        </w:rPr>
      </w:pPr>
    </w:p>
    <w:p w14:paraId="12F31D38" w14:textId="77777777" w:rsidR="00CD1674" w:rsidRPr="00573DC4" w:rsidRDefault="00CD1674" w:rsidP="00CD1674">
      <w:pPr>
        <w:spacing w:line="360" w:lineRule="auto"/>
        <w:jc w:val="both"/>
        <w:rPr>
          <w:sz w:val="20"/>
          <w:szCs w:val="20"/>
          <w:lang w:val="es-ES"/>
        </w:rPr>
      </w:pPr>
      <w:r w:rsidRPr="00573DC4">
        <w:rPr>
          <w:b/>
          <w:bCs/>
          <w:sz w:val="20"/>
          <w:szCs w:val="20"/>
          <w:lang w:val="es-ES"/>
        </w:rPr>
        <w:t>ARTÍCULO 4.</w:t>
      </w:r>
      <w:r w:rsidRPr="008D5C06">
        <w:rPr>
          <w:rFonts w:ascii="Arial" w:hAnsi="Arial" w:cs="Arial"/>
          <w:b/>
          <w:bCs/>
        </w:rPr>
        <w:t xml:space="preserve"> </w:t>
      </w:r>
      <w:r w:rsidRPr="00573DC4">
        <w:rPr>
          <w:sz w:val="20"/>
          <w:szCs w:val="20"/>
          <w:lang w:val="es-ES"/>
        </w:rPr>
        <w:t>Los ingresos provenientes de participaciones e incentivos económicos, convenios, fondos de aportaciones federales, así como de otras transferencias federales que le correspondan al Estado, se percibirán de conformidad con los ordenamientos legales que los establezcan y los convenios que en su caso se celebren.</w:t>
      </w:r>
    </w:p>
    <w:p w14:paraId="13B4AA6A" w14:textId="77777777" w:rsidR="00CD1674" w:rsidRPr="009E6843" w:rsidRDefault="00CD1674" w:rsidP="00CD1674">
      <w:pPr>
        <w:spacing w:line="360" w:lineRule="auto"/>
        <w:jc w:val="both"/>
        <w:rPr>
          <w:bCs/>
          <w:sz w:val="20"/>
          <w:szCs w:val="20"/>
        </w:rPr>
      </w:pPr>
    </w:p>
    <w:p w14:paraId="14FA5969" w14:textId="77777777" w:rsidR="00CD1674" w:rsidRPr="00573DC4" w:rsidRDefault="00CD1674" w:rsidP="00CD1674">
      <w:pPr>
        <w:spacing w:line="360" w:lineRule="auto"/>
        <w:jc w:val="both"/>
        <w:rPr>
          <w:sz w:val="20"/>
          <w:szCs w:val="20"/>
          <w:lang w:val="es-ES"/>
        </w:rPr>
      </w:pPr>
      <w:r w:rsidRPr="00573DC4">
        <w:rPr>
          <w:b/>
          <w:bCs/>
          <w:sz w:val="20"/>
          <w:szCs w:val="20"/>
          <w:lang w:val="es-ES"/>
        </w:rPr>
        <w:lastRenderedPageBreak/>
        <w:t>ARTÍCULO 5.</w:t>
      </w:r>
      <w:r w:rsidRPr="008D5C06">
        <w:rPr>
          <w:rFonts w:ascii="Arial" w:hAnsi="Arial" w:cs="Arial"/>
          <w:bCs/>
        </w:rPr>
        <w:t xml:space="preserve"> </w:t>
      </w:r>
      <w:r w:rsidRPr="00573DC4">
        <w:rPr>
          <w:sz w:val="20"/>
          <w:szCs w:val="20"/>
          <w:lang w:val="es-ES"/>
        </w:rPr>
        <w:t>Las contribuciones establecidas en esta Ley podrán modificarse e incorporarse de manera automática, cuando el Ejecutivo del Estado así lo convenga con el Gobierno Federal, en el marco del Sistema Nacional de Coordinación Fiscal o derivado del otorgamiento de facultades que las disposiciones legales federales establezcan, con el propósito de que el Estado obtenga mayores participaciones, aportaciones u otros ingresos de origen federal.</w:t>
      </w:r>
    </w:p>
    <w:p w14:paraId="6344CDC2" w14:textId="77777777" w:rsidR="00CD1674" w:rsidRPr="009E6843" w:rsidRDefault="00CD1674" w:rsidP="00CD1674">
      <w:pPr>
        <w:spacing w:line="360" w:lineRule="auto"/>
        <w:jc w:val="both"/>
        <w:rPr>
          <w:bCs/>
          <w:sz w:val="20"/>
          <w:szCs w:val="20"/>
        </w:rPr>
      </w:pPr>
    </w:p>
    <w:p w14:paraId="619689A7" w14:textId="147725F0" w:rsidR="00CD1674" w:rsidRPr="00573DC4" w:rsidRDefault="00CD1674" w:rsidP="00CD1674">
      <w:pPr>
        <w:spacing w:line="360" w:lineRule="auto"/>
        <w:jc w:val="both"/>
        <w:rPr>
          <w:sz w:val="20"/>
          <w:szCs w:val="20"/>
          <w:lang w:val="es-ES"/>
        </w:rPr>
      </w:pPr>
      <w:r w:rsidRPr="00573DC4">
        <w:rPr>
          <w:b/>
          <w:bCs/>
          <w:sz w:val="20"/>
          <w:szCs w:val="20"/>
          <w:lang w:val="es-ES"/>
        </w:rPr>
        <w:t>ARTÍCULO 6.</w:t>
      </w:r>
      <w:r w:rsidRPr="008D5C06">
        <w:rPr>
          <w:rFonts w:ascii="Arial" w:hAnsi="Arial" w:cs="Arial"/>
        </w:rPr>
        <w:t xml:space="preserve"> </w:t>
      </w:r>
      <w:r w:rsidRPr="00573DC4">
        <w:rPr>
          <w:sz w:val="20"/>
          <w:szCs w:val="20"/>
          <w:lang w:val="es-ES"/>
        </w:rPr>
        <w:t>Todos los ingresos que tenga derecho a percibir el Estado, aun cuando se les denomine como cuotas o donativos en favor de las Dependencias, Órganos Desconcentrados y Entidades del Gobierno del Estado, serán recaudados y administrados por la Secretaría de Finanzas, quien en el ámbito de su competencia destinará los mismos a los fines previstos en el Presupuesto de Egresos del Estado de Tlaxcala</w:t>
      </w:r>
      <w:r w:rsidR="005B0464">
        <w:rPr>
          <w:sz w:val="20"/>
          <w:szCs w:val="20"/>
          <w:lang w:val="es-ES"/>
        </w:rPr>
        <w:t>,</w:t>
      </w:r>
      <w:r w:rsidRPr="00573DC4">
        <w:rPr>
          <w:sz w:val="20"/>
          <w:szCs w:val="20"/>
          <w:lang w:val="es-ES"/>
        </w:rPr>
        <w:t xml:space="preserve"> para el Ejercicio Fiscal 202</w:t>
      </w:r>
      <w:r w:rsidR="00B70DA4">
        <w:rPr>
          <w:sz w:val="20"/>
          <w:szCs w:val="20"/>
          <w:lang w:val="es-ES"/>
        </w:rPr>
        <w:t>6</w:t>
      </w:r>
      <w:r w:rsidRPr="00573DC4">
        <w:rPr>
          <w:sz w:val="20"/>
          <w:szCs w:val="20"/>
          <w:lang w:val="es-ES"/>
        </w:rPr>
        <w:t>, a los convenios suscritos por estos y a la normatividad aplicable, hasta por el monto mensual autorizado por la Secretaría de Finanzas.</w:t>
      </w:r>
    </w:p>
    <w:p w14:paraId="353BD257" w14:textId="77777777" w:rsidR="00EB16CB" w:rsidRDefault="00EB16CB" w:rsidP="00CD1674">
      <w:pPr>
        <w:spacing w:line="360" w:lineRule="auto"/>
        <w:jc w:val="both"/>
        <w:rPr>
          <w:sz w:val="20"/>
          <w:szCs w:val="20"/>
          <w:lang w:val="es-ES"/>
        </w:rPr>
      </w:pPr>
    </w:p>
    <w:p w14:paraId="158C8372" w14:textId="0E5385AC" w:rsidR="00CD1674" w:rsidRPr="00573DC4" w:rsidRDefault="00CD1674" w:rsidP="00CD1674">
      <w:pPr>
        <w:spacing w:line="360" w:lineRule="auto"/>
        <w:jc w:val="both"/>
        <w:rPr>
          <w:sz w:val="20"/>
          <w:szCs w:val="20"/>
          <w:lang w:val="es-ES"/>
        </w:rPr>
      </w:pPr>
      <w:r w:rsidRPr="00573DC4">
        <w:rPr>
          <w:sz w:val="20"/>
          <w:szCs w:val="20"/>
          <w:lang w:val="es-ES"/>
        </w:rPr>
        <w:t>La aplicación de estos recursos deberá ser informada al Congreso del Estado, a través de la Cuenta Pública del Ente Público correspondiente.</w:t>
      </w:r>
    </w:p>
    <w:p w14:paraId="4A9B7086" w14:textId="77777777" w:rsidR="00CD1674" w:rsidRPr="00573DC4" w:rsidRDefault="00CD1674" w:rsidP="00CD1674">
      <w:pPr>
        <w:spacing w:line="360" w:lineRule="auto"/>
        <w:jc w:val="both"/>
        <w:rPr>
          <w:sz w:val="20"/>
          <w:szCs w:val="20"/>
          <w:lang w:val="es-ES"/>
        </w:rPr>
      </w:pPr>
    </w:p>
    <w:p w14:paraId="4838A2CA" w14:textId="3A8B7F3D" w:rsidR="00CD1674" w:rsidRPr="00573DC4" w:rsidRDefault="00CD1674" w:rsidP="00CD1674">
      <w:pPr>
        <w:spacing w:line="360" w:lineRule="auto"/>
        <w:jc w:val="both"/>
        <w:rPr>
          <w:sz w:val="20"/>
          <w:szCs w:val="20"/>
          <w:lang w:val="es-ES"/>
        </w:rPr>
      </w:pPr>
      <w:r w:rsidRPr="00573DC4">
        <w:rPr>
          <w:sz w:val="20"/>
          <w:szCs w:val="20"/>
          <w:lang w:val="es-ES"/>
        </w:rPr>
        <w:t xml:space="preserve">Asimismo, los catálogos de conceptos y costos de las cuotas o donativos que generen las Entidades del Gobierno del Estado, una vez aprobados por su órgano de gobierno </w:t>
      </w:r>
      <w:r w:rsidR="00FF4B4F" w:rsidRPr="00573DC4">
        <w:rPr>
          <w:sz w:val="20"/>
          <w:szCs w:val="20"/>
          <w:lang w:val="es-ES"/>
        </w:rPr>
        <w:t xml:space="preserve">para </w:t>
      </w:r>
      <w:r w:rsidRPr="00573DC4">
        <w:rPr>
          <w:sz w:val="20"/>
          <w:szCs w:val="20"/>
          <w:lang w:val="es-ES"/>
        </w:rPr>
        <w:t>el ejercicio 202</w:t>
      </w:r>
      <w:r w:rsidR="00B70DA4">
        <w:rPr>
          <w:sz w:val="20"/>
          <w:szCs w:val="20"/>
          <w:lang w:val="es-ES"/>
        </w:rPr>
        <w:t>6</w:t>
      </w:r>
      <w:r w:rsidRPr="00573DC4">
        <w:rPr>
          <w:sz w:val="20"/>
          <w:szCs w:val="20"/>
          <w:lang w:val="es-ES"/>
        </w:rPr>
        <w:t>,</w:t>
      </w:r>
      <w:r w:rsidR="00FF4B4F" w:rsidRPr="00573DC4">
        <w:rPr>
          <w:sz w:val="20"/>
          <w:szCs w:val="20"/>
          <w:lang w:val="es-ES"/>
        </w:rPr>
        <w:t xml:space="preserve"> deberán entregar</w:t>
      </w:r>
      <w:r w:rsidR="00C6308A" w:rsidRPr="00573DC4">
        <w:rPr>
          <w:sz w:val="20"/>
          <w:szCs w:val="20"/>
          <w:lang w:val="es-ES"/>
        </w:rPr>
        <w:t xml:space="preserve">se de forma inmediata </w:t>
      </w:r>
      <w:r w:rsidR="00FF4B4F" w:rsidRPr="00573DC4">
        <w:rPr>
          <w:sz w:val="20"/>
          <w:szCs w:val="20"/>
          <w:lang w:val="es-ES"/>
        </w:rPr>
        <w:t>a la Dirección de Ingresos y Fiscalización para su inclusión en el Sistema Integral de Ingresos de la Secretaría de Finanzas</w:t>
      </w:r>
      <w:r w:rsidR="00C6308A" w:rsidRPr="00573DC4">
        <w:rPr>
          <w:sz w:val="20"/>
          <w:szCs w:val="20"/>
          <w:lang w:val="es-ES"/>
        </w:rPr>
        <w:t xml:space="preserve">, </w:t>
      </w:r>
      <w:r w:rsidRPr="00573DC4">
        <w:rPr>
          <w:sz w:val="20"/>
          <w:szCs w:val="20"/>
          <w:lang w:val="es-ES"/>
        </w:rPr>
        <w:t>utilizando como unidad de cuenta, índice, base, medida o referencia, la Unidad de Medida y Actualización (UMA)</w:t>
      </w:r>
      <w:r w:rsidR="00C6308A" w:rsidRPr="00573DC4">
        <w:rPr>
          <w:sz w:val="20"/>
          <w:szCs w:val="20"/>
          <w:lang w:val="es-ES"/>
        </w:rPr>
        <w:t xml:space="preserve"> y</w:t>
      </w:r>
      <w:r w:rsidRPr="00573DC4">
        <w:rPr>
          <w:sz w:val="20"/>
          <w:szCs w:val="20"/>
          <w:lang w:val="es-ES"/>
        </w:rPr>
        <w:t xml:space="preserve"> deberán publicarse en el Periódico Oficial del Gobierno del Estado, a más tardar el </w:t>
      </w:r>
      <w:r w:rsidR="00E47661" w:rsidRPr="00573DC4">
        <w:rPr>
          <w:sz w:val="20"/>
          <w:szCs w:val="20"/>
          <w:lang w:val="es-ES"/>
        </w:rPr>
        <w:t xml:space="preserve">15 de enero </w:t>
      </w:r>
      <w:r w:rsidRPr="00573DC4">
        <w:rPr>
          <w:sz w:val="20"/>
          <w:szCs w:val="20"/>
          <w:lang w:val="es-ES"/>
        </w:rPr>
        <w:t>de 202</w:t>
      </w:r>
      <w:r w:rsidR="00B70DA4">
        <w:rPr>
          <w:sz w:val="20"/>
          <w:szCs w:val="20"/>
          <w:lang w:val="es-ES"/>
        </w:rPr>
        <w:t>6</w:t>
      </w:r>
      <w:r w:rsidRPr="00573DC4">
        <w:rPr>
          <w:sz w:val="20"/>
          <w:szCs w:val="20"/>
          <w:lang w:val="es-ES"/>
        </w:rPr>
        <w:t xml:space="preserve">. </w:t>
      </w:r>
    </w:p>
    <w:p w14:paraId="3FC9FE9E" w14:textId="77777777" w:rsidR="00CD1674" w:rsidRPr="00573DC4" w:rsidRDefault="00CD1674" w:rsidP="00CD1674">
      <w:pPr>
        <w:spacing w:line="360" w:lineRule="auto"/>
        <w:jc w:val="both"/>
        <w:rPr>
          <w:sz w:val="20"/>
          <w:szCs w:val="20"/>
          <w:lang w:val="es-ES"/>
        </w:rPr>
      </w:pPr>
    </w:p>
    <w:p w14:paraId="4339C811" w14:textId="64D6CC2A" w:rsidR="00CD1674" w:rsidRPr="00573DC4" w:rsidRDefault="00CD1674" w:rsidP="00CD1674">
      <w:pPr>
        <w:spacing w:line="360" w:lineRule="auto"/>
        <w:jc w:val="both"/>
        <w:rPr>
          <w:sz w:val="20"/>
          <w:szCs w:val="20"/>
          <w:lang w:val="es-ES"/>
        </w:rPr>
      </w:pPr>
      <w:r w:rsidRPr="00573DC4">
        <w:rPr>
          <w:sz w:val="20"/>
          <w:szCs w:val="20"/>
          <w:lang w:val="es-ES"/>
        </w:rPr>
        <w:lastRenderedPageBreak/>
        <w:t>Los ingresos percibidos, independientemente de la denominación que reciban, deberán concentrarse y registrarse en cuentas bancarias productivas y específicas de la Secretaría de Finanzas, en las que se depositarán los recursos estatales</w:t>
      </w:r>
      <w:r w:rsidR="00541599" w:rsidRPr="00573DC4">
        <w:rPr>
          <w:sz w:val="20"/>
          <w:szCs w:val="20"/>
          <w:lang w:val="es-ES"/>
        </w:rPr>
        <w:t xml:space="preserve"> y federales</w:t>
      </w:r>
      <w:r w:rsidR="00505907" w:rsidRPr="00573DC4">
        <w:rPr>
          <w:sz w:val="20"/>
          <w:szCs w:val="20"/>
          <w:lang w:val="es-ES"/>
        </w:rPr>
        <w:t>,</w:t>
      </w:r>
      <w:r w:rsidR="00541599" w:rsidRPr="00573DC4">
        <w:rPr>
          <w:sz w:val="20"/>
          <w:szCs w:val="20"/>
          <w:lang w:val="es-ES"/>
        </w:rPr>
        <w:t xml:space="preserve"> por concepto de participaciones e incentivos económicos, aportaciones, convenios</w:t>
      </w:r>
      <w:r w:rsidR="00505907" w:rsidRPr="00573DC4">
        <w:rPr>
          <w:sz w:val="20"/>
          <w:szCs w:val="20"/>
          <w:lang w:val="es-ES"/>
        </w:rPr>
        <w:t>,</w:t>
      </w:r>
      <w:r w:rsidR="00541599" w:rsidRPr="00573DC4">
        <w:rPr>
          <w:sz w:val="20"/>
          <w:szCs w:val="20"/>
          <w:lang w:val="es-ES"/>
        </w:rPr>
        <w:t xml:space="preserve"> subsidios</w:t>
      </w:r>
      <w:r w:rsidR="00505907" w:rsidRPr="00573DC4">
        <w:rPr>
          <w:sz w:val="20"/>
          <w:szCs w:val="20"/>
          <w:lang w:val="es-ES"/>
        </w:rPr>
        <w:t xml:space="preserve"> y demás ingresos extraordinarios</w:t>
      </w:r>
      <w:r w:rsidR="00541599" w:rsidRPr="00573DC4">
        <w:rPr>
          <w:sz w:val="20"/>
          <w:szCs w:val="20"/>
          <w:lang w:val="es-ES"/>
        </w:rPr>
        <w:t xml:space="preserve">; </w:t>
      </w:r>
      <w:r w:rsidRPr="00573DC4">
        <w:rPr>
          <w:sz w:val="20"/>
          <w:szCs w:val="20"/>
          <w:lang w:val="es-ES"/>
        </w:rPr>
        <w:t>para tal efecto, ésta deberá de expedir el Comprobante Fiscal Digital por Internet (CFDI o Factura Electrónica) por los ingresos percibidos durante el ejercicio fiscal de 202</w:t>
      </w:r>
      <w:r w:rsidR="009C5814">
        <w:rPr>
          <w:sz w:val="20"/>
          <w:szCs w:val="20"/>
          <w:lang w:val="es-ES"/>
        </w:rPr>
        <w:t>6</w:t>
      </w:r>
      <w:r w:rsidRPr="00573DC4">
        <w:rPr>
          <w:sz w:val="20"/>
          <w:szCs w:val="20"/>
          <w:lang w:val="es-ES"/>
        </w:rPr>
        <w:t xml:space="preserve">. </w:t>
      </w:r>
    </w:p>
    <w:p w14:paraId="1ABD17C2" w14:textId="77777777" w:rsidR="00CD1674" w:rsidRPr="009E6843" w:rsidRDefault="00CD1674" w:rsidP="00CD1674">
      <w:pPr>
        <w:spacing w:line="360" w:lineRule="auto"/>
        <w:jc w:val="both"/>
        <w:rPr>
          <w:bCs/>
          <w:sz w:val="20"/>
          <w:szCs w:val="20"/>
        </w:rPr>
      </w:pPr>
    </w:p>
    <w:p w14:paraId="63453050" w14:textId="77777777" w:rsidR="00CD1674" w:rsidRPr="00573DC4" w:rsidRDefault="00CD1674" w:rsidP="00CD1674">
      <w:pPr>
        <w:spacing w:line="360" w:lineRule="auto"/>
        <w:jc w:val="both"/>
        <w:rPr>
          <w:sz w:val="20"/>
          <w:szCs w:val="20"/>
          <w:lang w:val="es-ES"/>
        </w:rPr>
      </w:pPr>
      <w:r w:rsidRPr="00573DC4">
        <w:rPr>
          <w:sz w:val="20"/>
          <w:szCs w:val="20"/>
          <w:lang w:val="es-ES"/>
        </w:rPr>
        <w:t>Los recursos federales que tenga derecho a percibir el Estado, y que ingresen a la hacienda pública estatal, así como los rendimientos financieros que se deriven de éstos, se manejarán en cuentas bancarias productivas específicas y no podrán incorporarse recursos estatales a los mismos.</w:t>
      </w:r>
    </w:p>
    <w:p w14:paraId="705B47CC" w14:textId="77777777" w:rsidR="00CD1674" w:rsidRPr="009E6843" w:rsidRDefault="00CD1674" w:rsidP="00CD1674">
      <w:pPr>
        <w:spacing w:line="360" w:lineRule="auto"/>
        <w:jc w:val="both"/>
        <w:rPr>
          <w:bCs/>
          <w:sz w:val="20"/>
          <w:szCs w:val="20"/>
        </w:rPr>
      </w:pPr>
    </w:p>
    <w:p w14:paraId="78DE5C09" w14:textId="0F7115B4" w:rsidR="00CD1674" w:rsidRPr="00A065F3" w:rsidRDefault="00CD1674" w:rsidP="00CD1674">
      <w:pPr>
        <w:spacing w:line="360" w:lineRule="auto"/>
        <w:jc w:val="both"/>
        <w:rPr>
          <w:bCs/>
          <w:sz w:val="20"/>
          <w:szCs w:val="20"/>
          <w:lang w:val="es-ES"/>
        </w:rPr>
      </w:pPr>
      <w:r w:rsidRPr="00A065F3">
        <w:rPr>
          <w:b/>
          <w:bCs/>
          <w:sz w:val="20"/>
          <w:szCs w:val="20"/>
          <w:lang w:val="es-ES"/>
        </w:rPr>
        <w:t>ARTÍCULO 7.</w:t>
      </w:r>
      <w:r w:rsidRPr="0054669D">
        <w:rPr>
          <w:rFonts w:ascii="Arial" w:hAnsi="Arial" w:cs="Arial"/>
        </w:rPr>
        <w:t xml:space="preserve"> </w:t>
      </w:r>
      <w:r w:rsidRPr="00A065F3">
        <w:rPr>
          <w:bCs/>
          <w:sz w:val="20"/>
          <w:szCs w:val="20"/>
          <w:lang w:val="es-ES"/>
        </w:rPr>
        <w:t>Los ingresos derivados de los contribuyentes que tributan conforme a lo establecido en los artículos 126 y 127 de la Ley del Impuesto sobre la Renta, relativos a las operaciones de enajenación de bienes inmuebles; del Impuesto Especial Sobre Producción y Servicios a la Venta Final de Gasolinas y Diésel; de la Ley del Impuesto Sobre Automóviles Nuevos establecido en los artículos 4, 12 y 14; así como de los actos de fiscalización por impuestos federales coordinados y de acciones en materia de comercio exterior, se determinarán, recaudarán y administrarán de conformidad con lo establecido en el Convenio de Colaboración Administrativa en Materia Fiscal Federal y sus Anexos 5, 8 y 13 así como en los ordenamientos legales que emita con posterioridad la Secretaría de Hacienda y Crédito Público.</w:t>
      </w:r>
    </w:p>
    <w:p w14:paraId="057DBA16" w14:textId="77777777" w:rsidR="00CD1674" w:rsidRPr="009E6843" w:rsidRDefault="00CD1674" w:rsidP="00CD1674">
      <w:pPr>
        <w:spacing w:line="360" w:lineRule="auto"/>
        <w:jc w:val="both"/>
        <w:rPr>
          <w:bCs/>
          <w:sz w:val="20"/>
          <w:szCs w:val="20"/>
        </w:rPr>
      </w:pPr>
    </w:p>
    <w:p w14:paraId="4358985D" w14:textId="1CAF3784" w:rsidR="00CD1674" w:rsidRPr="00A065F3" w:rsidRDefault="00CD1674" w:rsidP="00CD1674">
      <w:pPr>
        <w:spacing w:line="360" w:lineRule="auto"/>
        <w:jc w:val="both"/>
        <w:rPr>
          <w:bCs/>
          <w:sz w:val="20"/>
          <w:szCs w:val="20"/>
          <w:lang w:val="es-ES"/>
        </w:rPr>
      </w:pPr>
      <w:r w:rsidRPr="00A065F3">
        <w:rPr>
          <w:b/>
          <w:bCs/>
          <w:sz w:val="20"/>
          <w:szCs w:val="20"/>
          <w:lang w:val="es-ES"/>
        </w:rPr>
        <w:t>ARTÍCULO 8.</w:t>
      </w:r>
      <w:r w:rsidRPr="008D5C06">
        <w:rPr>
          <w:rFonts w:ascii="Arial" w:hAnsi="Arial" w:cs="Arial"/>
        </w:rPr>
        <w:t xml:space="preserve"> </w:t>
      </w:r>
      <w:r w:rsidRPr="00A065F3">
        <w:rPr>
          <w:bCs/>
          <w:sz w:val="20"/>
          <w:szCs w:val="20"/>
          <w:lang w:val="es-ES"/>
        </w:rPr>
        <w:t xml:space="preserve">El pago extemporáneo de contribuciones dará lugar al cobro de recargos, a razón del </w:t>
      </w:r>
      <w:r w:rsidR="00A557D1">
        <w:rPr>
          <w:bCs/>
          <w:sz w:val="20"/>
          <w:szCs w:val="20"/>
          <w:lang w:val="es-ES"/>
        </w:rPr>
        <w:t>2.07</w:t>
      </w:r>
      <w:r w:rsidRPr="00A065F3">
        <w:rPr>
          <w:bCs/>
          <w:sz w:val="20"/>
          <w:szCs w:val="20"/>
          <w:lang w:val="es-ES"/>
        </w:rPr>
        <w:t xml:space="preserve"> por ciento mensual sobre el monto total de las mismas actualizadas, por cada mes o fracción que transcurra sin que se efectúe el pago.</w:t>
      </w:r>
    </w:p>
    <w:p w14:paraId="53D2BBB1" w14:textId="77777777" w:rsidR="000B1DF9" w:rsidRPr="009E6843" w:rsidRDefault="000B1DF9" w:rsidP="00CD1674">
      <w:pPr>
        <w:spacing w:line="360" w:lineRule="auto"/>
        <w:jc w:val="both"/>
        <w:rPr>
          <w:bCs/>
          <w:sz w:val="20"/>
          <w:szCs w:val="20"/>
        </w:rPr>
      </w:pPr>
    </w:p>
    <w:p w14:paraId="2E52DA5A" w14:textId="3C3BCCFF" w:rsidR="00A557D1" w:rsidRDefault="00CD1674" w:rsidP="00CD1674">
      <w:pPr>
        <w:spacing w:line="360" w:lineRule="auto"/>
        <w:jc w:val="both"/>
        <w:rPr>
          <w:bCs/>
          <w:sz w:val="20"/>
          <w:szCs w:val="20"/>
          <w:lang w:val="es-ES"/>
        </w:rPr>
      </w:pPr>
      <w:r w:rsidRPr="00A065F3">
        <w:rPr>
          <w:b/>
          <w:bCs/>
          <w:sz w:val="20"/>
          <w:szCs w:val="20"/>
          <w:lang w:val="es-ES"/>
        </w:rPr>
        <w:lastRenderedPageBreak/>
        <w:t>ARTÍCULO 9.</w:t>
      </w:r>
      <w:r w:rsidRPr="008D5C06">
        <w:rPr>
          <w:rFonts w:ascii="Arial" w:hAnsi="Arial" w:cs="Arial"/>
        </w:rPr>
        <w:t xml:space="preserve"> </w:t>
      </w:r>
      <w:r w:rsidRPr="00A065F3">
        <w:rPr>
          <w:bCs/>
          <w:sz w:val="20"/>
          <w:szCs w:val="20"/>
          <w:lang w:val="es-ES"/>
        </w:rPr>
        <w:t>Cuando se concedan pagos en parcialidades o diferidos para el pago de créditos fiscales conforme a lo dispuesto en el Código Financiero para el Estado de Tlaxcala y sus Municipios, se causarán recargos sobre saldos insolutos</w:t>
      </w:r>
      <w:r w:rsidR="00A557D1">
        <w:rPr>
          <w:bCs/>
          <w:sz w:val="20"/>
          <w:szCs w:val="20"/>
          <w:lang w:val="es-ES"/>
        </w:rPr>
        <w:t xml:space="preserve"> </w:t>
      </w:r>
      <w:r w:rsidR="0005244B">
        <w:rPr>
          <w:bCs/>
          <w:sz w:val="20"/>
          <w:szCs w:val="20"/>
          <w:lang w:val="es-ES"/>
        </w:rPr>
        <w:t>como</w:t>
      </w:r>
      <w:r w:rsidR="00A557D1">
        <w:rPr>
          <w:bCs/>
          <w:sz w:val="20"/>
          <w:szCs w:val="20"/>
          <w:lang w:val="es-ES"/>
        </w:rPr>
        <w:t xml:space="preserve"> a continuación se establec</w:t>
      </w:r>
      <w:r w:rsidR="0005244B">
        <w:rPr>
          <w:bCs/>
          <w:sz w:val="20"/>
          <w:szCs w:val="20"/>
          <w:lang w:val="es-ES"/>
        </w:rPr>
        <w:t>e</w:t>
      </w:r>
      <w:r w:rsidR="00A557D1">
        <w:rPr>
          <w:bCs/>
          <w:sz w:val="20"/>
          <w:szCs w:val="20"/>
          <w:lang w:val="es-ES"/>
        </w:rPr>
        <w:t xml:space="preserve"> durante el periodo de que se trate:</w:t>
      </w:r>
    </w:p>
    <w:p w14:paraId="0A14D735" w14:textId="77777777" w:rsidR="0005244B" w:rsidRDefault="0005244B" w:rsidP="00CD1674">
      <w:pPr>
        <w:spacing w:line="360" w:lineRule="auto"/>
        <w:jc w:val="both"/>
        <w:rPr>
          <w:bCs/>
          <w:sz w:val="20"/>
          <w:szCs w:val="20"/>
          <w:lang w:val="es-ES"/>
        </w:rPr>
      </w:pPr>
    </w:p>
    <w:p w14:paraId="5898A4B2" w14:textId="39F7312B" w:rsidR="0005244B" w:rsidRDefault="00A557D1" w:rsidP="00A557D1">
      <w:pPr>
        <w:pStyle w:val="Prrafodelista"/>
        <w:numPr>
          <w:ilvl w:val="0"/>
          <w:numId w:val="33"/>
        </w:numPr>
        <w:spacing w:line="360" w:lineRule="auto"/>
        <w:jc w:val="both"/>
        <w:rPr>
          <w:bCs/>
          <w:sz w:val="20"/>
          <w:szCs w:val="20"/>
          <w:lang w:val="es-ES"/>
        </w:rPr>
      </w:pPr>
      <w:r>
        <w:rPr>
          <w:bCs/>
          <w:sz w:val="20"/>
          <w:szCs w:val="20"/>
          <w:lang w:val="es-ES"/>
        </w:rPr>
        <w:t>De los pagos a plazos en parcialidades de hasta doce meses</w:t>
      </w:r>
      <w:r w:rsidR="005B0464">
        <w:rPr>
          <w:bCs/>
          <w:sz w:val="20"/>
          <w:szCs w:val="20"/>
          <w:lang w:val="es-ES"/>
        </w:rPr>
        <w:t>,</w:t>
      </w:r>
      <w:r>
        <w:rPr>
          <w:bCs/>
          <w:sz w:val="20"/>
          <w:szCs w:val="20"/>
          <w:lang w:val="es-ES"/>
        </w:rPr>
        <w:t xml:space="preserve"> </w:t>
      </w:r>
      <w:r w:rsidR="0005244B">
        <w:rPr>
          <w:bCs/>
          <w:sz w:val="20"/>
          <w:szCs w:val="20"/>
          <w:lang w:val="es-ES"/>
        </w:rPr>
        <w:t>la tasa de recargos será del 1.42 por ciento mensual.</w:t>
      </w:r>
    </w:p>
    <w:p w14:paraId="3B0C3898" w14:textId="77777777" w:rsidR="0005244B" w:rsidRDefault="0005244B" w:rsidP="0005244B">
      <w:pPr>
        <w:pStyle w:val="Prrafodelista"/>
        <w:spacing w:line="360" w:lineRule="auto"/>
        <w:ind w:left="720"/>
        <w:jc w:val="both"/>
        <w:rPr>
          <w:bCs/>
          <w:sz w:val="20"/>
          <w:szCs w:val="20"/>
          <w:lang w:val="es-ES"/>
        </w:rPr>
      </w:pPr>
    </w:p>
    <w:p w14:paraId="60E4460D" w14:textId="77777777" w:rsidR="0005244B" w:rsidRDefault="0005244B" w:rsidP="00A557D1">
      <w:pPr>
        <w:pStyle w:val="Prrafodelista"/>
        <w:numPr>
          <w:ilvl w:val="0"/>
          <w:numId w:val="33"/>
        </w:numPr>
        <w:spacing w:line="360" w:lineRule="auto"/>
        <w:jc w:val="both"/>
        <w:rPr>
          <w:bCs/>
          <w:sz w:val="20"/>
          <w:szCs w:val="20"/>
          <w:lang w:val="es-ES"/>
        </w:rPr>
      </w:pPr>
      <w:r>
        <w:rPr>
          <w:bCs/>
          <w:sz w:val="20"/>
          <w:szCs w:val="20"/>
          <w:lang w:val="es-ES"/>
        </w:rPr>
        <w:t>De los pagos a plazos en parcialidades de más de doce meses y hasta 24 meses, la tasa de recargos será del 1.63 por ciento mensual.</w:t>
      </w:r>
    </w:p>
    <w:p w14:paraId="69527794" w14:textId="77777777" w:rsidR="0005244B" w:rsidRDefault="0005244B" w:rsidP="0005244B">
      <w:pPr>
        <w:pStyle w:val="Prrafodelista"/>
        <w:spacing w:line="360" w:lineRule="auto"/>
        <w:ind w:left="720"/>
        <w:jc w:val="both"/>
        <w:rPr>
          <w:bCs/>
          <w:sz w:val="20"/>
          <w:szCs w:val="20"/>
          <w:lang w:val="es-ES"/>
        </w:rPr>
      </w:pPr>
    </w:p>
    <w:p w14:paraId="38D9EE5E" w14:textId="0905FF3A" w:rsidR="00CD1674" w:rsidRPr="00A557D1" w:rsidRDefault="0005244B" w:rsidP="00A557D1">
      <w:pPr>
        <w:pStyle w:val="Prrafodelista"/>
        <w:numPr>
          <w:ilvl w:val="0"/>
          <w:numId w:val="33"/>
        </w:numPr>
        <w:spacing w:line="360" w:lineRule="auto"/>
        <w:jc w:val="both"/>
        <w:rPr>
          <w:bCs/>
          <w:sz w:val="20"/>
          <w:szCs w:val="20"/>
          <w:lang w:val="es-ES"/>
        </w:rPr>
      </w:pPr>
      <w:r>
        <w:rPr>
          <w:bCs/>
          <w:sz w:val="20"/>
          <w:szCs w:val="20"/>
          <w:lang w:val="es-ES"/>
        </w:rPr>
        <w:t>De los pagos a plazos en parcialidades superiores a 24 meses, así como tratándose de pagos a plazos diferidos, la tasa de recargos será de 1.97 por ciento mensual.</w:t>
      </w:r>
    </w:p>
    <w:p w14:paraId="1B9A6A09" w14:textId="77777777" w:rsidR="00CD1674" w:rsidRPr="009E6843" w:rsidRDefault="00CD1674" w:rsidP="00CD1674">
      <w:pPr>
        <w:spacing w:line="360" w:lineRule="auto"/>
        <w:jc w:val="both"/>
        <w:rPr>
          <w:bCs/>
          <w:sz w:val="20"/>
          <w:szCs w:val="20"/>
        </w:rPr>
      </w:pPr>
    </w:p>
    <w:p w14:paraId="0DE2A59A" w14:textId="022807AF" w:rsidR="00CD1674" w:rsidRPr="008D5C06" w:rsidRDefault="00CD1674" w:rsidP="00CD1674">
      <w:pPr>
        <w:spacing w:line="360" w:lineRule="auto"/>
        <w:jc w:val="both"/>
        <w:rPr>
          <w:rFonts w:ascii="Arial" w:hAnsi="Arial" w:cs="Arial"/>
        </w:rPr>
      </w:pPr>
      <w:r w:rsidRPr="00A065F3">
        <w:rPr>
          <w:b/>
          <w:bCs/>
          <w:sz w:val="20"/>
          <w:szCs w:val="20"/>
          <w:lang w:val="es-ES"/>
        </w:rPr>
        <w:t>ARTÍCULO 10.</w:t>
      </w:r>
      <w:r w:rsidRPr="008D5C06">
        <w:rPr>
          <w:rFonts w:ascii="Arial" w:hAnsi="Arial" w:cs="Arial"/>
        </w:rPr>
        <w:t xml:space="preserve"> </w:t>
      </w:r>
      <w:r w:rsidRPr="00A065F3">
        <w:rPr>
          <w:bCs/>
          <w:sz w:val="20"/>
          <w:szCs w:val="20"/>
          <w:lang w:val="es-ES"/>
        </w:rPr>
        <w:t>El factor de actualización para las contribuciones estatales para el ejercicio fiscal 202</w:t>
      </w:r>
      <w:r w:rsidR="009C5814">
        <w:rPr>
          <w:bCs/>
          <w:sz w:val="20"/>
          <w:szCs w:val="20"/>
          <w:lang w:val="es-ES"/>
        </w:rPr>
        <w:t>6</w:t>
      </w:r>
      <w:r w:rsidRPr="00A065F3">
        <w:rPr>
          <w:bCs/>
          <w:sz w:val="20"/>
          <w:szCs w:val="20"/>
          <w:lang w:val="es-ES"/>
        </w:rPr>
        <w:t>, será el que se determine de conformidad con lo establecido en el artículo 26-A del Código Financiero para el Estado de Tlaxcala y sus Municipios.</w:t>
      </w:r>
    </w:p>
    <w:p w14:paraId="4AF7BF9D" w14:textId="77777777" w:rsidR="00CD1674" w:rsidRPr="009E6843" w:rsidRDefault="00CD1674" w:rsidP="00CD1674">
      <w:pPr>
        <w:spacing w:line="360" w:lineRule="auto"/>
        <w:jc w:val="both"/>
        <w:rPr>
          <w:bCs/>
          <w:sz w:val="20"/>
          <w:szCs w:val="20"/>
        </w:rPr>
      </w:pPr>
    </w:p>
    <w:p w14:paraId="1D7ECC7E" w14:textId="77777777" w:rsidR="00CD1674" w:rsidRPr="00A065F3" w:rsidRDefault="00CD1674" w:rsidP="00CD1674">
      <w:pPr>
        <w:spacing w:line="360" w:lineRule="auto"/>
        <w:jc w:val="both"/>
        <w:rPr>
          <w:bCs/>
          <w:sz w:val="20"/>
          <w:szCs w:val="20"/>
          <w:lang w:val="es-ES"/>
        </w:rPr>
      </w:pPr>
      <w:r w:rsidRPr="00A065F3">
        <w:rPr>
          <w:b/>
          <w:bCs/>
          <w:sz w:val="20"/>
          <w:szCs w:val="20"/>
          <w:lang w:val="es-ES"/>
        </w:rPr>
        <w:t>ARTÍCULO 11.</w:t>
      </w:r>
      <w:r w:rsidRPr="008D5C06">
        <w:rPr>
          <w:rFonts w:ascii="Arial" w:hAnsi="Arial" w:cs="Arial"/>
        </w:rPr>
        <w:t xml:space="preserve"> </w:t>
      </w:r>
      <w:r w:rsidRPr="00A065F3">
        <w:rPr>
          <w:bCs/>
          <w:sz w:val="20"/>
          <w:szCs w:val="20"/>
          <w:lang w:val="es-ES"/>
        </w:rPr>
        <w:t>La Secretaría de Finanzas, a través de sus oficinas recaudadoras, instituciones autorizadas y de medios electrónicos, recaudarán los ingresos generados por facultades delegadas a través del Convenio de Colaboración Administrativa en Materia Fiscal Federal y sus Anexos.</w:t>
      </w:r>
    </w:p>
    <w:p w14:paraId="2477CB2D" w14:textId="77777777" w:rsidR="00CD1674" w:rsidRPr="009E6843" w:rsidRDefault="00CD1674" w:rsidP="00CD1674">
      <w:pPr>
        <w:spacing w:line="360" w:lineRule="auto"/>
        <w:jc w:val="both"/>
        <w:rPr>
          <w:bCs/>
          <w:sz w:val="20"/>
          <w:szCs w:val="20"/>
        </w:rPr>
      </w:pPr>
    </w:p>
    <w:p w14:paraId="22BA492D" w14:textId="77777777" w:rsidR="00CD1674" w:rsidRPr="00A065F3" w:rsidRDefault="00CD1674" w:rsidP="00CD1674">
      <w:pPr>
        <w:spacing w:line="360" w:lineRule="auto"/>
        <w:jc w:val="both"/>
        <w:rPr>
          <w:bCs/>
          <w:sz w:val="20"/>
          <w:szCs w:val="20"/>
          <w:lang w:val="es-ES"/>
        </w:rPr>
      </w:pPr>
      <w:r w:rsidRPr="00A065F3">
        <w:rPr>
          <w:b/>
          <w:bCs/>
          <w:sz w:val="20"/>
          <w:szCs w:val="20"/>
          <w:lang w:val="es-ES"/>
        </w:rPr>
        <w:t>ARTÍCULO 12</w:t>
      </w:r>
      <w:r w:rsidRPr="008D5C06">
        <w:rPr>
          <w:rFonts w:ascii="Arial" w:hAnsi="Arial" w:cs="Arial"/>
          <w:b/>
          <w:bCs/>
        </w:rPr>
        <w:t>.</w:t>
      </w:r>
      <w:r w:rsidRPr="008D5C06">
        <w:rPr>
          <w:rFonts w:ascii="Arial" w:hAnsi="Arial" w:cs="Arial"/>
        </w:rPr>
        <w:t xml:space="preserve"> </w:t>
      </w:r>
      <w:r w:rsidRPr="00A065F3">
        <w:rPr>
          <w:bCs/>
          <w:sz w:val="20"/>
          <w:szCs w:val="20"/>
          <w:lang w:val="es-ES"/>
        </w:rPr>
        <w:t xml:space="preserve">Las multas impuestas como sanción económica, así como, lo correspondiente a la conmutación de las penas de prisión otorgadas por el Ejecutivo Estatal o por la autoridad judicial, se recaudarán a través de la Secretaría de Finanzas, de acuerdo con las disposiciones y ordenamientos legales en la materia. </w:t>
      </w:r>
    </w:p>
    <w:p w14:paraId="5F96164B" w14:textId="77777777" w:rsidR="00CD1674" w:rsidRPr="009E6843" w:rsidRDefault="00CD1674" w:rsidP="00CD1674">
      <w:pPr>
        <w:spacing w:line="360" w:lineRule="auto"/>
        <w:jc w:val="both"/>
        <w:rPr>
          <w:bCs/>
          <w:sz w:val="20"/>
          <w:szCs w:val="20"/>
        </w:rPr>
      </w:pPr>
    </w:p>
    <w:p w14:paraId="1BE21803" w14:textId="77777777" w:rsidR="00CD1674" w:rsidRPr="00A065F3" w:rsidRDefault="00CD1674" w:rsidP="00CD1674">
      <w:pPr>
        <w:spacing w:line="360" w:lineRule="auto"/>
        <w:jc w:val="both"/>
        <w:rPr>
          <w:sz w:val="20"/>
          <w:szCs w:val="20"/>
          <w:lang w:val="es-ES"/>
        </w:rPr>
      </w:pPr>
      <w:r w:rsidRPr="00A065F3">
        <w:rPr>
          <w:sz w:val="20"/>
          <w:szCs w:val="20"/>
          <w:lang w:val="es-ES"/>
        </w:rPr>
        <w:t>Asimismo, las fianzas y garantías derivadas de la aplicación de las leyes por el Poder Judicial del Estado, serán depositadas ante dicha Secretaría de Finanzas. La inobservancia a esta disposición será motivo de responsabilidad penal y/o administrativa, por los daños que pudiesen causarse a la Hacienda Pública Estatal.</w:t>
      </w:r>
    </w:p>
    <w:p w14:paraId="4BBFD99F" w14:textId="77777777" w:rsidR="00CD1674" w:rsidRPr="009E6843" w:rsidRDefault="00CD1674" w:rsidP="00CD1674">
      <w:pPr>
        <w:spacing w:line="360" w:lineRule="auto"/>
        <w:jc w:val="both"/>
        <w:rPr>
          <w:bCs/>
          <w:sz w:val="20"/>
          <w:szCs w:val="20"/>
        </w:rPr>
      </w:pPr>
    </w:p>
    <w:p w14:paraId="1A0C7AE3" w14:textId="6573F788" w:rsidR="00CD1674" w:rsidRPr="00A065F3" w:rsidRDefault="00CD1674" w:rsidP="00CD1674">
      <w:pPr>
        <w:spacing w:line="360" w:lineRule="auto"/>
        <w:jc w:val="both"/>
        <w:rPr>
          <w:bCs/>
          <w:sz w:val="20"/>
          <w:szCs w:val="20"/>
          <w:lang w:val="es-ES"/>
        </w:rPr>
      </w:pPr>
      <w:r w:rsidRPr="00A065F3">
        <w:rPr>
          <w:b/>
          <w:bCs/>
          <w:sz w:val="20"/>
          <w:szCs w:val="20"/>
          <w:lang w:val="es-ES"/>
        </w:rPr>
        <w:t>ARTÍCULO 13.</w:t>
      </w:r>
      <w:r w:rsidRPr="008D5C06">
        <w:rPr>
          <w:rFonts w:ascii="Arial" w:hAnsi="Arial" w:cs="Arial"/>
        </w:rPr>
        <w:t xml:space="preserve"> </w:t>
      </w:r>
      <w:r w:rsidRPr="00A065F3">
        <w:rPr>
          <w:bCs/>
          <w:sz w:val="20"/>
          <w:szCs w:val="20"/>
          <w:lang w:val="es-ES"/>
        </w:rPr>
        <w:t xml:space="preserve">Los </w:t>
      </w:r>
      <w:r w:rsidR="000B1DF9" w:rsidRPr="00A065F3">
        <w:rPr>
          <w:bCs/>
          <w:sz w:val="20"/>
          <w:szCs w:val="20"/>
          <w:lang w:val="es-ES"/>
        </w:rPr>
        <w:t>P</w:t>
      </w:r>
      <w:r w:rsidRPr="00A065F3">
        <w:rPr>
          <w:bCs/>
          <w:sz w:val="20"/>
          <w:szCs w:val="20"/>
          <w:lang w:val="es-ES"/>
        </w:rPr>
        <w:t>oderes del Estado, Municipios y los Organismos Públicos Descentralizados y Autónomos, son sujetos del Impuesto Sobre Nóminas, de conformidad con las disposiciones establecidas en el Código Financiero para el Estado de Tlaxcala y sus Municipios.</w:t>
      </w:r>
    </w:p>
    <w:p w14:paraId="6BD30CEF" w14:textId="77777777" w:rsidR="00CD1674" w:rsidRPr="009E6843" w:rsidRDefault="00CD1674" w:rsidP="00CD1674">
      <w:pPr>
        <w:spacing w:line="360" w:lineRule="auto"/>
        <w:jc w:val="both"/>
        <w:rPr>
          <w:bCs/>
          <w:sz w:val="20"/>
          <w:szCs w:val="20"/>
        </w:rPr>
      </w:pPr>
    </w:p>
    <w:p w14:paraId="1AA42F0D" w14:textId="27B855C9" w:rsidR="00CD1674" w:rsidRPr="00A065F3" w:rsidRDefault="00CD1674" w:rsidP="00CD1674">
      <w:pPr>
        <w:spacing w:line="360" w:lineRule="auto"/>
        <w:jc w:val="both"/>
        <w:rPr>
          <w:bCs/>
          <w:sz w:val="20"/>
          <w:szCs w:val="20"/>
          <w:lang w:val="es-ES"/>
        </w:rPr>
      </w:pPr>
      <w:r w:rsidRPr="00A065F3">
        <w:rPr>
          <w:b/>
          <w:bCs/>
          <w:sz w:val="20"/>
          <w:szCs w:val="20"/>
          <w:lang w:val="es-ES"/>
        </w:rPr>
        <w:t>ARTÍCULO 14.</w:t>
      </w:r>
      <w:r w:rsidRPr="008D5C06">
        <w:rPr>
          <w:rFonts w:ascii="Arial" w:hAnsi="Arial" w:cs="Arial"/>
          <w:b/>
          <w:bCs/>
        </w:rPr>
        <w:t xml:space="preserve"> </w:t>
      </w:r>
      <w:r w:rsidRPr="00A065F3">
        <w:rPr>
          <w:bCs/>
          <w:sz w:val="20"/>
          <w:szCs w:val="20"/>
          <w:lang w:val="es-ES"/>
        </w:rPr>
        <w:t xml:space="preserve">El Ejecutivo del Estado podrá celebrar convenios de colaboración administrativa con los Municipios, en materia del Impuesto Predial; </w:t>
      </w:r>
      <w:r w:rsidR="00BC071C" w:rsidRPr="00A065F3">
        <w:rPr>
          <w:bCs/>
          <w:sz w:val="20"/>
          <w:szCs w:val="20"/>
          <w:lang w:val="es-ES"/>
        </w:rPr>
        <w:t>D</w:t>
      </w:r>
      <w:r w:rsidRPr="00A065F3">
        <w:rPr>
          <w:bCs/>
          <w:sz w:val="20"/>
          <w:szCs w:val="20"/>
          <w:lang w:val="es-ES"/>
        </w:rPr>
        <w:t xml:space="preserve">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 y sus Municipios, el incumplimiento a los convenios celebrados será sancionado con multas que van desde 30 hasta 100 Unidades de Medida </w:t>
      </w:r>
      <w:r w:rsidR="00F85B42">
        <w:rPr>
          <w:bCs/>
          <w:sz w:val="20"/>
          <w:szCs w:val="20"/>
          <w:lang w:val="es-ES"/>
        </w:rPr>
        <w:t>y</w:t>
      </w:r>
      <w:r w:rsidRPr="00A065F3">
        <w:rPr>
          <w:bCs/>
          <w:sz w:val="20"/>
          <w:szCs w:val="20"/>
          <w:lang w:val="es-ES"/>
        </w:rPr>
        <w:t xml:space="preserve"> Actualización por cada mes incumplido, así como la cancelación de los convenios celebrados. </w:t>
      </w:r>
    </w:p>
    <w:p w14:paraId="0B0DF204" w14:textId="77777777" w:rsidR="00AB505B" w:rsidRPr="00AB505B" w:rsidRDefault="00AB505B" w:rsidP="00CD1674">
      <w:pPr>
        <w:spacing w:line="360" w:lineRule="auto"/>
        <w:jc w:val="center"/>
        <w:rPr>
          <w:bCs/>
          <w:sz w:val="20"/>
          <w:szCs w:val="20"/>
          <w:lang w:val="es-ES"/>
        </w:rPr>
      </w:pPr>
    </w:p>
    <w:p w14:paraId="52A5FD29" w14:textId="00E27778" w:rsidR="00CD1674" w:rsidRPr="006B33D4" w:rsidRDefault="00CD1674" w:rsidP="00CD1674">
      <w:pPr>
        <w:spacing w:line="360" w:lineRule="auto"/>
        <w:jc w:val="center"/>
        <w:rPr>
          <w:b/>
          <w:sz w:val="20"/>
          <w:szCs w:val="20"/>
          <w:lang w:val="es-ES"/>
        </w:rPr>
      </w:pPr>
      <w:r w:rsidRPr="006B33D4">
        <w:rPr>
          <w:b/>
          <w:sz w:val="20"/>
          <w:szCs w:val="20"/>
          <w:lang w:val="es-ES"/>
        </w:rPr>
        <w:t>CAPÍTULO II</w:t>
      </w:r>
    </w:p>
    <w:p w14:paraId="44EDDDFE" w14:textId="77777777" w:rsidR="00CD1674" w:rsidRPr="006B33D4" w:rsidRDefault="00CD1674" w:rsidP="00CD1674">
      <w:pPr>
        <w:spacing w:line="360" w:lineRule="auto"/>
        <w:jc w:val="center"/>
        <w:rPr>
          <w:b/>
          <w:sz w:val="20"/>
          <w:szCs w:val="20"/>
          <w:lang w:val="es-ES"/>
        </w:rPr>
      </w:pPr>
      <w:r w:rsidRPr="006B33D4">
        <w:rPr>
          <w:b/>
          <w:sz w:val="20"/>
          <w:szCs w:val="20"/>
          <w:lang w:val="es-ES"/>
        </w:rPr>
        <w:t>DE LOS BENEFICIOS FISCALES</w:t>
      </w:r>
    </w:p>
    <w:p w14:paraId="746A39C7" w14:textId="77777777" w:rsidR="00CD1674" w:rsidRPr="0092056F" w:rsidRDefault="00CD1674" w:rsidP="009E6843">
      <w:pPr>
        <w:spacing w:line="360" w:lineRule="auto"/>
        <w:jc w:val="both"/>
        <w:rPr>
          <w:sz w:val="20"/>
          <w:szCs w:val="20"/>
          <w:lang w:val="es-ES"/>
        </w:rPr>
      </w:pPr>
    </w:p>
    <w:p w14:paraId="2A3785B3" w14:textId="77777777" w:rsidR="00CD1674" w:rsidRPr="006B33D4" w:rsidRDefault="00CD1674" w:rsidP="00CD1674">
      <w:pPr>
        <w:spacing w:line="360" w:lineRule="auto"/>
        <w:jc w:val="center"/>
        <w:rPr>
          <w:b/>
          <w:sz w:val="20"/>
          <w:szCs w:val="20"/>
          <w:lang w:val="es-ES"/>
        </w:rPr>
      </w:pPr>
      <w:r w:rsidRPr="006B33D4">
        <w:rPr>
          <w:b/>
          <w:sz w:val="20"/>
          <w:szCs w:val="20"/>
          <w:lang w:val="es-ES"/>
        </w:rPr>
        <w:t>Sección I</w:t>
      </w:r>
    </w:p>
    <w:p w14:paraId="2F10E7FD" w14:textId="77777777" w:rsidR="00CD1674" w:rsidRPr="006B33D4" w:rsidRDefault="00CD1674" w:rsidP="00CD1674">
      <w:pPr>
        <w:spacing w:line="360" w:lineRule="auto"/>
        <w:jc w:val="center"/>
        <w:rPr>
          <w:b/>
          <w:sz w:val="20"/>
          <w:szCs w:val="20"/>
          <w:lang w:val="es-ES"/>
        </w:rPr>
      </w:pPr>
      <w:r w:rsidRPr="006B33D4">
        <w:rPr>
          <w:b/>
          <w:sz w:val="20"/>
          <w:szCs w:val="20"/>
          <w:lang w:val="es-ES"/>
        </w:rPr>
        <w:t>Certificados de Promoción Fiscal</w:t>
      </w:r>
    </w:p>
    <w:p w14:paraId="36A0A516" w14:textId="77777777" w:rsidR="00CD1674" w:rsidRPr="009E6843" w:rsidRDefault="00CD1674" w:rsidP="00CD1674">
      <w:pPr>
        <w:spacing w:line="360" w:lineRule="auto"/>
        <w:jc w:val="both"/>
        <w:rPr>
          <w:bCs/>
          <w:sz w:val="20"/>
          <w:szCs w:val="20"/>
        </w:rPr>
      </w:pPr>
    </w:p>
    <w:p w14:paraId="4BE9FE1B" w14:textId="77777777" w:rsidR="00CD1674" w:rsidRPr="006B33D4" w:rsidRDefault="00CD1674" w:rsidP="00CD1674">
      <w:pPr>
        <w:spacing w:line="360" w:lineRule="auto"/>
        <w:jc w:val="both"/>
        <w:rPr>
          <w:sz w:val="20"/>
          <w:szCs w:val="20"/>
          <w:lang w:val="es-ES"/>
        </w:rPr>
      </w:pPr>
      <w:r w:rsidRPr="006B33D4">
        <w:rPr>
          <w:b/>
          <w:sz w:val="20"/>
          <w:szCs w:val="20"/>
          <w:lang w:val="es-ES"/>
        </w:rPr>
        <w:lastRenderedPageBreak/>
        <w:t>ARTÍCULO 15.</w:t>
      </w:r>
      <w:r w:rsidRPr="008D5C06">
        <w:rPr>
          <w:rFonts w:ascii="Arial" w:hAnsi="Arial" w:cs="Arial"/>
        </w:rPr>
        <w:t xml:space="preserve"> </w:t>
      </w:r>
      <w:r w:rsidRPr="006B33D4">
        <w:rPr>
          <w:sz w:val="20"/>
          <w:szCs w:val="20"/>
          <w:lang w:val="es-ES"/>
        </w:rPr>
        <w:t>La presente Sección tiene como objeto otorgar exenciones e incentivos fiscales para coadyuvar en el desarrollo económico del Estado, mediante la expedición de Certificados de Promoción Fiscal a los que se refiere el artículo 33 de la Ley de Fomento Económico del Estado de Tlaxcala, a los contribuyentes del sector privado, sujetos del Impuesto Sobre Nóminas establecido en el Título IV, Capítulo VII, del Código Financiero para el Estado de Tlaxcala y sus Municipios, que tengan su domicilio de manera permanente en el Estado y que cumplan en tiempo y forma con sus obligaciones fiscales.</w:t>
      </w:r>
    </w:p>
    <w:p w14:paraId="6AC625BA" w14:textId="77777777" w:rsidR="00CD1674" w:rsidRPr="009E6843" w:rsidRDefault="00CD1674" w:rsidP="00CD1674">
      <w:pPr>
        <w:spacing w:line="360" w:lineRule="auto"/>
        <w:jc w:val="both"/>
        <w:rPr>
          <w:bCs/>
          <w:sz w:val="20"/>
          <w:szCs w:val="20"/>
        </w:rPr>
      </w:pPr>
    </w:p>
    <w:p w14:paraId="4EA23B31" w14:textId="77777777" w:rsidR="00CD1674" w:rsidRPr="006B33D4" w:rsidRDefault="00CD1674" w:rsidP="00CD1674">
      <w:pPr>
        <w:spacing w:line="360" w:lineRule="auto"/>
        <w:jc w:val="both"/>
        <w:rPr>
          <w:sz w:val="20"/>
          <w:szCs w:val="20"/>
          <w:lang w:val="es-ES"/>
        </w:rPr>
      </w:pPr>
      <w:r w:rsidRPr="006B33D4">
        <w:rPr>
          <w:b/>
          <w:sz w:val="20"/>
          <w:szCs w:val="20"/>
          <w:lang w:val="es-ES"/>
        </w:rPr>
        <w:t>ARTÍCULO 16.</w:t>
      </w:r>
      <w:r w:rsidRPr="008D5C06">
        <w:rPr>
          <w:rFonts w:ascii="Arial" w:hAnsi="Arial" w:cs="Arial"/>
        </w:rPr>
        <w:t xml:space="preserve"> </w:t>
      </w:r>
      <w:r w:rsidRPr="006B33D4">
        <w:rPr>
          <w:sz w:val="20"/>
          <w:szCs w:val="20"/>
          <w:lang w:val="es-ES"/>
        </w:rPr>
        <w:t xml:space="preserve">Los contribuyentes a que se refiere el artículo 15 de esta Ley que realicen inversiones en la Entidad que generen nuevos empleos, se les otorgará una exención fiscal, mediante la obtención de Certificados de Promoción Fiscal por el equivalente al Impuesto Sobre Nóminas que les corresponda pagar por la generación directa de nuevos empleos en la Entidad, conforme a las disposiciones establecidas en los artículos 17 y 18 de esta Ley. </w:t>
      </w:r>
    </w:p>
    <w:p w14:paraId="40C5B2EC" w14:textId="77777777" w:rsidR="00CD1674" w:rsidRPr="009E6843" w:rsidRDefault="00CD1674" w:rsidP="00CD1674">
      <w:pPr>
        <w:spacing w:line="360" w:lineRule="auto"/>
        <w:jc w:val="both"/>
        <w:rPr>
          <w:bCs/>
          <w:sz w:val="20"/>
          <w:szCs w:val="20"/>
        </w:rPr>
      </w:pPr>
    </w:p>
    <w:p w14:paraId="7B6DE5B1" w14:textId="544AABCA" w:rsidR="00CD1674" w:rsidRPr="00526DEC" w:rsidRDefault="00CD1674" w:rsidP="00CD1674">
      <w:pPr>
        <w:spacing w:line="360" w:lineRule="auto"/>
        <w:jc w:val="both"/>
        <w:rPr>
          <w:sz w:val="20"/>
          <w:szCs w:val="20"/>
          <w:lang w:val="es-ES"/>
        </w:rPr>
      </w:pPr>
      <w:r w:rsidRPr="008075CE">
        <w:rPr>
          <w:b/>
          <w:sz w:val="20"/>
          <w:szCs w:val="20"/>
          <w:lang w:val="es-ES"/>
        </w:rPr>
        <w:t>ARTÍCULO 17.</w:t>
      </w:r>
      <w:r w:rsidRPr="008075CE">
        <w:rPr>
          <w:rFonts w:ascii="Arial" w:hAnsi="Arial" w:cs="Arial"/>
        </w:rPr>
        <w:t xml:space="preserve"> </w:t>
      </w:r>
      <w:r w:rsidRPr="008075CE">
        <w:rPr>
          <w:sz w:val="20"/>
          <w:szCs w:val="20"/>
          <w:lang w:val="es-ES"/>
        </w:rPr>
        <w:t>Los contribuyentes que generen o adicionen trabajadores a su plantilla laboral,</w:t>
      </w:r>
      <w:r w:rsidRPr="00526DEC">
        <w:rPr>
          <w:sz w:val="20"/>
          <w:szCs w:val="20"/>
          <w:lang w:val="es-ES"/>
        </w:rPr>
        <w:t xml:space="preserve"> durante el ejercicio fiscal 202</w:t>
      </w:r>
      <w:r w:rsidR="003C06FA">
        <w:rPr>
          <w:sz w:val="20"/>
          <w:szCs w:val="20"/>
          <w:lang w:val="es-ES"/>
        </w:rPr>
        <w:t>6</w:t>
      </w:r>
      <w:r w:rsidRPr="00526DEC">
        <w:rPr>
          <w:sz w:val="20"/>
          <w:szCs w:val="20"/>
          <w:lang w:val="es-ES"/>
        </w:rPr>
        <w:t xml:space="preserve">, tendrán derecho a una exención fiscal del 100 por ciento del Impuesto Sobre Nóminas derivado de las remuneraciones económicas de los empleos generados o adicionales, de conformidad con lo siguiente: </w:t>
      </w:r>
    </w:p>
    <w:p w14:paraId="4211AEF6" w14:textId="77777777" w:rsidR="00CD1674" w:rsidRPr="009E6843" w:rsidRDefault="00CD1674" w:rsidP="00CD1674">
      <w:pPr>
        <w:spacing w:line="360" w:lineRule="auto"/>
        <w:jc w:val="both"/>
        <w:rPr>
          <w:bCs/>
          <w:sz w:val="20"/>
          <w:szCs w:val="20"/>
        </w:rPr>
      </w:pPr>
    </w:p>
    <w:p w14:paraId="3B71F05B" w14:textId="2D68789A" w:rsidR="00CD1674" w:rsidRPr="006018F4" w:rsidRDefault="00CD1674" w:rsidP="00CD1674">
      <w:pPr>
        <w:spacing w:line="360" w:lineRule="auto"/>
        <w:jc w:val="both"/>
        <w:rPr>
          <w:sz w:val="20"/>
          <w:szCs w:val="20"/>
          <w:lang w:val="es-ES"/>
        </w:rPr>
      </w:pPr>
      <w:r w:rsidRPr="00526DEC">
        <w:rPr>
          <w:b/>
          <w:sz w:val="20"/>
          <w:szCs w:val="20"/>
          <w:lang w:val="es-ES"/>
        </w:rPr>
        <w:t>I.</w:t>
      </w:r>
      <w:r w:rsidRPr="008D5C06">
        <w:rPr>
          <w:rFonts w:ascii="Arial" w:hAnsi="Arial" w:cs="Arial"/>
        </w:rPr>
        <w:t xml:space="preserve"> </w:t>
      </w:r>
      <w:r w:rsidRPr="00526DEC">
        <w:rPr>
          <w:sz w:val="20"/>
          <w:szCs w:val="20"/>
          <w:lang w:val="es-ES"/>
        </w:rPr>
        <w:t>A los contribuyentes que inicien actividades en la Entidad a partir del 1 de enero y hasta el 31 de diciembre de 202</w:t>
      </w:r>
      <w:r w:rsidR="008075CE">
        <w:rPr>
          <w:sz w:val="20"/>
          <w:szCs w:val="20"/>
          <w:lang w:val="es-ES"/>
        </w:rPr>
        <w:t>6</w:t>
      </w:r>
      <w:r w:rsidRPr="00526DEC">
        <w:rPr>
          <w:sz w:val="20"/>
          <w:szCs w:val="20"/>
          <w:lang w:val="es-ES"/>
        </w:rPr>
        <w:t>, se les otorgará una exención fiscal del 100 por ciento del Impuesto Sobre Nóminas, causado por las remuneraciones económicas de los empleos que generen y conserven durante el ejercicio fiscal 202</w:t>
      </w:r>
      <w:r w:rsidR="008075CE">
        <w:rPr>
          <w:sz w:val="20"/>
          <w:szCs w:val="20"/>
          <w:lang w:val="es-ES"/>
        </w:rPr>
        <w:t>6</w:t>
      </w:r>
      <w:r w:rsidRPr="00526DEC">
        <w:rPr>
          <w:sz w:val="20"/>
          <w:szCs w:val="20"/>
          <w:lang w:val="es-ES"/>
        </w:rPr>
        <w:t>, el cual deberán tramitar ante la Secretaría de Desarrollo Económico.</w:t>
      </w:r>
    </w:p>
    <w:p w14:paraId="775BEBD8" w14:textId="77777777" w:rsidR="00F03B60" w:rsidRDefault="00F03B60" w:rsidP="00CD1674">
      <w:pPr>
        <w:spacing w:line="360" w:lineRule="auto"/>
        <w:jc w:val="both"/>
        <w:rPr>
          <w:sz w:val="20"/>
          <w:szCs w:val="20"/>
          <w:lang w:val="es-ES"/>
        </w:rPr>
      </w:pPr>
    </w:p>
    <w:p w14:paraId="39804BE5" w14:textId="1DBD0455" w:rsidR="00CD1674" w:rsidRPr="006018F4" w:rsidRDefault="00CD1674" w:rsidP="00CD1674">
      <w:pPr>
        <w:spacing w:line="360" w:lineRule="auto"/>
        <w:jc w:val="both"/>
        <w:rPr>
          <w:sz w:val="20"/>
          <w:szCs w:val="20"/>
          <w:lang w:val="es-ES"/>
        </w:rPr>
      </w:pPr>
      <w:r w:rsidRPr="006018F4">
        <w:rPr>
          <w:sz w:val="20"/>
          <w:szCs w:val="20"/>
          <w:lang w:val="es-ES"/>
        </w:rPr>
        <w:lastRenderedPageBreak/>
        <w:t>Lo anterior, no los exime de las obligaciones establecidas en el Artículo 59 del Código Financiero para el Estado de Tlaxcala y sus Municipios.</w:t>
      </w:r>
    </w:p>
    <w:p w14:paraId="09EC6E28" w14:textId="77777777" w:rsidR="00CD1674" w:rsidRPr="009E6843" w:rsidRDefault="00CD1674" w:rsidP="00CD1674">
      <w:pPr>
        <w:spacing w:line="360" w:lineRule="auto"/>
        <w:jc w:val="both"/>
        <w:rPr>
          <w:bCs/>
          <w:sz w:val="20"/>
          <w:szCs w:val="20"/>
        </w:rPr>
      </w:pPr>
    </w:p>
    <w:p w14:paraId="4E4A9F77" w14:textId="77777777" w:rsidR="00CD1674" w:rsidRPr="006018F4" w:rsidRDefault="00CD1674" w:rsidP="00CD1674">
      <w:pPr>
        <w:spacing w:line="360" w:lineRule="auto"/>
        <w:jc w:val="both"/>
        <w:rPr>
          <w:sz w:val="20"/>
          <w:szCs w:val="20"/>
          <w:lang w:val="es-ES"/>
        </w:rPr>
      </w:pPr>
      <w:r w:rsidRPr="006018F4">
        <w:rPr>
          <w:sz w:val="20"/>
          <w:szCs w:val="20"/>
          <w:lang w:val="es-ES"/>
        </w:rPr>
        <w:t>Los contribuyentes podrán solicitar la exención fiscal, siempre que cumplan con los requisitos siguientes:</w:t>
      </w:r>
    </w:p>
    <w:p w14:paraId="1FD47525" w14:textId="77777777" w:rsidR="00CD1674" w:rsidRPr="009E6843" w:rsidRDefault="00CD1674" w:rsidP="00CD1674">
      <w:pPr>
        <w:spacing w:line="360" w:lineRule="auto"/>
        <w:jc w:val="both"/>
        <w:rPr>
          <w:bCs/>
          <w:sz w:val="20"/>
          <w:szCs w:val="20"/>
        </w:rPr>
      </w:pPr>
    </w:p>
    <w:p w14:paraId="349EC8E9" w14:textId="77777777" w:rsidR="00CD1674" w:rsidRPr="006018F4" w:rsidRDefault="00CD1674" w:rsidP="00CD1674">
      <w:pPr>
        <w:numPr>
          <w:ilvl w:val="0"/>
          <w:numId w:val="5"/>
        </w:numPr>
        <w:spacing w:line="360" w:lineRule="auto"/>
        <w:jc w:val="both"/>
        <w:rPr>
          <w:sz w:val="20"/>
          <w:szCs w:val="20"/>
          <w:lang w:val="es-ES"/>
        </w:rPr>
      </w:pPr>
      <w:r w:rsidRPr="006018F4">
        <w:rPr>
          <w:sz w:val="20"/>
          <w:szCs w:val="20"/>
          <w:lang w:val="es-ES"/>
        </w:rPr>
        <w:t xml:space="preserve">Llenar el formato de solicitud de Certificado de Promoción Fiscal (CPF-S1), que será proporcionado por la Secretaría de Desarrollo Económico, y anexar la documentación siguiente: </w:t>
      </w:r>
    </w:p>
    <w:p w14:paraId="4A8E5C86" w14:textId="77777777" w:rsidR="00CD1674" w:rsidRPr="009E6843" w:rsidRDefault="00CD1674" w:rsidP="00CD1674">
      <w:pPr>
        <w:spacing w:line="360" w:lineRule="auto"/>
        <w:jc w:val="both"/>
        <w:rPr>
          <w:bCs/>
          <w:sz w:val="20"/>
          <w:szCs w:val="20"/>
        </w:rPr>
      </w:pPr>
    </w:p>
    <w:p w14:paraId="52805E44"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21AD2B86" w14:textId="77777777" w:rsidR="00CD1674" w:rsidRPr="006018F4" w:rsidRDefault="00CD1674" w:rsidP="00CD1674">
      <w:pPr>
        <w:spacing w:line="360" w:lineRule="auto"/>
        <w:ind w:left="1134"/>
        <w:jc w:val="both"/>
        <w:rPr>
          <w:sz w:val="20"/>
          <w:szCs w:val="20"/>
          <w:lang w:val="es-ES"/>
        </w:rPr>
      </w:pPr>
    </w:p>
    <w:p w14:paraId="0B6B7ED6"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del aviso de inscripción al Registro Estatal de Contribuyentes (SF-1). </w:t>
      </w:r>
    </w:p>
    <w:p w14:paraId="35ED9256" w14:textId="77777777" w:rsidR="00CD1674" w:rsidRPr="006018F4" w:rsidRDefault="00CD1674" w:rsidP="00CD1674">
      <w:pPr>
        <w:spacing w:line="360" w:lineRule="auto"/>
        <w:ind w:left="1134"/>
        <w:jc w:val="both"/>
        <w:rPr>
          <w:sz w:val="20"/>
          <w:szCs w:val="20"/>
          <w:lang w:val="es-ES"/>
        </w:rPr>
      </w:pPr>
    </w:p>
    <w:p w14:paraId="7613C8BA"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 los movimientos afiliatorios ante el Instituto Mexicano del Seguro Social de los trabajadores a que se refiere el numeral 1 de este inciso. </w:t>
      </w:r>
    </w:p>
    <w:p w14:paraId="70087F74" w14:textId="77777777" w:rsidR="00CD1674" w:rsidRPr="006018F4" w:rsidRDefault="00CD1674" w:rsidP="00CD1674">
      <w:pPr>
        <w:spacing w:line="360" w:lineRule="auto"/>
        <w:ind w:left="1134"/>
        <w:jc w:val="both"/>
        <w:rPr>
          <w:sz w:val="20"/>
          <w:szCs w:val="20"/>
          <w:lang w:val="es-ES"/>
        </w:rPr>
      </w:pPr>
    </w:p>
    <w:p w14:paraId="110E76F6"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del aviso de baja ante el Instituto Mexicano del Seguro Social, en su caso. </w:t>
      </w:r>
    </w:p>
    <w:p w14:paraId="72F66B8B" w14:textId="77777777" w:rsidR="00CD1674" w:rsidRPr="009E6843" w:rsidRDefault="00CD1674" w:rsidP="00CD1674">
      <w:pPr>
        <w:spacing w:line="360" w:lineRule="auto"/>
        <w:jc w:val="both"/>
        <w:rPr>
          <w:bCs/>
          <w:sz w:val="20"/>
          <w:szCs w:val="20"/>
        </w:rPr>
      </w:pPr>
    </w:p>
    <w:p w14:paraId="7288ABD4"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w:t>
      </w:r>
      <w:r w:rsidRPr="006018F4">
        <w:rPr>
          <w:sz w:val="20"/>
          <w:szCs w:val="20"/>
          <w:lang w:val="es-ES"/>
        </w:rPr>
        <w:lastRenderedPageBreak/>
        <w:t xml:space="preserve">el primer mes que solicite el Certificado y tratándose de los meses posteriores, sólo cuando genere empleos adicionales a los inicialmente manifestados. </w:t>
      </w:r>
    </w:p>
    <w:p w14:paraId="0034D96F" w14:textId="77777777" w:rsidR="00CD1674" w:rsidRPr="009E6843" w:rsidRDefault="00CD1674" w:rsidP="00CD1674">
      <w:pPr>
        <w:spacing w:line="360" w:lineRule="auto"/>
        <w:jc w:val="both"/>
        <w:rPr>
          <w:bCs/>
          <w:sz w:val="20"/>
          <w:szCs w:val="20"/>
        </w:rPr>
      </w:pPr>
    </w:p>
    <w:p w14:paraId="06861CB8" w14:textId="1AA1DBA0" w:rsidR="00CD1674" w:rsidRPr="006018F4" w:rsidRDefault="00CD1674" w:rsidP="00CD1674">
      <w:pPr>
        <w:spacing w:line="360" w:lineRule="auto"/>
        <w:jc w:val="both"/>
        <w:rPr>
          <w:bCs/>
          <w:sz w:val="20"/>
          <w:szCs w:val="20"/>
          <w:lang w:val="es-ES"/>
        </w:rPr>
      </w:pPr>
      <w:r w:rsidRPr="006018F4">
        <w:rPr>
          <w:b/>
          <w:sz w:val="20"/>
          <w:szCs w:val="20"/>
          <w:lang w:val="es-ES"/>
        </w:rPr>
        <w:t xml:space="preserve">II. </w:t>
      </w:r>
      <w:r w:rsidRPr="006018F4">
        <w:rPr>
          <w:bCs/>
          <w:sz w:val="20"/>
          <w:szCs w:val="20"/>
          <w:lang w:val="es-ES"/>
        </w:rPr>
        <w:t>A los contribuyentes que hayan iniciado actividades antes del 1 de enero de 202</w:t>
      </w:r>
      <w:r w:rsidR="008075CE">
        <w:rPr>
          <w:bCs/>
          <w:sz w:val="20"/>
          <w:szCs w:val="20"/>
          <w:lang w:val="es-ES"/>
        </w:rPr>
        <w:t>6</w:t>
      </w:r>
      <w:r w:rsidRPr="006018F4">
        <w:rPr>
          <w:bCs/>
          <w:sz w:val="20"/>
          <w:szCs w:val="20"/>
          <w:lang w:val="es-ES"/>
        </w:rPr>
        <w:t>, se les otorga una exención fiscal del 100 por ciento del Impuesto Sobre Nóminas causado por las remuneraciones económicas de los empleos adicionales generados durante el ejercicio 202</w:t>
      </w:r>
      <w:r w:rsidR="008075CE">
        <w:rPr>
          <w:bCs/>
          <w:sz w:val="20"/>
          <w:szCs w:val="20"/>
          <w:lang w:val="es-ES"/>
        </w:rPr>
        <w:t>6</w:t>
      </w:r>
      <w:r w:rsidRPr="006018F4">
        <w:rPr>
          <w:bCs/>
          <w:sz w:val="20"/>
          <w:szCs w:val="20"/>
          <w:lang w:val="es-ES"/>
        </w:rPr>
        <w:t xml:space="preserve">. </w:t>
      </w:r>
    </w:p>
    <w:p w14:paraId="62086475" w14:textId="77777777" w:rsidR="00CD1674" w:rsidRPr="009E6843" w:rsidRDefault="00CD1674" w:rsidP="00CD1674">
      <w:pPr>
        <w:spacing w:line="360" w:lineRule="auto"/>
        <w:jc w:val="both"/>
        <w:rPr>
          <w:bCs/>
          <w:sz w:val="20"/>
          <w:szCs w:val="20"/>
        </w:rPr>
      </w:pPr>
    </w:p>
    <w:p w14:paraId="7702CBC1" w14:textId="1EB9A14C" w:rsidR="00CD1674" w:rsidRPr="006018F4" w:rsidRDefault="00CD1674" w:rsidP="00CD1674">
      <w:pPr>
        <w:spacing w:line="360" w:lineRule="auto"/>
        <w:jc w:val="both"/>
        <w:rPr>
          <w:sz w:val="20"/>
          <w:szCs w:val="20"/>
          <w:lang w:val="es-ES"/>
        </w:rPr>
      </w:pPr>
      <w:r w:rsidRPr="006018F4">
        <w:rPr>
          <w:sz w:val="20"/>
          <w:szCs w:val="20"/>
          <w:lang w:val="es-ES"/>
        </w:rPr>
        <w:t>Para determinar los empleos adicionales, los contribuyentes a que se refiere el párrafo anterior, compararán el número de trabajadores manifestados en la declaración del mes de diciembre de 202</w:t>
      </w:r>
      <w:r w:rsidR="008075CE">
        <w:rPr>
          <w:sz w:val="20"/>
          <w:szCs w:val="20"/>
          <w:lang w:val="es-ES"/>
        </w:rPr>
        <w:t>5</w:t>
      </w:r>
      <w:r w:rsidRPr="006018F4">
        <w:rPr>
          <w:sz w:val="20"/>
          <w:szCs w:val="20"/>
          <w:lang w:val="es-ES"/>
        </w:rPr>
        <w:t>, contra el número de trabajadores que se declaren en el mes de enero de 202</w:t>
      </w:r>
      <w:r w:rsidR="008075CE">
        <w:rPr>
          <w:sz w:val="20"/>
          <w:szCs w:val="20"/>
          <w:lang w:val="es-ES"/>
        </w:rPr>
        <w:t>6</w:t>
      </w:r>
      <w:r w:rsidRPr="006018F4">
        <w:rPr>
          <w:sz w:val="20"/>
          <w:szCs w:val="20"/>
          <w:lang w:val="es-ES"/>
        </w:rPr>
        <w:t>. Para cada uno de los meses subsecuentes, tomará el número de trabajadores registrados en el mes inmediato anterior contra el número de trabajadores registrados en el mes que declare, hasta el mes de diciembre de 202</w:t>
      </w:r>
      <w:r w:rsidR="008075CE">
        <w:rPr>
          <w:sz w:val="20"/>
          <w:szCs w:val="20"/>
          <w:lang w:val="es-ES"/>
        </w:rPr>
        <w:t>6</w:t>
      </w:r>
      <w:r w:rsidRPr="006018F4">
        <w:rPr>
          <w:sz w:val="20"/>
          <w:szCs w:val="20"/>
          <w:lang w:val="es-ES"/>
        </w:rPr>
        <w:t>, la diferencia que resulte será el número de trabajadores por los que se concederá la exención fiscal.</w:t>
      </w:r>
    </w:p>
    <w:p w14:paraId="414FB0B6" w14:textId="77777777" w:rsidR="00CD1674" w:rsidRPr="006018F4" w:rsidRDefault="00CD1674" w:rsidP="00CD1674">
      <w:pPr>
        <w:spacing w:line="360" w:lineRule="auto"/>
        <w:jc w:val="both"/>
        <w:rPr>
          <w:sz w:val="20"/>
          <w:szCs w:val="20"/>
          <w:lang w:val="es-ES"/>
        </w:rPr>
      </w:pPr>
    </w:p>
    <w:p w14:paraId="293B0ADD" w14:textId="77777777" w:rsidR="00CD1674" w:rsidRPr="006018F4" w:rsidRDefault="00CD1674" w:rsidP="00CD1674">
      <w:pPr>
        <w:spacing w:line="360" w:lineRule="auto"/>
        <w:jc w:val="both"/>
        <w:rPr>
          <w:sz w:val="20"/>
          <w:szCs w:val="20"/>
          <w:lang w:val="es-ES"/>
        </w:rPr>
      </w:pPr>
      <w:r w:rsidRPr="006018F4">
        <w:rPr>
          <w:sz w:val="20"/>
          <w:szCs w:val="20"/>
          <w:lang w:val="es-ES"/>
        </w:rPr>
        <w:t>Los contribuyentes podrán aplicar la exención fiscal, siempre que cumplan con los requisitos siguientes:</w:t>
      </w:r>
    </w:p>
    <w:p w14:paraId="591C8478" w14:textId="77777777" w:rsidR="00CD1674" w:rsidRPr="009E6843" w:rsidRDefault="00CD1674" w:rsidP="00CD1674">
      <w:pPr>
        <w:spacing w:line="360" w:lineRule="auto"/>
        <w:jc w:val="both"/>
        <w:rPr>
          <w:bCs/>
          <w:sz w:val="20"/>
          <w:szCs w:val="20"/>
        </w:rPr>
      </w:pPr>
    </w:p>
    <w:p w14:paraId="3612D4AC" w14:textId="77777777" w:rsidR="00CD1674" w:rsidRPr="006018F4" w:rsidRDefault="00CD1674" w:rsidP="00CD1674">
      <w:pPr>
        <w:numPr>
          <w:ilvl w:val="0"/>
          <w:numId w:val="6"/>
        </w:numPr>
        <w:spacing w:line="360" w:lineRule="auto"/>
        <w:jc w:val="both"/>
        <w:rPr>
          <w:sz w:val="20"/>
          <w:szCs w:val="20"/>
          <w:lang w:val="es-ES"/>
        </w:rPr>
      </w:pPr>
      <w:r w:rsidRPr="006018F4">
        <w:rPr>
          <w:sz w:val="20"/>
          <w:szCs w:val="20"/>
          <w:lang w:val="es-ES"/>
        </w:rPr>
        <w:t xml:space="preserve">Llenar el formato de solicitud de Certificado de Promoción Fiscal (CPF-S1), que será proporcionado por la Secretaría de Desarrollo Económico, y anexar la documentación siguiente: </w:t>
      </w:r>
    </w:p>
    <w:p w14:paraId="0B75A59A" w14:textId="77777777" w:rsidR="00CD1674" w:rsidRPr="009E6843" w:rsidRDefault="00CD1674" w:rsidP="00CD1674">
      <w:pPr>
        <w:spacing w:line="360" w:lineRule="auto"/>
        <w:jc w:val="both"/>
        <w:rPr>
          <w:bCs/>
          <w:sz w:val="20"/>
          <w:szCs w:val="20"/>
        </w:rPr>
      </w:pPr>
    </w:p>
    <w:p w14:paraId="3B5EB3A0"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 xml:space="preserve">La relación del personal de nuevo ingreso que labore en su empresa, misma que deberá incluir el nombre completo, el número de seguridad social, las remuneraciones económicas pagadas por cada trabajador adicional y el monto total de las remuneraciones a considerar para el cálculo de la exención fiscal a que sea acreedor. </w:t>
      </w:r>
    </w:p>
    <w:p w14:paraId="3B1DE12F" w14:textId="77777777" w:rsidR="00CD1674" w:rsidRPr="006018F4" w:rsidRDefault="00CD1674" w:rsidP="006A7088">
      <w:pPr>
        <w:spacing w:line="360" w:lineRule="auto"/>
        <w:ind w:left="1134"/>
        <w:jc w:val="both"/>
        <w:rPr>
          <w:sz w:val="20"/>
          <w:szCs w:val="20"/>
          <w:lang w:val="es-ES"/>
        </w:rPr>
      </w:pPr>
    </w:p>
    <w:p w14:paraId="04549CAC"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lastRenderedPageBreak/>
        <w:t xml:space="preserve">Copia simple del aviso de inscripción al Registro Estatal de Contribuyentes (SF-1). </w:t>
      </w:r>
    </w:p>
    <w:p w14:paraId="3D0B28BC" w14:textId="77777777" w:rsidR="00CD1674" w:rsidRPr="006018F4" w:rsidRDefault="00CD1674" w:rsidP="006A7088">
      <w:pPr>
        <w:spacing w:line="360" w:lineRule="auto"/>
        <w:ind w:left="1134"/>
        <w:jc w:val="both"/>
        <w:rPr>
          <w:sz w:val="20"/>
          <w:szCs w:val="20"/>
          <w:lang w:val="es-ES"/>
        </w:rPr>
      </w:pPr>
    </w:p>
    <w:p w14:paraId="70267B40"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Copia simple de la declaración correspondiente al mes inmediato anterior al que solicita el beneficio.</w:t>
      </w:r>
    </w:p>
    <w:p w14:paraId="0F5346FB" w14:textId="77777777" w:rsidR="00CD1674" w:rsidRPr="009E6843" w:rsidRDefault="00CD1674" w:rsidP="009E6843">
      <w:pPr>
        <w:spacing w:line="360" w:lineRule="auto"/>
        <w:ind w:left="1134"/>
        <w:jc w:val="both"/>
        <w:rPr>
          <w:sz w:val="20"/>
          <w:szCs w:val="20"/>
          <w:lang w:val="es-ES"/>
        </w:rPr>
      </w:pPr>
    </w:p>
    <w:p w14:paraId="08D6C110" w14:textId="54BF34A8"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Copia simple de la declaración correspondiente al mes de diciembre de 202</w:t>
      </w:r>
      <w:r w:rsidR="008075CE">
        <w:rPr>
          <w:sz w:val="20"/>
          <w:szCs w:val="20"/>
          <w:lang w:val="es-ES"/>
        </w:rPr>
        <w:t>5</w:t>
      </w:r>
      <w:r w:rsidRPr="006018F4">
        <w:rPr>
          <w:sz w:val="20"/>
          <w:szCs w:val="20"/>
          <w:lang w:val="es-ES"/>
        </w:rPr>
        <w:t>.</w:t>
      </w:r>
    </w:p>
    <w:p w14:paraId="31B926EE" w14:textId="77777777" w:rsidR="00CD1674" w:rsidRPr="009E6843" w:rsidRDefault="00CD1674" w:rsidP="00CD1674">
      <w:pPr>
        <w:spacing w:line="360" w:lineRule="auto"/>
        <w:ind w:left="1134"/>
        <w:jc w:val="both"/>
        <w:rPr>
          <w:sz w:val="20"/>
          <w:szCs w:val="20"/>
          <w:lang w:val="es-ES"/>
        </w:rPr>
      </w:pPr>
    </w:p>
    <w:p w14:paraId="66D22CD3" w14:textId="77777777" w:rsidR="006A7088" w:rsidRDefault="00CD1674" w:rsidP="006A7088">
      <w:pPr>
        <w:numPr>
          <w:ilvl w:val="0"/>
          <w:numId w:val="4"/>
        </w:numPr>
        <w:spacing w:line="360" w:lineRule="auto"/>
        <w:ind w:left="1134"/>
        <w:jc w:val="both"/>
        <w:rPr>
          <w:sz w:val="20"/>
          <w:szCs w:val="20"/>
          <w:lang w:val="es-ES"/>
        </w:rPr>
      </w:pPr>
      <w:r w:rsidRPr="006018F4">
        <w:rPr>
          <w:sz w:val="20"/>
          <w:szCs w:val="20"/>
          <w:lang w:val="es-ES"/>
        </w:rPr>
        <w:t xml:space="preserve">Copia simple de los movimientos afiliatorios ante el Instituto Mexicano del Seguro Social de los trabajadores a que se refiere el numeral 1 de este inciso. </w:t>
      </w:r>
    </w:p>
    <w:p w14:paraId="080B14EC" w14:textId="77777777" w:rsidR="006A7088" w:rsidRDefault="006A7088" w:rsidP="0092056F">
      <w:pPr>
        <w:spacing w:line="360" w:lineRule="auto"/>
        <w:ind w:left="1134"/>
        <w:jc w:val="both"/>
        <w:rPr>
          <w:sz w:val="20"/>
          <w:szCs w:val="20"/>
          <w:lang w:val="es-ES"/>
        </w:rPr>
      </w:pPr>
    </w:p>
    <w:p w14:paraId="1416E17B" w14:textId="4EA32B6B" w:rsidR="00CD1674" w:rsidRPr="006A7088" w:rsidRDefault="00CD1674" w:rsidP="006A7088">
      <w:pPr>
        <w:numPr>
          <w:ilvl w:val="0"/>
          <w:numId w:val="4"/>
        </w:numPr>
        <w:spacing w:line="360" w:lineRule="auto"/>
        <w:ind w:left="1134"/>
        <w:jc w:val="both"/>
        <w:rPr>
          <w:sz w:val="20"/>
          <w:szCs w:val="20"/>
          <w:lang w:val="es-ES"/>
        </w:rPr>
      </w:pPr>
      <w:r w:rsidRPr="006A7088">
        <w:rPr>
          <w:sz w:val="20"/>
          <w:szCs w:val="20"/>
          <w:lang w:val="es-ES"/>
        </w:rPr>
        <w:t xml:space="preserve">Copia simple del aviso de baja ante el Instituto Mexicano del Seguro Social, en su caso. </w:t>
      </w:r>
    </w:p>
    <w:p w14:paraId="4CD4F078" w14:textId="77777777" w:rsidR="00CD1674" w:rsidRPr="006018F4" w:rsidRDefault="00CD1674" w:rsidP="006018F4">
      <w:pPr>
        <w:spacing w:line="360" w:lineRule="auto"/>
        <w:ind w:left="1134"/>
        <w:jc w:val="both"/>
        <w:rPr>
          <w:sz w:val="20"/>
          <w:szCs w:val="20"/>
          <w:lang w:val="es-ES"/>
        </w:rPr>
      </w:pPr>
    </w:p>
    <w:p w14:paraId="2019FBB2" w14:textId="1FE15698" w:rsidR="00CD1674" w:rsidRPr="006018F4" w:rsidRDefault="00CD1674" w:rsidP="00CD1674">
      <w:pPr>
        <w:numPr>
          <w:ilvl w:val="0"/>
          <w:numId w:val="6"/>
        </w:numPr>
        <w:spacing w:line="360" w:lineRule="auto"/>
        <w:jc w:val="both"/>
        <w:rPr>
          <w:sz w:val="20"/>
          <w:szCs w:val="20"/>
          <w:lang w:val="es-ES"/>
        </w:rPr>
      </w:pPr>
      <w:r w:rsidRPr="006018F4">
        <w:rPr>
          <w:sz w:val="20"/>
          <w:szCs w:val="20"/>
          <w:lang w:val="es-ES"/>
        </w:rPr>
        <w:t>No tener adeudos por concepto del Impuesto Sobre Nóminas,</w:t>
      </w:r>
      <w:r w:rsidR="00A730BB" w:rsidRPr="006018F4">
        <w:rPr>
          <w:sz w:val="20"/>
          <w:szCs w:val="20"/>
          <w:lang w:val="es-ES"/>
        </w:rPr>
        <w:t xml:space="preserve"> con una antigüedad de doce meses</w:t>
      </w:r>
      <w:r w:rsidRPr="006018F4">
        <w:rPr>
          <w:sz w:val="20"/>
          <w:szCs w:val="20"/>
          <w:lang w:val="es-ES"/>
        </w:rPr>
        <w:t xml:space="preserve"> anteriores al 1 de enero de 202</w:t>
      </w:r>
      <w:r w:rsidR="008075CE">
        <w:rPr>
          <w:sz w:val="20"/>
          <w:szCs w:val="20"/>
          <w:lang w:val="es-ES"/>
        </w:rPr>
        <w:t>6</w:t>
      </w:r>
      <w:r w:rsidRPr="006018F4">
        <w:rPr>
          <w:sz w:val="20"/>
          <w:szCs w:val="20"/>
          <w:lang w:val="es-ES"/>
        </w:rPr>
        <w:t>, para lo cual deberá presentar una carta de no adeudos, emitida por la Dirección de Ingresos y Fiscalización de la Secretaría de Finanzas, certificando que se encuentra al corriente en la presentación de sus declaraciones.</w:t>
      </w:r>
    </w:p>
    <w:p w14:paraId="1FD995D0" w14:textId="77777777" w:rsidR="00CD1674" w:rsidRPr="006018F4" w:rsidRDefault="00CD1674" w:rsidP="00CD1674">
      <w:pPr>
        <w:spacing w:line="360" w:lineRule="auto"/>
        <w:ind w:left="720"/>
        <w:jc w:val="both"/>
        <w:rPr>
          <w:sz w:val="20"/>
          <w:szCs w:val="20"/>
          <w:lang w:val="es-ES"/>
        </w:rPr>
      </w:pPr>
    </w:p>
    <w:p w14:paraId="7954FE3D"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Estos requisitos se deberán presentar cada vez que el contribuyente solicite el Certificado de Promoción Fiscal, excepto el contenido en los numerales 2 y 4 del inciso a) y el contenido en el inciso b), los cuales se presentarán sólo en la primera ocasión que solicite el Certificado. En el caso del requisito contenido en el numeral 5 del inciso a), se presentará en el primer mes que solicite el Certificado y tratándose de los meses posteriores, sólo cuando genere empleos adicionales a los inicialmente manifestados. </w:t>
      </w:r>
    </w:p>
    <w:p w14:paraId="4CAA5468" w14:textId="77777777" w:rsidR="00CD1674" w:rsidRPr="009E6843" w:rsidRDefault="00CD1674" w:rsidP="009E6843">
      <w:pPr>
        <w:spacing w:line="360" w:lineRule="auto"/>
        <w:jc w:val="both"/>
        <w:rPr>
          <w:sz w:val="20"/>
          <w:szCs w:val="20"/>
          <w:lang w:val="es-ES"/>
        </w:rPr>
      </w:pPr>
    </w:p>
    <w:p w14:paraId="3D750980" w14:textId="09FA07C7" w:rsidR="00CD1674" w:rsidRPr="006018F4" w:rsidRDefault="00CD1674" w:rsidP="00CD1674">
      <w:pPr>
        <w:spacing w:line="360" w:lineRule="auto"/>
        <w:jc w:val="both"/>
        <w:rPr>
          <w:b/>
          <w:sz w:val="20"/>
          <w:szCs w:val="20"/>
          <w:lang w:val="es-ES"/>
        </w:rPr>
      </w:pPr>
      <w:r w:rsidRPr="006018F4">
        <w:rPr>
          <w:b/>
          <w:sz w:val="20"/>
          <w:szCs w:val="20"/>
          <w:lang w:val="es-ES"/>
        </w:rPr>
        <w:lastRenderedPageBreak/>
        <w:t xml:space="preserve">III. </w:t>
      </w:r>
      <w:r w:rsidRPr="006018F4">
        <w:rPr>
          <w:bCs/>
          <w:sz w:val="20"/>
          <w:szCs w:val="20"/>
          <w:lang w:val="es-ES"/>
        </w:rPr>
        <w:t>A los contribuyentes establecidos en la Entidad, que durante el ejercicio fiscal 202</w:t>
      </w:r>
      <w:r w:rsidR="008075CE">
        <w:rPr>
          <w:bCs/>
          <w:sz w:val="20"/>
          <w:szCs w:val="20"/>
          <w:lang w:val="es-ES"/>
        </w:rPr>
        <w:t>6</w:t>
      </w:r>
      <w:r w:rsidRPr="006018F4">
        <w:rPr>
          <w:bCs/>
          <w:sz w:val="20"/>
          <w:szCs w:val="20"/>
          <w:lang w:val="es-ES"/>
        </w:rPr>
        <w:t xml:space="preserve"> contraten a personas con alguna discapacidad se les otorga una exención fiscal del 100 por ciento del Impuesto Sobre Nóminas causado por las remuneraciones económicas que perciban dichas personas.</w:t>
      </w:r>
    </w:p>
    <w:p w14:paraId="4DFA46AB" w14:textId="77777777" w:rsidR="00CD1674" w:rsidRPr="009E6843" w:rsidRDefault="00CD1674" w:rsidP="009E6843">
      <w:pPr>
        <w:spacing w:line="360" w:lineRule="auto"/>
        <w:jc w:val="both"/>
        <w:rPr>
          <w:sz w:val="20"/>
          <w:szCs w:val="20"/>
          <w:lang w:val="es-ES"/>
        </w:rPr>
      </w:pPr>
    </w:p>
    <w:p w14:paraId="1575FFCA"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Los contribuyentes podrán aplicar la exención fiscal, siempre que cumplan con los requisitos señalados en la fracción anterior y además deberán anexar copia del documento que acredite la discapacidad, expedido por autoridad competente, por cada trabajador. </w:t>
      </w:r>
    </w:p>
    <w:p w14:paraId="6AE2B0E9" w14:textId="77777777" w:rsidR="00CD1674" w:rsidRPr="009E6843" w:rsidRDefault="00CD1674" w:rsidP="009E6843">
      <w:pPr>
        <w:spacing w:line="360" w:lineRule="auto"/>
        <w:jc w:val="both"/>
        <w:rPr>
          <w:sz w:val="20"/>
          <w:szCs w:val="20"/>
          <w:lang w:val="es-ES"/>
        </w:rPr>
      </w:pPr>
    </w:p>
    <w:p w14:paraId="15A9D442" w14:textId="6DF7D132" w:rsidR="00CD1674" w:rsidRPr="006018F4" w:rsidRDefault="00CD1674" w:rsidP="00CD1674">
      <w:pPr>
        <w:spacing w:line="360" w:lineRule="auto"/>
        <w:jc w:val="both"/>
        <w:rPr>
          <w:sz w:val="20"/>
          <w:szCs w:val="20"/>
          <w:lang w:val="es-ES"/>
        </w:rPr>
      </w:pPr>
      <w:r w:rsidRPr="006018F4">
        <w:rPr>
          <w:b/>
          <w:bCs/>
          <w:sz w:val="20"/>
          <w:szCs w:val="20"/>
          <w:lang w:val="es-ES"/>
        </w:rPr>
        <w:t>IV.</w:t>
      </w:r>
      <w:r w:rsidRPr="006018F4">
        <w:rPr>
          <w:sz w:val="20"/>
          <w:szCs w:val="20"/>
          <w:lang w:val="es-ES"/>
        </w:rPr>
        <w:t xml:space="preserve"> A los contribuyentes establecidos en la Entidad, que durante el ejercicio fiscal 202</w:t>
      </w:r>
      <w:r w:rsidR="008075CE">
        <w:rPr>
          <w:sz w:val="20"/>
          <w:szCs w:val="20"/>
          <w:lang w:val="es-ES"/>
        </w:rPr>
        <w:t>6</w:t>
      </w:r>
      <w:r w:rsidRPr="006018F4">
        <w:rPr>
          <w:sz w:val="20"/>
          <w:szCs w:val="20"/>
          <w:lang w:val="es-ES"/>
        </w:rPr>
        <w:t xml:space="preserve"> contraten a personas con edad de 60 años en adelante, se les otorga una exención fiscal del 100 por ciento del Impuesto Sobre Nóminas causado por las remuneraciones económicas pagadas a dichas personas. </w:t>
      </w:r>
    </w:p>
    <w:p w14:paraId="2F4093F6" w14:textId="77777777" w:rsidR="00CD1674" w:rsidRPr="006018F4" w:rsidRDefault="00CD1674" w:rsidP="006018F4">
      <w:pPr>
        <w:spacing w:line="360" w:lineRule="auto"/>
        <w:jc w:val="both"/>
        <w:rPr>
          <w:sz w:val="20"/>
          <w:szCs w:val="20"/>
          <w:lang w:val="es-ES"/>
        </w:rPr>
      </w:pPr>
    </w:p>
    <w:p w14:paraId="5B790FBE"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Los contribuyentes podrán aplicar la exención fiscal, siempre que cumplan con los requisitos señalados en la fracción II de este artículo y además anexen copia de la identificación expedida por el Instituto Nacional de las Personas Adultas Mayores. </w:t>
      </w:r>
    </w:p>
    <w:p w14:paraId="4E5DE1E3" w14:textId="77777777" w:rsidR="00CD1674" w:rsidRPr="009E6843" w:rsidRDefault="00CD1674" w:rsidP="00CD1674">
      <w:pPr>
        <w:spacing w:line="360" w:lineRule="auto"/>
        <w:jc w:val="both"/>
        <w:rPr>
          <w:sz w:val="20"/>
          <w:szCs w:val="20"/>
          <w:lang w:val="es-ES"/>
        </w:rPr>
      </w:pPr>
    </w:p>
    <w:p w14:paraId="02AF9098"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La solicitud del Certificado de Promoción Fiscal y la documentación que deban anexar, deberá ser presentada en la Secretaría de Desarrollo Económico, dentro de los cinco días hábiles siguientes a aquel en que concluya el mes por el cual solicita la exención fiscal. </w:t>
      </w:r>
    </w:p>
    <w:p w14:paraId="5468D5A2" w14:textId="77777777" w:rsidR="00A730BB" w:rsidRPr="009E6843" w:rsidRDefault="00A730BB" w:rsidP="00CD1674">
      <w:pPr>
        <w:spacing w:line="360" w:lineRule="auto"/>
        <w:jc w:val="both"/>
        <w:rPr>
          <w:sz w:val="20"/>
          <w:szCs w:val="20"/>
          <w:lang w:val="es-ES"/>
        </w:rPr>
      </w:pPr>
    </w:p>
    <w:p w14:paraId="244AC381" w14:textId="2A350797" w:rsidR="00CD1674" w:rsidRPr="00C450A8" w:rsidRDefault="00CD1674" w:rsidP="00CD1674">
      <w:pPr>
        <w:spacing w:line="360" w:lineRule="auto"/>
        <w:jc w:val="both"/>
        <w:rPr>
          <w:sz w:val="20"/>
          <w:szCs w:val="20"/>
          <w:lang w:val="es-ES"/>
        </w:rPr>
      </w:pPr>
      <w:r w:rsidRPr="009233F1">
        <w:rPr>
          <w:b/>
          <w:sz w:val="20"/>
          <w:szCs w:val="20"/>
          <w:lang w:val="es-ES"/>
        </w:rPr>
        <w:t>ARTÍCULO 18.</w:t>
      </w:r>
      <w:r w:rsidRPr="008D5C06">
        <w:rPr>
          <w:rFonts w:ascii="Arial" w:hAnsi="Arial" w:cs="Arial"/>
        </w:rPr>
        <w:t xml:space="preserve"> </w:t>
      </w:r>
      <w:r w:rsidRPr="00C450A8">
        <w:rPr>
          <w:sz w:val="20"/>
          <w:szCs w:val="20"/>
          <w:lang w:val="es-ES"/>
        </w:rPr>
        <w:t>Los contribuyentes que mantengan el número de trabajadores registrados al mes de diciembre de 202</w:t>
      </w:r>
      <w:r w:rsidR="008075CE">
        <w:rPr>
          <w:sz w:val="20"/>
          <w:szCs w:val="20"/>
          <w:lang w:val="es-ES"/>
        </w:rPr>
        <w:t>5</w:t>
      </w:r>
      <w:r w:rsidRPr="00C450A8">
        <w:rPr>
          <w:sz w:val="20"/>
          <w:szCs w:val="20"/>
          <w:lang w:val="es-ES"/>
        </w:rPr>
        <w:t xml:space="preserve"> y que generen nuevos empleos, conforme a las reglas establecidas en el artículo anterior, se les otorga</w:t>
      </w:r>
      <w:r w:rsidR="00ED4906" w:rsidRPr="00C450A8">
        <w:rPr>
          <w:sz w:val="20"/>
          <w:szCs w:val="20"/>
          <w:lang w:val="es-ES"/>
        </w:rPr>
        <w:t>rá</w:t>
      </w:r>
      <w:r w:rsidRPr="00C450A8">
        <w:rPr>
          <w:sz w:val="20"/>
          <w:szCs w:val="20"/>
          <w:lang w:val="es-ES"/>
        </w:rPr>
        <w:t xml:space="preserve"> un incentivo fiscal </w:t>
      </w:r>
      <w:r w:rsidR="00C75474" w:rsidRPr="00C450A8">
        <w:rPr>
          <w:sz w:val="20"/>
          <w:szCs w:val="20"/>
          <w:lang w:val="es-ES"/>
        </w:rPr>
        <w:t>equivalente al</w:t>
      </w:r>
      <w:r w:rsidRPr="00C450A8">
        <w:rPr>
          <w:sz w:val="20"/>
          <w:szCs w:val="20"/>
          <w:lang w:val="es-ES"/>
        </w:rPr>
        <w:t xml:space="preserve"> 20 por ciento del Impuesto Sobre Nóminas</w:t>
      </w:r>
      <w:r w:rsidR="001C0324" w:rsidRPr="00C450A8">
        <w:rPr>
          <w:sz w:val="20"/>
          <w:szCs w:val="20"/>
          <w:lang w:val="es-ES"/>
        </w:rPr>
        <w:t xml:space="preserve"> de</w:t>
      </w:r>
      <w:r w:rsidR="00ED4906" w:rsidRPr="00C450A8">
        <w:rPr>
          <w:sz w:val="20"/>
          <w:szCs w:val="20"/>
          <w:lang w:val="es-ES"/>
        </w:rPr>
        <w:t>terminado y pagado en e</w:t>
      </w:r>
      <w:r w:rsidR="001C0324" w:rsidRPr="00C450A8">
        <w:rPr>
          <w:sz w:val="20"/>
          <w:szCs w:val="20"/>
          <w:lang w:val="es-ES"/>
        </w:rPr>
        <w:t>l mes de diciembre de 202</w:t>
      </w:r>
      <w:r w:rsidR="008075CE">
        <w:rPr>
          <w:sz w:val="20"/>
          <w:szCs w:val="20"/>
          <w:lang w:val="es-ES"/>
        </w:rPr>
        <w:t>5</w:t>
      </w:r>
      <w:r w:rsidR="00ED4906" w:rsidRPr="00C450A8">
        <w:rPr>
          <w:sz w:val="20"/>
          <w:szCs w:val="20"/>
          <w:lang w:val="es-ES"/>
        </w:rPr>
        <w:t xml:space="preserve">, </w:t>
      </w:r>
      <w:r w:rsidR="00C75474" w:rsidRPr="00C450A8">
        <w:rPr>
          <w:sz w:val="20"/>
          <w:szCs w:val="20"/>
          <w:lang w:val="es-ES"/>
        </w:rPr>
        <w:t xml:space="preserve">siendo </w:t>
      </w:r>
      <w:r w:rsidR="00ED4906" w:rsidRPr="00C450A8">
        <w:rPr>
          <w:sz w:val="20"/>
          <w:szCs w:val="20"/>
          <w:lang w:val="es-ES"/>
        </w:rPr>
        <w:t xml:space="preserve">aplicable </w:t>
      </w:r>
      <w:r w:rsidR="00C75474" w:rsidRPr="00C450A8">
        <w:rPr>
          <w:sz w:val="20"/>
          <w:szCs w:val="20"/>
          <w:lang w:val="es-ES"/>
        </w:rPr>
        <w:t>al impuesto determinado en e</w:t>
      </w:r>
      <w:r w:rsidR="00ED4906" w:rsidRPr="00C450A8">
        <w:rPr>
          <w:sz w:val="20"/>
          <w:szCs w:val="20"/>
          <w:lang w:val="es-ES"/>
        </w:rPr>
        <w:t>l mes que declare</w:t>
      </w:r>
      <w:r w:rsidR="00C75474" w:rsidRPr="00C450A8">
        <w:rPr>
          <w:sz w:val="20"/>
          <w:szCs w:val="20"/>
          <w:lang w:val="es-ES"/>
        </w:rPr>
        <w:t>n</w:t>
      </w:r>
      <w:r w:rsidR="00ED4906" w:rsidRPr="00C450A8">
        <w:rPr>
          <w:sz w:val="20"/>
          <w:szCs w:val="20"/>
          <w:lang w:val="es-ES"/>
        </w:rPr>
        <w:t>.</w:t>
      </w:r>
    </w:p>
    <w:p w14:paraId="633AECC0" w14:textId="77777777" w:rsidR="00CD1674" w:rsidRPr="009E6843" w:rsidRDefault="00CD1674" w:rsidP="00CD1674">
      <w:pPr>
        <w:spacing w:line="360" w:lineRule="auto"/>
        <w:jc w:val="both"/>
        <w:rPr>
          <w:sz w:val="20"/>
          <w:szCs w:val="20"/>
          <w:lang w:val="es-ES"/>
        </w:rPr>
      </w:pPr>
    </w:p>
    <w:p w14:paraId="66997E21" w14:textId="5F2894B0" w:rsidR="00CD1674" w:rsidRDefault="00CD1674" w:rsidP="00CD1674">
      <w:pPr>
        <w:spacing w:line="360" w:lineRule="auto"/>
        <w:jc w:val="both"/>
        <w:rPr>
          <w:sz w:val="20"/>
          <w:szCs w:val="20"/>
          <w:lang w:val="es-ES"/>
        </w:rPr>
      </w:pPr>
      <w:r w:rsidRPr="009233F1">
        <w:rPr>
          <w:b/>
          <w:sz w:val="20"/>
          <w:szCs w:val="20"/>
          <w:lang w:val="es-ES"/>
        </w:rPr>
        <w:t>ARTÍCULO 19.</w:t>
      </w:r>
      <w:r w:rsidRPr="008D5C06">
        <w:rPr>
          <w:rFonts w:ascii="Arial" w:hAnsi="Arial" w:cs="Arial"/>
        </w:rPr>
        <w:t xml:space="preserve"> </w:t>
      </w:r>
      <w:r w:rsidRPr="00C450A8">
        <w:rPr>
          <w:sz w:val="20"/>
          <w:szCs w:val="20"/>
          <w:lang w:val="es-ES"/>
        </w:rPr>
        <w:t>En caso de incumplimiento a cualquiera de los supuestos establecidos en los artículos 17 y 18 de esta Ley, que le sean aplicables, el contribuyente perderá el derecho a la exención y en su caso al incentivo fiscal.</w:t>
      </w:r>
    </w:p>
    <w:p w14:paraId="303FA50F" w14:textId="77777777" w:rsidR="00862374" w:rsidRPr="00C450A8" w:rsidRDefault="00862374" w:rsidP="00CD1674">
      <w:pPr>
        <w:spacing w:line="360" w:lineRule="auto"/>
        <w:jc w:val="both"/>
        <w:rPr>
          <w:sz w:val="20"/>
          <w:szCs w:val="20"/>
          <w:lang w:val="es-ES"/>
        </w:rPr>
      </w:pPr>
    </w:p>
    <w:p w14:paraId="7A51A106" w14:textId="085E7281" w:rsidR="00CD1674" w:rsidRPr="00C450A8" w:rsidRDefault="00CD1674" w:rsidP="00CD1674">
      <w:pPr>
        <w:spacing w:line="360" w:lineRule="auto"/>
        <w:jc w:val="both"/>
        <w:rPr>
          <w:sz w:val="20"/>
          <w:szCs w:val="20"/>
          <w:lang w:val="es-ES"/>
        </w:rPr>
      </w:pPr>
      <w:r w:rsidRPr="00C450A8">
        <w:rPr>
          <w:sz w:val="20"/>
          <w:szCs w:val="20"/>
          <w:lang w:val="es-ES"/>
        </w:rPr>
        <w:t>La Secretaría de Finanzas</w:t>
      </w:r>
      <w:r w:rsidR="00ED4906" w:rsidRPr="00C450A8">
        <w:rPr>
          <w:sz w:val="20"/>
          <w:szCs w:val="20"/>
          <w:lang w:val="es-ES"/>
        </w:rPr>
        <w:t>,</w:t>
      </w:r>
      <w:r w:rsidRPr="00C450A8">
        <w:rPr>
          <w:sz w:val="20"/>
          <w:szCs w:val="20"/>
          <w:lang w:val="es-ES"/>
        </w:rPr>
        <w:t xml:space="preserve"> se reserva las facultades de comprobación previstas en el artículo 61 del Código Financiero para el Estado de Tlaxcala y sus Municipios, y en caso de que el contribuyente aplique una exención o un incentivo fiscal en forma indebida deberá pagar el total del Impuesto Sobre Nóminas a la tasa del 3 por ciento y los accesorios correspondientes, además de </w:t>
      </w:r>
      <w:r w:rsidR="00ED4906" w:rsidRPr="00C450A8">
        <w:rPr>
          <w:sz w:val="20"/>
          <w:szCs w:val="20"/>
          <w:lang w:val="es-ES"/>
        </w:rPr>
        <w:t xml:space="preserve">sujetarse a los procedimientos de </w:t>
      </w:r>
      <w:r w:rsidRPr="00C450A8">
        <w:rPr>
          <w:sz w:val="20"/>
          <w:szCs w:val="20"/>
          <w:lang w:val="es-ES"/>
        </w:rPr>
        <w:t>responsabilidad</w:t>
      </w:r>
      <w:r w:rsidR="00ED4906" w:rsidRPr="00C450A8">
        <w:rPr>
          <w:sz w:val="20"/>
          <w:szCs w:val="20"/>
          <w:lang w:val="es-ES"/>
        </w:rPr>
        <w:t xml:space="preserve"> a que haya lugar y que se deriven de su conducta.</w:t>
      </w:r>
    </w:p>
    <w:p w14:paraId="289B6B07" w14:textId="77777777" w:rsidR="00CD1674" w:rsidRPr="009E6843" w:rsidRDefault="00CD1674" w:rsidP="00CD1674">
      <w:pPr>
        <w:spacing w:line="360" w:lineRule="auto"/>
        <w:jc w:val="both"/>
        <w:rPr>
          <w:sz w:val="20"/>
          <w:szCs w:val="20"/>
          <w:lang w:val="es-ES"/>
        </w:rPr>
      </w:pPr>
    </w:p>
    <w:p w14:paraId="7063FF89" w14:textId="3E58F51A" w:rsidR="00CD1674" w:rsidRPr="00C450A8" w:rsidRDefault="00CD1674" w:rsidP="00CD1674">
      <w:pPr>
        <w:spacing w:line="360" w:lineRule="auto"/>
        <w:jc w:val="both"/>
        <w:rPr>
          <w:sz w:val="20"/>
          <w:szCs w:val="20"/>
          <w:lang w:val="es-ES"/>
        </w:rPr>
      </w:pPr>
      <w:r w:rsidRPr="009233F1">
        <w:rPr>
          <w:b/>
          <w:sz w:val="20"/>
          <w:szCs w:val="20"/>
          <w:lang w:val="es-ES"/>
        </w:rPr>
        <w:t>ARTÍCULO 20.</w:t>
      </w:r>
      <w:r w:rsidRPr="008D5C06">
        <w:rPr>
          <w:rFonts w:ascii="Arial" w:hAnsi="Arial" w:cs="Arial"/>
        </w:rPr>
        <w:t xml:space="preserve"> </w:t>
      </w:r>
      <w:r w:rsidRPr="00C450A8">
        <w:rPr>
          <w:sz w:val="20"/>
          <w:szCs w:val="20"/>
          <w:lang w:val="es-ES"/>
        </w:rPr>
        <w:t>La Secretaría de Finanzas, previa revisión y validación de la información por parte de la Secretaría de Desarrollo Económico, expedirá Certificados de Promoción Fiscal, mismos que serán entregados a los beneficiarios por conducto de la Secretaría de Desarrollo Económico con la finalidad de promover y apoyar las actividades empresariales en materia de generación de nuevos empleos, en un plazo máximo de 7 días hábiles posteriores a la presentación de la solicitud. La respuesta que recaiga a la solicitud del Certificado de Promoción Fiscal, no constituirá instancia.</w:t>
      </w:r>
    </w:p>
    <w:p w14:paraId="474F1B16" w14:textId="77777777" w:rsidR="00CD1674" w:rsidRPr="009E6843" w:rsidRDefault="00CD1674" w:rsidP="00CD1674">
      <w:pPr>
        <w:spacing w:line="360" w:lineRule="auto"/>
        <w:jc w:val="both"/>
        <w:rPr>
          <w:sz w:val="20"/>
          <w:szCs w:val="20"/>
          <w:lang w:val="es-ES"/>
        </w:rPr>
      </w:pPr>
    </w:p>
    <w:p w14:paraId="40CEFF9F" w14:textId="77777777" w:rsidR="00CD1674" w:rsidRPr="008D5C06" w:rsidRDefault="00CD1674" w:rsidP="00CD1674">
      <w:pPr>
        <w:spacing w:line="360" w:lineRule="auto"/>
        <w:jc w:val="both"/>
        <w:rPr>
          <w:rFonts w:ascii="Arial" w:hAnsi="Arial" w:cs="Arial"/>
        </w:rPr>
      </w:pPr>
      <w:r w:rsidRPr="009233F1">
        <w:rPr>
          <w:b/>
          <w:sz w:val="20"/>
          <w:szCs w:val="20"/>
          <w:lang w:val="es-ES"/>
        </w:rPr>
        <w:t>ARTÍCULO 21.</w:t>
      </w:r>
      <w:r w:rsidRPr="008D5C06">
        <w:rPr>
          <w:rFonts w:ascii="Arial" w:hAnsi="Arial" w:cs="Arial"/>
        </w:rPr>
        <w:t xml:space="preserve"> </w:t>
      </w:r>
      <w:r w:rsidRPr="00C450A8">
        <w:rPr>
          <w:sz w:val="20"/>
          <w:szCs w:val="20"/>
          <w:lang w:val="es-ES"/>
        </w:rPr>
        <w:t>La Secretaría de Finanzas, será la dependencia encargada de llevar a cabo los trámites administrativos necesarios para administrar y aplicar las exenciones e incentivos fiscales</w:t>
      </w:r>
      <w:r w:rsidRPr="008D5C06">
        <w:rPr>
          <w:rFonts w:ascii="Arial" w:hAnsi="Arial" w:cs="Arial"/>
        </w:rPr>
        <w:t>.</w:t>
      </w:r>
    </w:p>
    <w:p w14:paraId="60314E6D" w14:textId="77777777" w:rsidR="00CD1674" w:rsidRPr="009E6843" w:rsidRDefault="00CD1674" w:rsidP="00CD1674">
      <w:pPr>
        <w:spacing w:line="360" w:lineRule="auto"/>
        <w:jc w:val="both"/>
        <w:rPr>
          <w:sz w:val="20"/>
          <w:szCs w:val="20"/>
          <w:lang w:val="es-ES"/>
        </w:rPr>
      </w:pPr>
    </w:p>
    <w:p w14:paraId="5E9A995E" w14:textId="77777777" w:rsidR="00CD1674" w:rsidRPr="00C450A8" w:rsidRDefault="00CD1674" w:rsidP="00CD1674">
      <w:pPr>
        <w:spacing w:line="360" w:lineRule="auto"/>
        <w:jc w:val="both"/>
        <w:rPr>
          <w:sz w:val="20"/>
          <w:szCs w:val="20"/>
          <w:lang w:val="es-ES"/>
        </w:rPr>
      </w:pPr>
      <w:r w:rsidRPr="009233F1">
        <w:rPr>
          <w:b/>
          <w:sz w:val="20"/>
          <w:szCs w:val="20"/>
          <w:lang w:val="es-ES"/>
        </w:rPr>
        <w:t>ARTÍCULO 22.</w:t>
      </w:r>
      <w:r w:rsidRPr="008D5C06">
        <w:rPr>
          <w:rFonts w:ascii="Arial" w:hAnsi="Arial" w:cs="Arial"/>
        </w:rPr>
        <w:t xml:space="preserve"> </w:t>
      </w:r>
      <w:r w:rsidRPr="00C450A8">
        <w:rPr>
          <w:sz w:val="20"/>
          <w:szCs w:val="20"/>
          <w:lang w:val="es-ES"/>
        </w:rPr>
        <w:t xml:space="preserve">Los Certificados de Promoción Fiscal deberán contener como mínimo, los datos siguientes: </w:t>
      </w:r>
    </w:p>
    <w:p w14:paraId="6BFA88F5" w14:textId="77777777" w:rsidR="00CD1674" w:rsidRPr="009E6843" w:rsidRDefault="00CD1674" w:rsidP="00CD1674">
      <w:pPr>
        <w:spacing w:line="360" w:lineRule="auto"/>
        <w:jc w:val="both"/>
        <w:rPr>
          <w:sz w:val="20"/>
          <w:szCs w:val="20"/>
          <w:lang w:val="es-ES"/>
        </w:rPr>
      </w:pPr>
    </w:p>
    <w:p w14:paraId="056508BB" w14:textId="77777777" w:rsidR="00CD1674" w:rsidRPr="008D5C06" w:rsidRDefault="00CD1674" w:rsidP="00CD1674">
      <w:pPr>
        <w:numPr>
          <w:ilvl w:val="0"/>
          <w:numId w:val="7"/>
        </w:numPr>
        <w:spacing w:line="360" w:lineRule="auto"/>
        <w:ind w:left="426" w:hanging="426"/>
        <w:jc w:val="both"/>
        <w:rPr>
          <w:rFonts w:ascii="Arial" w:hAnsi="Arial" w:cs="Arial"/>
        </w:rPr>
      </w:pPr>
      <w:r w:rsidRPr="00C450A8">
        <w:rPr>
          <w:sz w:val="20"/>
          <w:szCs w:val="20"/>
          <w:lang w:val="es-ES"/>
        </w:rPr>
        <w:lastRenderedPageBreak/>
        <w:t>Nombre, denominación o razón social del beneficiario, domicilio y Registro Federal de Contribuyentes</w:t>
      </w:r>
      <w:r w:rsidRPr="008D5C06">
        <w:rPr>
          <w:rFonts w:ascii="Arial" w:hAnsi="Arial" w:cs="Arial"/>
        </w:rPr>
        <w:t xml:space="preserve">. </w:t>
      </w:r>
    </w:p>
    <w:p w14:paraId="100CACCD" w14:textId="77777777" w:rsidR="00CD1674" w:rsidRPr="009E6843" w:rsidRDefault="00CD1674" w:rsidP="00CD1674">
      <w:pPr>
        <w:spacing w:line="360" w:lineRule="auto"/>
        <w:jc w:val="both"/>
        <w:rPr>
          <w:sz w:val="20"/>
          <w:szCs w:val="20"/>
          <w:lang w:val="es-ES"/>
        </w:rPr>
      </w:pPr>
    </w:p>
    <w:p w14:paraId="514DF72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Número de folio. </w:t>
      </w:r>
    </w:p>
    <w:p w14:paraId="370FACB2" w14:textId="77777777" w:rsidR="00CD1674" w:rsidRPr="00C450A8" w:rsidRDefault="00CD1674" w:rsidP="00CD1674">
      <w:pPr>
        <w:spacing w:line="360" w:lineRule="auto"/>
        <w:jc w:val="both"/>
        <w:rPr>
          <w:sz w:val="20"/>
          <w:szCs w:val="20"/>
          <w:lang w:val="es-ES"/>
        </w:rPr>
      </w:pPr>
    </w:p>
    <w:p w14:paraId="6F61097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Fecha de expedición. </w:t>
      </w:r>
    </w:p>
    <w:p w14:paraId="78B53481" w14:textId="77777777" w:rsidR="00CD1674" w:rsidRPr="00C450A8" w:rsidRDefault="00CD1674" w:rsidP="00CD1674">
      <w:pPr>
        <w:spacing w:line="360" w:lineRule="auto"/>
        <w:jc w:val="both"/>
        <w:rPr>
          <w:sz w:val="20"/>
          <w:szCs w:val="20"/>
          <w:lang w:val="es-ES"/>
        </w:rPr>
      </w:pPr>
    </w:p>
    <w:p w14:paraId="5AAC3910"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Monto del subsidio que se otorga. </w:t>
      </w:r>
    </w:p>
    <w:p w14:paraId="1C1612ED" w14:textId="77777777" w:rsidR="00CD1674" w:rsidRPr="00C450A8" w:rsidRDefault="00CD1674" w:rsidP="00CD1674">
      <w:pPr>
        <w:spacing w:line="360" w:lineRule="auto"/>
        <w:jc w:val="both"/>
        <w:rPr>
          <w:sz w:val="20"/>
          <w:szCs w:val="20"/>
          <w:lang w:val="es-ES"/>
        </w:rPr>
      </w:pPr>
    </w:p>
    <w:p w14:paraId="15E0C81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Concepto e importe total de las contribuciones por las que se otorga el subsidio. </w:t>
      </w:r>
    </w:p>
    <w:p w14:paraId="6B690AD2" w14:textId="77777777" w:rsidR="00CD1674" w:rsidRPr="00C450A8" w:rsidRDefault="00CD1674" w:rsidP="00CD1674">
      <w:pPr>
        <w:spacing w:line="360" w:lineRule="auto"/>
        <w:jc w:val="both"/>
        <w:rPr>
          <w:sz w:val="20"/>
          <w:szCs w:val="20"/>
          <w:lang w:val="es-ES"/>
        </w:rPr>
      </w:pPr>
    </w:p>
    <w:p w14:paraId="37D10CC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Periodo de las contribuciones que comprende el subsidio otorgado. </w:t>
      </w:r>
    </w:p>
    <w:p w14:paraId="69E41D1C" w14:textId="77777777" w:rsidR="00CD1674" w:rsidRPr="00C450A8" w:rsidRDefault="00CD1674" w:rsidP="00CD1674">
      <w:pPr>
        <w:spacing w:line="360" w:lineRule="auto"/>
        <w:jc w:val="both"/>
        <w:rPr>
          <w:sz w:val="20"/>
          <w:szCs w:val="20"/>
          <w:lang w:val="es-ES"/>
        </w:rPr>
      </w:pPr>
    </w:p>
    <w:p w14:paraId="6F3DADCF"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Vigencia del certificado. </w:t>
      </w:r>
    </w:p>
    <w:p w14:paraId="2C41DAF5" w14:textId="77777777" w:rsidR="00CD1674" w:rsidRPr="00C450A8" w:rsidRDefault="00CD1674" w:rsidP="00CD1674">
      <w:pPr>
        <w:spacing w:line="360" w:lineRule="auto"/>
        <w:jc w:val="both"/>
        <w:rPr>
          <w:sz w:val="20"/>
          <w:szCs w:val="20"/>
          <w:lang w:val="es-ES"/>
        </w:rPr>
      </w:pPr>
    </w:p>
    <w:p w14:paraId="7579AD1C" w14:textId="77777777" w:rsidR="00CD1674" w:rsidRPr="00C450A8" w:rsidRDefault="00CD1674" w:rsidP="00CD1674">
      <w:pPr>
        <w:spacing w:line="360" w:lineRule="auto"/>
        <w:jc w:val="both"/>
        <w:rPr>
          <w:sz w:val="20"/>
          <w:szCs w:val="20"/>
          <w:lang w:val="es-ES"/>
        </w:rPr>
      </w:pPr>
      <w:r w:rsidRPr="00C450A8">
        <w:rPr>
          <w:sz w:val="20"/>
          <w:szCs w:val="20"/>
          <w:lang w:val="es-ES"/>
        </w:rPr>
        <w:t xml:space="preserve">VIII. Dependencia, nombre, cargo y firma de la autoridad que la expide. </w:t>
      </w:r>
    </w:p>
    <w:p w14:paraId="57F30FA5" w14:textId="77777777" w:rsidR="00CD1674" w:rsidRPr="009E6843" w:rsidRDefault="00CD1674" w:rsidP="00CD1674">
      <w:pPr>
        <w:spacing w:line="360" w:lineRule="auto"/>
        <w:jc w:val="both"/>
        <w:rPr>
          <w:sz w:val="20"/>
          <w:szCs w:val="20"/>
          <w:lang w:val="es-ES"/>
        </w:rPr>
      </w:pPr>
    </w:p>
    <w:p w14:paraId="22AC0C2D" w14:textId="3A35DD65" w:rsidR="00CD1674" w:rsidRPr="00C450A8" w:rsidRDefault="00CD1674" w:rsidP="00CD1674">
      <w:pPr>
        <w:spacing w:line="360" w:lineRule="auto"/>
        <w:jc w:val="both"/>
        <w:rPr>
          <w:sz w:val="20"/>
          <w:szCs w:val="20"/>
          <w:lang w:val="es-ES"/>
        </w:rPr>
      </w:pPr>
      <w:r w:rsidRPr="00C450A8">
        <w:rPr>
          <w:b/>
          <w:sz w:val="20"/>
          <w:szCs w:val="20"/>
          <w:lang w:val="es-ES"/>
        </w:rPr>
        <w:t xml:space="preserve">ARTÍCULO 23. </w:t>
      </w:r>
      <w:r w:rsidRPr="00C450A8">
        <w:rPr>
          <w:sz w:val="20"/>
          <w:szCs w:val="20"/>
          <w:lang w:val="es-ES"/>
        </w:rPr>
        <w:t>Los contribuyentes a que se refiere esta Sección, una vez que obtengan el Certificado de Promoción Fiscal, presentarán en la plataforma de la Secretaría</w:t>
      </w:r>
      <w:r w:rsidR="00F03B60">
        <w:rPr>
          <w:sz w:val="20"/>
          <w:szCs w:val="20"/>
          <w:lang w:val="es-ES"/>
        </w:rPr>
        <w:t xml:space="preserve"> de</w:t>
      </w:r>
      <w:r w:rsidRPr="00C450A8">
        <w:rPr>
          <w:sz w:val="20"/>
          <w:szCs w:val="20"/>
          <w:lang w:val="es-ES"/>
        </w:rPr>
        <w:t xml:space="preserve"> Finanzas la declaración del mes que corresponda, posteriormente deberán remitir el formato CPF-S1 a la Dirección de Ingresos y Fiscalización, para la integración de su expediente.</w:t>
      </w:r>
    </w:p>
    <w:p w14:paraId="3D5BEF04" w14:textId="77777777" w:rsidR="00CD1674" w:rsidRPr="00C450A8" w:rsidRDefault="00CD1674" w:rsidP="00CD1674">
      <w:pPr>
        <w:spacing w:line="360" w:lineRule="auto"/>
        <w:jc w:val="both"/>
        <w:rPr>
          <w:sz w:val="20"/>
          <w:szCs w:val="20"/>
          <w:lang w:val="es-ES"/>
        </w:rPr>
      </w:pPr>
    </w:p>
    <w:p w14:paraId="0AED5009" w14:textId="4F2D75F9" w:rsidR="00CD1674" w:rsidRPr="00C450A8" w:rsidRDefault="00CD1674" w:rsidP="00CD1674">
      <w:pPr>
        <w:spacing w:line="360" w:lineRule="auto"/>
        <w:jc w:val="both"/>
        <w:rPr>
          <w:sz w:val="20"/>
          <w:szCs w:val="20"/>
          <w:lang w:val="es-ES"/>
        </w:rPr>
      </w:pPr>
      <w:r w:rsidRPr="00C450A8">
        <w:rPr>
          <w:sz w:val="20"/>
          <w:szCs w:val="20"/>
          <w:lang w:val="es-ES"/>
        </w:rPr>
        <w:t>El Impuesto Sobre Nóminas se pagará adjuntando</w:t>
      </w:r>
      <w:r w:rsidR="00752649" w:rsidRPr="00C450A8">
        <w:rPr>
          <w:sz w:val="20"/>
          <w:szCs w:val="20"/>
          <w:lang w:val="es-ES"/>
        </w:rPr>
        <w:t xml:space="preserve"> a la declaración del periodo que corresponda </w:t>
      </w:r>
      <w:r w:rsidRPr="00C450A8">
        <w:rPr>
          <w:sz w:val="20"/>
          <w:szCs w:val="20"/>
          <w:lang w:val="es-ES"/>
        </w:rPr>
        <w:t>el Certificado de Promoción Fiscal</w:t>
      </w:r>
      <w:r w:rsidR="007F4207" w:rsidRPr="00C450A8">
        <w:rPr>
          <w:sz w:val="20"/>
          <w:szCs w:val="20"/>
          <w:lang w:val="es-ES"/>
        </w:rPr>
        <w:t>,</w:t>
      </w:r>
      <w:r w:rsidRPr="00C450A8">
        <w:rPr>
          <w:sz w:val="20"/>
          <w:szCs w:val="20"/>
          <w:lang w:val="es-ES"/>
        </w:rPr>
        <w:t xml:space="preserve"> </w:t>
      </w:r>
      <w:r w:rsidR="00752649" w:rsidRPr="00C450A8">
        <w:rPr>
          <w:sz w:val="20"/>
          <w:szCs w:val="20"/>
          <w:lang w:val="es-ES"/>
        </w:rPr>
        <w:t>l</w:t>
      </w:r>
      <w:r w:rsidRPr="00C450A8">
        <w:rPr>
          <w:sz w:val="20"/>
          <w:szCs w:val="20"/>
          <w:lang w:val="es-ES"/>
        </w:rPr>
        <w:t xml:space="preserve">a diferencia que resulte del impuesto a cargo y del pagado con el Certificado de Promoción Fiscal, será cubierta por el contribuyente, al momento de hacer efectivo dicho Certificado. </w:t>
      </w:r>
    </w:p>
    <w:p w14:paraId="4D242C1B" w14:textId="77777777" w:rsidR="00CD1674" w:rsidRPr="009E6843" w:rsidRDefault="00CD1674" w:rsidP="00CD1674">
      <w:pPr>
        <w:spacing w:line="360" w:lineRule="auto"/>
        <w:jc w:val="both"/>
        <w:rPr>
          <w:sz w:val="20"/>
          <w:szCs w:val="20"/>
          <w:lang w:val="es-ES"/>
        </w:rPr>
      </w:pPr>
    </w:p>
    <w:p w14:paraId="7FBCE28B" w14:textId="40D9AB02" w:rsidR="00CD1674" w:rsidRPr="00C450A8" w:rsidRDefault="00CD1674" w:rsidP="00CD1674">
      <w:pPr>
        <w:spacing w:line="360" w:lineRule="auto"/>
        <w:jc w:val="both"/>
        <w:rPr>
          <w:sz w:val="20"/>
          <w:szCs w:val="20"/>
          <w:lang w:val="es-ES"/>
        </w:rPr>
      </w:pPr>
      <w:r w:rsidRPr="00C450A8">
        <w:rPr>
          <w:b/>
          <w:sz w:val="20"/>
          <w:szCs w:val="20"/>
          <w:lang w:val="es-ES"/>
        </w:rPr>
        <w:t>ARTÍCULO 24.</w:t>
      </w:r>
      <w:r w:rsidRPr="008D5C06">
        <w:rPr>
          <w:rFonts w:ascii="Arial" w:hAnsi="Arial" w:cs="Arial"/>
        </w:rPr>
        <w:t xml:space="preserve"> </w:t>
      </w:r>
      <w:r w:rsidR="003A5D15">
        <w:rPr>
          <w:sz w:val="20"/>
          <w:szCs w:val="20"/>
          <w:lang w:val="es-ES"/>
        </w:rPr>
        <w:t>La</w:t>
      </w:r>
      <w:r w:rsidRPr="00C450A8">
        <w:rPr>
          <w:sz w:val="20"/>
          <w:szCs w:val="20"/>
          <w:lang w:val="es-ES"/>
        </w:rPr>
        <w:t xml:space="preserve">s personas físicas o morales sujetas al pago de la tasa del 3 por ciento del Impuesto Sobre Nóminas, cuyo domicilio sea temporal o permanente en el Estado, y que no gocen de los beneficios previstos en los artículos 16 a 18 de esta Ley, para el cálculo del Impuesto establecido en el artículo 131 del Código Financiero para el Estado de Tlaxcala y sus Municipios, gozarán de un incentivo fiscal equivalente al 33 por ciento del total del impuesto a pagar. </w:t>
      </w:r>
    </w:p>
    <w:p w14:paraId="017B2F94" w14:textId="77777777" w:rsidR="00C450A8" w:rsidRPr="009E6843" w:rsidRDefault="00C450A8" w:rsidP="00CD1674">
      <w:pPr>
        <w:spacing w:line="360" w:lineRule="auto"/>
        <w:jc w:val="both"/>
        <w:rPr>
          <w:sz w:val="20"/>
          <w:szCs w:val="20"/>
          <w:lang w:val="es-ES"/>
        </w:rPr>
      </w:pPr>
    </w:p>
    <w:p w14:paraId="57E03D0C" w14:textId="77777777" w:rsidR="00CD1674" w:rsidRPr="00C450A8" w:rsidRDefault="00CD1674" w:rsidP="00CD1674">
      <w:pPr>
        <w:spacing w:line="360" w:lineRule="auto"/>
        <w:jc w:val="both"/>
        <w:rPr>
          <w:sz w:val="20"/>
          <w:szCs w:val="20"/>
          <w:lang w:val="es-ES"/>
        </w:rPr>
      </w:pPr>
      <w:r w:rsidRPr="00C450A8">
        <w:rPr>
          <w:sz w:val="20"/>
          <w:szCs w:val="20"/>
          <w:lang w:val="es-ES"/>
        </w:rPr>
        <w:t xml:space="preserve">Para la aplicación del incentivo fiscal del 33 por ciento, se deben cumplir con los requisitos siguientes: </w:t>
      </w:r>
    </w:p>
    <w:p w14:paraId="5092D604" w14:textId="77777777" w:rsidR="00CD1674" w:rsidRPr="009E6843" w:rsidRDefault="00CD1674" w:rsidP="00CD1674">
      <w:pPr>
        <w:spacing w:line="360" w:lineRule="auto"/>
        <w:jc w:val="both"/>
        <w:rPr>
          <w:sz w:val="20"/>
          <w:szCs w:val="20"/>
          <w:lang w:val="es-ES"/>
        </w:rPr>
      </w:pPr>
    </w:p>
    <w:p w14:paraId="2C293D6F" w14:textId="77777777"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 xml:space="preserve">Que tengan su domicilio fiscal de manera temporal o permanente dentro del territorio del Estado de Tlaxcala. </w:t>
      </w:r>
    </w:p>
    <w:p w14:paraId="452686F8" w14:textId="77777777" w:rsidR="00CD1674" w:rsidRPr="00C450A8" w:rsidRDefault="00CD1674" w:rsidP="00FE4376">
      <w:pPr>
        <w:pStyle w:val="Prrafodelista"/>
        <w:spacing w:line="360" w:lineRule="auto"/>
        <w:ind w:left="426"/>
        <w:jc w:val="both"/>
        <w:rPr>
          <w:sz w:val="20"/>
          <w:szCs w:val="20"/>
          <w:lang w:val="es-ES"/>
        </w:rPr>
      </w:pPr>
    </w:p>
    <w:p w14:paraId="7214A20C" w14:textId="7E9E4B52" w:rsidR="00CD1674"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 xml:space="preserve">Que se encuentren dados de alta en el padrón estatal de contribuyentes del Impuesto Sobre Nóminas. </w:t>
      </w:r>
    </w:p>
    <w:p w14:paraId="19BC742A" w14:textId="77777777" w:rsidR="00FE4376" w:rsidRPr="00FE4376" w:rsidRDefault="00FE4376" w:rsidP="00FE4376">
      <w:pPr>
        <w:spacing w:line="360" w:lineRule="auto"/>
        <w:jc w:val="both"/>
        <w:rPr>
          <w:sz w:val="20"/>
          <w:szCs w:val="20"/>
          <w:lang w:val="es-ES"/>
        </w:rPr>
      </w:pPr>
    </w:p>
    <w:p w14:paraId="497303DB" w14:textId="7982524D"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Que estén al corriente en el pago del Impuesto Sobre Nóminas y haber presentado sus declaraciones en tiempo y forma</w:t>
      </w:r>
      <w:r w:rsidR="00092E90" w:rsidRPr="00C450A8">
        <w:rPr>
          <w:sz w:val="20"/>
          <w:szCs w:val="20"/>
          <w:lang w:val="es-ES"/>
        </w:rPr>
        <w:t xml:space="preserve"> por los doce meses previos al periodo que se otorgue.</w:t>
      </w:r>
      <w:r w:rsidRPr="00C450A8">
        <w:rPr>
          <w:sz w:val="20"/>
          <w:szCs w:val="20"/>
          <w:lang w:val="es-ES"/>
        </w:rPr>
        <w:t xml:space="preserve"> </w:t>
      </w:r>
    </w:p>
    <w:p w14:paraId="5C67C206" w14:textId="77777777" w:rsidR="00CD1674" w:rsidRPr="00C450A8" w:rsidRDefault="00CD1674" w:rsidP="00FE4376">
      <w:pPr>
        <w:pStyle w:val="Prrafodelista"/>
        <w:spacing w:line="360" w:lineRule="auto"/>
        <w:ind w:left="426"/>
        <w:jc w:val="both"/>
        <w:rPr>
          <w:sz w:val="20"/>
          <w:szCs w:val="20"/>
          <w:lang w:val="es-ES"/>
        </w:rPr>
      </w:pPr>
    </w:p>
    <w:p w14:paraId="138B3560" w14:textId="1D428BEB"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 xml:space="preserve">Que no tengan en trámite medios de defensa en contra de adeudos fiscales por concepto del Impuesto Sobre Nóminas, o </w:t>
      </w:r>
      <w:r w:rsidR="00092E90" w:rsidRPr="00C450A8">
        <w:rPr>
          <w:sz w:val="20"/>
          <w:szCs w:val="20"/>
          <w:lang w:val="es-ES"/>
        </w:rPr>
        <w:t>que,</w:t>
      </w:r>
      <w:r w:rsidRPr="00C450A8">
        <w:rPr>
          <w:sz w:val="20"/>
          <w:szCs w:val="20"/>
          <w:lang w:val="es-ES"/>
        </w:rPr>
        <w:t xml:space="preserve"> teniéndolos, el interés fiscal esté plenamente garantizado a satisfacción de la autoridad fiscal. </w:t>
      </w:r>
    </w:p>
    <w:p w14:paraId="74E8CC84" w14:textId="77777777" w:rsidR="003C4100" w:rsidRPr="00C450A8" w:rsidRDefault="003C4100" w:rsidP="00FE4376">
      <w:pPr>
        <w:pStyle w:val="Prrafodelista"/>
        <w:spacing w:line="360" w:lineRule="auto"/>
        <w:ind w:left="426"/>
        <w:jc w:val="both"/>
        <w:rPr>
          <w:sz w:val="20"/>
          <w:szCs w:val="20"/>
          <w:lang w:val="es-ES"/>
        </w:rPr>
      </w:pPr>
    </w:p>
    <w:p w14:paraId="4D3E950C" w14:textId="42E6E113" w:rsidR="003C4100" w:rsidRPr="00C450A8" w:rsidRDefault="003C4100"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Contar con autorización expresa por parte de la Secretaría de Finanzas para la aplicación de los incentivos a que sea acreedor.</w:t>
      </w:r>
    </w:p>
    <w:p w14:paraId="5E8B6B81" w14:textId="377C5E50" w:rsidR="00CD1674" w:rsidRPr="009E6843" w:rsidRDefault="00CD1674" w:rsidP="009E6843">
      <w:pPr>
        <w:spacing w:line="360" w:lineRule="auto"/>
        <w:jc w:val="both"/>
        <w:rPr>
          <w:sz w:val="20"/>
          <w:szCs w:val="20"/>
          <w:lang w:val="es-ES"/>
        </w:rPr>
      </w:pPr>
    </w:p>
    <w:p w14:paraId="05223929" w14:textId="1858321E" w:rsidR="00CD1674" w:rsidRDefault="003C4100" w:rsidP="00CD1674">
      <w:pPr>
        <w:spacing w:line="360" w:lineRule="auto"/>
        <w:jc w:val="both"/>
        <w:rPr>
          <w:sz w:val="20"/>
          <w:szCs w:val="20"/>
          <w:lang w:val="es-ES"/>
        </w:rPr>
      </w:pPr>
      <w:r w:rsidRPr="00C450A8">
        <w:rPr>
          <w:sz w:val="20"/>
          <w:szCs w:val="20"/>
          <w:lang w:val="es-ES"/>
        </w:rPr>
        <w:lastRenderedPageBreak/>
        <w:t xml:space="preserve">Para efectos de contar con la autorización expresa de la Secretaría de Finanzas, </w:t>
      </w:r>
      <w:r w:rsidR="00CD1674" w:rsidRPr="00C450A8">
        <w:rPr>
          <w:sz w:val="20"/>
          <w:szCs w:val="20"/>
          <w:lang w:val="es-ES"/>
        </w:rPr>
        <w:t xml:space="preserve">los contribuyentes deberán: </w:t>
      </w:r>
    </w:p>
    <w:p w14:paraId="17743DC1" w14:textId="77777777" w:rsidR="00DB1F68" w:rsidRDefault="00DB1F68" w:rsidP="00CD1674">
      <w:pPr>
        <w:spacing w:line="360" w:lineRule="auto"/>
        <w:jc w:val="both"/>
        <w:rPr>
          <w:sz w:val="20"/>
          <w:szCs w:val="20"/>
          <w:lang w:val="es-ES"/>
        </w:rPr>
      </w:pPr>
    </w:p>
    <w:p w14:paraId="11CBD21B" w14:textId="79676288" w:rsidR="00CD1674" w:rsidRPr="00C450A8" w:rsidRDefault="00CD1674" w:rsidP="00CD1674">
      <w:pPr>
        <w:spacing w:line="360" w:lineRule="auto"/>
        <w:jc w:val="both"/>
        <w:rPr>
          <w:sz w:val="20"/>
          <w:szCs w:val="20"/>
          <w:lang w:val="es-ES"/>
        </w:rPr>
      </w:pPr>
      <w:r w:rsidRPr="00C450A8">
        <w:rPr>
          <w:sz w:val="20"/>
          <w:szCs w:val="20"/>
          <w:lang w:val="es-ES"/>
        </w:rPr>
        <w:t>1. Solicitar por escrito, dentro de los primeros cinco días hábiles del primer mes del trimestre que corresponda la aplicación del incentivo fiscal del 33 por ciento.</w:t>
      </w:r>
    </w:p>
    <w:p w14:paraId="53481BA4" w14:textId="77777777" w:rsidR="00CD1674" w:rsidRPr="009E6843" w:rsidRDefault="00CD1674" w:rsidP="00CD1674">
      <w:pPr>
        <w:spacing w:line="360" w:lineRule="auto"/>
        <w:jc w:val="both"/>
        <w:rPr>
          <w:sz w:val="20"/>
          <w:szCs w:val="20"/>
          <w:lang w:val="es-ES"/>
        </w:rPr>
      </w:pPr>
    </w:p>
    <w:p w14:paraId="10594783" w14:textId="77777777" w:rsidR="00CD1674" w:rsidRPr="00C450A8" w:rsidRDefault="00CD1674" w:rsidP="00CD1674">
      <w:pPr>
        <w:spacing w:line="360" w:lineRule="auto"/>
        <w:jc w:val="both"/>
        <w:rPr>
          <w:sz w:val="20"/>
          <w:szCs w:val="20"/>
          <w:lang w:val="es-ES"/>
        </w:rPr>
      </w:pPr>
      <w:r w:rsidRPr="00C450A8">
        <w:rPr>
          <w:sz w:val="20"/>
          <w:szCs w:val="20"/>
          <w:lang w:val="es-ES"/>
        </w:rPr>
        <w:t>2. La solicitud a la Secretaría de Finanzas, debe contener como mínimo el Registro Federal de Contribuyentes, domicilio fiscal, número telefónico, correo electrónico, en caso de personas físicas, firma del solicitante y tratándose de personas morales, además de la firma del representante legal original para cotejo y copia del acta constitutiva correspondiente.</w:t>
      </w:r>
    </w:p>
    <w:p w14:paraId="4C191367" w14:textId="77777777" w:rsidR="00CD1674" w:rsidRPr="00C450A8" w:rsidRDefault="00CD1674" w:rsidP="00CD1674">
      <w:pPr>
        <w:spacing w:line="360" w:lineRule="auto"/>
        <w:jc w:val="both"/>
        <w:rPr>
          <w:sz w:val="20"/>
          <w:szCs w:val="20"/>
          <w:lang w:val="es-ES"/>
        </w:rPr>
      </w:pPr>
    </w:p>
    <w:p w14:paraId="790A33B3" w14:textId="77777777" w:rsidR="00CD1674" w:rsidRPr="00C450A8" w:rsidRDefault="00CD1674" w:rsidP="00CD1674">
      <w:pPr>
        <w:spacing w:line="360" w:lineRule="auto"/>
        <w:jc w:val="both"/>
        <w:rPr>
          <w:sz w:val="20"/>
          <w:szCs w:val="20"/>
          <w:lang w:val="es-ES"/>
        </w:rPr>
      </w:pPr>
      <w:r w:rsidRPr="00C450A8">
        <w:rPr>
          <w:sz w:val="20"/>
          <w:szCs w:val="20"/>
          <w:lang w:val="es-ES"/>
        </w:rPr>
        <w:t>3. Una vez presentada la solicitud por escrito, la Secretaría de Finanzas determinará en un plazo de cinco a ocho días hábiles si cumple o no con los requisitos establecidos en las fracciones I a V del presente artículo, para acceder al incentivo fiscal, lo que será informado a la persona contribuyente dentro de los 10 días hábiles posteriores a su determinación.</w:t>
      </w:r>
    </w:p>
    <w:p w14:paraId="176E5FB4" w14:textId="77777777" w:rsidR="00CD1674" w:rsidRPr="00C450A8" w:rsidRDefault="00CD1674" w:rsidP="00CD1674">
      <w:pPr>
        <w:spacing w:line="360" w:lineRule="auto"/>
        <w:jc w:val="both"/>
        <w:rPr>
          <w:sz w:val="20"/>
          <w:szCs w:val="20"/>
          <w:lang w:val="es-ES"/>
        </w:rPr>
      </w:pPr>
    </w:p>
    <w:p w14:paraId="005A31AB" w14:textId="0E3BF94A" w:rsidR="00CD1674" w:rsidRPr="00C450A8" w:rsidRDefault="00CD1674" w:rsidP="00CD1674">
      <w:pPr>
        <w:spacing w:line="360" w:lineRule="auto"/>
        <w:jc w:val="both"/>
        <w:rPr>
          <w:sz w:val="20"/>
          <w:szCs w:val="20"/>
          <w:lang w:val="es-ES"/>
        </w:rPr>
      </w:pPr>
      <w:r w:rsidRPr="00C450A8">
        <w:rPr>
          <w:sz w:val="20"/>
          <w:szCs w:val="20"/>
          <w:lang w:val="es-ES"/>
        </w:rPr>
        <w:t xml:space="preserve">El incentivo fiscal previsto en este artículo no es aplicable si se goza de los beneficios previstos en los artículos 16 al 18 de la presente Ley. </w:t>
      </w:r>
    </w:p>
    <w:p w14:paraId="1BE57E7D" w14:textId="77777777" w:rsidR="000E22EE" w:rsidRPr="009E6843" w:rsidRDefault="000E22EE" w:rsidP="00CD1674">
      <w:pPr>
        <w:spacing w:line="360" w:lineRule="auto"/>
        <w:jc w:val="both"/>
        <w:rPr>
          <w:sz w:val="20"/>
          <w:szCs w:val="20"/>
          <w:lang w:val="es-ES"/>
        </w:rPr>
      </w:pPr>
    </w:p>
    <w:p w14:paraId="1536F58F" w14:textId="77777777" w:rsidR="00CD1674" w:rsidRPr="00C450A8" w:rsidRDefault="00CD1674" w:rsidP="00CD1674">
      <w:pPr>
        <w:spacing w:line="360" w:lineRule="auto"/>
        <w:jc w:val="center"/>
        <w:rPr>
          <w:b/>
          <w:sz w:val="20"/>
          <w:szCs w:val="20"/>
          <w:lang w:val="es-ES"/>
        </w:rPr>
      </w:pPr>
      <w:r w:rsidRPr="00C450A8">
        <w:rPr>
          <w:b/>
          <w:sz w:val="20"/>
          <w:szCs w:val="20"/>
          <w:lang w:val="es-ES"/>
        </w:rPr>
        <w:t xml:space="preserve">Sección II </w:t>
      </w:r>
    </w:p>
    <w:p w14:paraId="78772E30" w14:textId="77777777" w:rsidR="00CD1674" w:rsidRPr="00C450A8" w:rsidRDefault="00CD1674" w:rsidP="00CD1674">
      <w:pPr>
        <w:spacing w:line="360" w:lineRule="auto"/>
        <w:jc w:val="center"/>
        <w:rPr>
          <w:b/>
          <w:sz w:val="20"/>
          <w:szCs w:val="20"/>
          <w:lang w:val="es-ES"/>
        </w:rPr>
      </w:pPr>
      <w:r w:rsidRPr="00C450A8">
        <w:rPr>
          <w:b/>
          <w:sz w:val="20"/>
          <w:szCs w:val="20"/>
          <w:lang w:val="es-ES"/>
        </w:rPr>
        <w:t>Impuesto Sobre Adquisición de Vehículos Automotores Usados</w:t>
      </w:r>
    </w:p>
    <w:p w14:paraId="0F33CCF8" w14:textId="77777777" w:rsidR="00CD1674" w:rsidRPr="009E6843" w:rsidRDefault="00CD1674" w:rsidP="00CD1674">
      <w:pPr>
        <w:spacing w:line="360" w:lineRule="auto"/>
        <w:jc w:val="both"/>
        <w:rPr>
          <w:sz w:val="20"/>
          <w:szCs w:val="20"/>
          <w:lang w:val="es-ES"/>
        </w:rPr>
      </w:pPr>
    </w:p>
    <w:p w14:paraId="450D1F6F" w14:textId="3AA4557D" w:rsidR="00CD1674" w:rsidRPr="008D5C06" w:rsidRDefault="00CD1674" w:rsidP="00CD1674">
      <w:pPr>
        <w:spacing w:line="360" w:lineRule="auto"/>
        <w:jc w:val="both"/>
        <w:rPr>
          <w:rFonts w:ascii="Arial" w:hAnsi="Arial" w:cs="Arial"/>
        </w:rPr>
      </w:pPr>
      <w:r w:rsidRPr="00C450A8">
        <w:rPr>
          <w:b/>
          <w:sz w:val="20"/>
          <w:szCs w:val="20"/>
          <w:lang w:val="es-ES"/>
        </w:rPr>
        <w:t xml:space="preserve">ARTÍCULO 25. </w:t>
      </w:r>
      <w:r w:rsidRPr="00C450A8">
        <w:rPr>
          <w:sz w:val="20"/>
          <w:szCs w:val="20"/>
          <w:lang w:val="es-ES"/>
        </w:rPr>
        <w:t xml:space="preserve">Los contribuyentes del Impuesto Sobre Adquisición de Vehículos Automotores Usados a que se refiere el artículo 137 y demás correlativos del Código Financiero para el Estado de Tlaxcala y sus </w:t>
      </w:r>
      <w:r w:rsidRPr="00C450A8">
        <w:rPr>
          <w:sz w:val="20"/>
          <w:szCs w:val="20"/>
          <w:lang w:val="es-ES"/>
        </w:rPr>
        <w:lastRenderedPageBreak/>
        <w:t>Municipios, que regularicen su situación fiscal mediante su entero en una sola exhibición</w:t>
      </w:r>
      <w:r w:rsidR="007844AD" w:rsidRPr="00C450A8">
        <w:rPr>
          <w:sz w:val="20"/>
          <w:szCs w:val="20"/>
          <w:lang w:val="es-ES"/>
        </w:rPr>
        <w:t xml:space="preserve"> en el periodo de enero a abril de 202</w:t>
      </w:r>
      <w:r w:rsidR="008075CE">
        <w:rPr>
          <w:sz w:val="20"/>
          <w:szCs w:val="20"/>
          <w:lang w:val="es-ES"/>
        </w:rPr>
        <w:t>6</w:t>
      </w:r>
      <w:r w:rsidRPr="00C450A8">
        <w:rPr>
          <w:sz w:val="20"/>
          <w:szCs w:val="20"/>
          <w:lang w:val="es-ES"/>
        </w:rPr>
        <w:t xml:space="preserve">, gozarán de una condonación en recargos y multas </w:t>
      </w:r>
      <w:r w:rsidR="007844AD" w:rsidRPr="00C450A8">
        <w:rPr>
          <w:sz w:val="20"/>
          <w:szCs w:val="20"/>
          <w:lang w:val="es-ES"/>
        </w:rPr>
        <w:t>equivalente al 100 por ciento.</w:t>
      </w:r>
    </w:p>
    <w:p w14:paraId="495D7D0E" w14:textId="77777777" w:rsidR="00CD1674" w:rsidRPr="00C450A8" w:rsidRDefault="00CD1674" w:rsidP="00CD1674">
      <w:pPr>
        <w:spacing w:line="360" w:lineRule="auto"/>
        <w:jc w:val="center"/>
        <w:rPr>
          <w:b/>
          <w:sz w:val="20"/>
          <w:szCs w:val="20"/>
          <w:lang w:val="es-ES"/>
        </w:rPr>
      </w:pPr>
      <w:r w:rsidRPr="00C450A8">
        <w:rPr>
          <w:b/>
          <w:sz w:val="20"/>
          <w:szCs w:val="20"/>
          <w:lang w:val="es-ES"/>
        </w:rPr>
        <w:t>Sección III</w:t>
      </w:r>
    </w:p>
    <w:p w14:paraId="22934CF1" w14:textId="77777777" w:rsidR="00CD1674" w:rsidRPr="00C450A8" w:rsidRDefault="00CD1674" w:rsidP="00CD1674">
      <w:pPr>
        <w:spacing w:line="360" w:lineRule="auto"/>
        <w:jc w:val="center"/>
        <w:rPr>
          <w:b/>
          <w:sz w:val="20"/>
          <w:szCs w:val="20"/>
          <w:lang w:val="es-ES"/>
        </w:rPr>
      </w:pPr>
      <w:r w:rsidRPr="00C450A8">
        <w:rPr>
          <w:b/>
          <w:sz w:val="20"/>
          <w:szCs w:val="20"/>
          <w:lang w:val="es-ES"/>
        </w:rPr>
        <w:t>Impuesto Estatal Sobre Tenencia o Uso de Vehículos</w:t>
      </w:r>
    </w:p>
    <w:p w14:paraId="07FB7EA3" w14:textId="77777777" w:rsidR="00CD1674" w:rsidRPr="009E6843" w:rsidRDefault="00CD1674" w:rsidP="00CD1674">
      <w:pPr>
        <w:spacing w:line="360" w:lineRule="auto"/>
        <w:jc w:val="both"/>
        <w:rPr>
          <w:sz w:val="20"/>
          <w:szCs w:val="20"/>
          <w:lang w:val="es-ES"/>
        </w:rPr>
      </w:pPr>
    </w:p>
    <w:p w14:paraId="5635F8D2" w14:textId="7ED3607E" w:rsidR="00CD1674" w:rsidRPr="00C450A8" w:rsidRDefault="00CD1674" w:rsidP="00CD1674">
      <w:pPr>
        <w:spacing w:line="360" w:lineRule="auto"/>
        <w:jc w:val="both"/>
        <w:rPr>
          <w:sz w:val="20"/>
          <w:szCs w:val="20"/>
          <w:lang w:val="es-ES"/>
        </w:rPr>
      </w:pPr>
      <w:r w:rsidRPr="00C450A8">
        <w:rPr>
          <w:b/>
          <w:sz w:val="20"/>
          <w:szCs w:val="20"/>
          <w:lang w:val="es-ES"/>
        </w:rPr>
        <w:t>ARTÍCULO 26.</w:t>
      </w:r>
      <w:r w:rsidRPr="008D5C06">
        <w:rPr>
          <w:rFonts w:ascii="Arial" w:hAnsi="Arial" w:cs="Arial"/>
        </w:rPr>
        <w:t xml:space="preserve"> </w:t>
      </w:r>
      <w:r w:rsidR="00D251AD">
        <w:rPr>
          <w:sz w:val="20"/>
          <w:szCs w:val="20"/>
          <w:lang w:val="es-ES"/>
        </w:rPr>
        <w:t>L</w:t>
      </w:r>
      <w:r w:rsidRPr="00C450A8">
        <w:rPr>
          <w:sz w:val="20"/>
          <w:szCs w:val="20"/>
          <w:lang w:val="es-ES"/>
        </w:rPr>
        <w:t>os propietarios, tenedores o usuarios de vehículos automotores que tengan la obligación de pagar el Impuesto Estatal Sobre Tenencia o Uso de Vehículos a que se refiere el artículo 91 y demás relativos del Código Financiero para el Estado de Tlaxcala y sus Municipios, que tengan adeudos de ejercicios anteriores a 202</w:t>
      </w:r>
      <w:r w:rsidR="008075CE">
        <w:rPr>
          <w:sz w:val="20"/>
          <w:szCs w:val="20"/>
          <w:lang w:val="es-ES"/>
        </w:rPr>
        <w:t>6</w:t>
      </w:r>
      <w:r w:rsidRPr="00C450A8">
        <w:rPr>
          <w:sz w:val="20"/>
          <w:szCs w:val="20"/>
          <w:lang w:val="es-ES"/>
        </w:rPr>
        <w:t>, sólo pagarán el impuesto correspondiente a los dos últimos años adeudados, sin pagar multas, recargos y actualizaciones, conjuntamente con el pago del impuesto correspondiente al Ejercicio Fiscal 202</w:t>
      </w:r>
      <w:r w:rsidR="008075CE">
        <w:rPr>
          <w:sz w:val="20"/>
          <w:szCs w:val="20"/>
          <w:lang w:val="es-ES"/>
        </w:rPr>
        <w:t>6</w:t>
      </w:r>
      <w:r w:rsidRPr="00C450A8">
        <w:rPr>
          <w:sz w:val="20"/>
          <w:szCs w:val="20"/>
          <w:lang w:val="es-ES"/>
        </w:rPr>
        <w:t>, siempre y cuando regularicen su situación a más tardar el 30 de abril de 202</w:t>
      </w:r>
      <w:r w:rsidR="008075CE">
        <w:rPr>
          <w:sz w:val="20"/>
          <w:szCs w:val="20"/>
          <w:lang w:val="es-ES"/>
        </w:rPr>
        <w:t>6</w:t>
      </w:r>
      <w:r w:rsidRPr="00C450A8">
        <w:rPr>
          <w:sz w:val="20"/>
          <w:szCs w:val="20"/>
          <w:lang w:val="es-ES"/>
        </w:rPr>
        <w:t>, y cumplan con los requisitos que para tal efecto establezca la Secretaría de Finanzas y la Secretaría de Movilidad y Transporte.</w:t>
      </w:r>
    </w:p>
    <w:p w14:paraId="6F9786AC" w14:textId="77777777" w:rsidR="00CD1674" w:rsidRPr="009E6843" w:rsidRDefault="00CD1674" w:rsidP="00CD1674">
      <w:pPr>
        <w:spacing w:line="360" w:lineRule="auto"/>
        <w:jc w:val="both"/>
        <w:rPr>
          <w:sz w:val="20"/>
          <w:szCs w:val="20"/>
          <w:lang w:val="es-ES"/>
        </w:rPr>
      </w:pPr>
    </w:p>
    <w:p w14:paraId="23167464" w14:textId="1254BDA5" w:rsidR="00CD1674" w:rsidRPr="002443B7" w:rsidRDefault="00CD1674" w:rsidP="00CD1674">
      <w:pPr>
        <w:spacing w:line="360" w:lineRule="auto"/>
        <w:jc w:val="both"/>
        <w:rPr>
          <w:sz w:val="20"/>
          <w:szCs w:val="20"/>
          <w:lang w:val="es-ES"/>
        </w:rPr>
      </w:pPr>
      <w:r w:rsidRPr="00C450A8">
        <w:rPr>
          <w:b/>
          <w:sz w:val="20"/>
          <w:szCs w:val="20"/>
          <w:lang w:val="es-ES"/>
        </w:rPr>
        <w:t>ARTÍCULO 27.</w:t>
      </w:r>
      <w:r w:rsidRPr="002443B7">
        <w:rPr>
          <w:sz w:val="20"/>
          <w:szCs w:val="20"/>
          <w:lang w:val="es-ES"/>
        </w:rPr>
        <w:t xml:space="preserve"> Para efectos de los artículos 97 A y 97 B del Código Financiero para el Estado de Tlaxcala y sus Municipios, los propietarios, tenedores o usuarios de vehículos automotores, cuyo valor total del vehículo sea hasta por un monto de $</w:t>
      </w:r>
      <w:r w:rsidR="001D20D4" w:rsidRPr="002443B7">
        <w:rPr>
          <w:sz w:val="20"/>
          <w:szCs w:val="20"/>
          <w:lang w:val="es-ES"/>
        </w:rPr>
        <w:t>5</w:t>
      </w:r>
      <w:r w:rsidR="00594209" w:rsidRPr="002443B7">
        <w:rPr>
          <w:sz w:val="20"/>
          <w:szCs w:val="20"/>
          <w:lang w:val="es-ES"/>
        </w:rPr>
        <w:t>50</w:t>
      </w:r>
      <w:r w:rsidRPr="002443B7">
        <w:rPr>
          <w:sz w:val="20"/>
          <w:szCs w:val="20"/>
          <w:lang w:val="es-ES"/>
        </w:rPr>
        <w:t>,000.00, calcularán el impuesto aplicando la tasa del cero por ciento.</w:t>
      </w:r>
    </w:p>
    <w:p w14:paraId="2F7BD634" w14:textId="77777777" w:rsidR="00CD1674" w:rsidRPr="002443B7" w:rsidRDefault="00CD1674" w:rsidP="00CD1674">
      <w:pPr>
        <w:spacing w:line="360" w:lineRule="auto"/>
        <w:jc w:val="both"/>
        <w:rPr>
          <w:sz w:val="20"/>
          <w:szCs w:val="20"/>
          <w:lang w:val="es-ES"/>
        </w:rPr>
      </w:pPr>
    </w:p>
    <w:p w14:paraId="3CD5535F" w14:textId="37C03EF0" w:rsidR="00CD1674" w:rsidRPr="002443B7" w:rsidRDefault="00CD1674" w:rsidP="00CD1674">
      <w:pPr>
        <w:spacing w:line="360" w:lineRule="auto"/>
        <w:jc w:val="both"/>
        <w:rPr>
          <w:sz w:val="20"/>
          <w:szCs w:val="20"/>
          <w:lang w:val="es-ES"/>
        </w:rPr>
      </w:pPr>
      <w:r w:rsidRPr="002443B7">
        <w:rPr>
          <w:sz w:val="20"/>
          <w:szCs w:val="20"/>
          <w:lang w:val="es-ES"/>
        </w:rPr>
        <w:t>Para los casos en que el valor total del vehículo, sea superior a la cantidad referida en el párrafo anterior, el impuesto se calculará sobre la diferencia obtenida entre el valor total del vehículo y la cantidad de $</w:t>
      </w:r>
      <w:r w:rsidR="001D20D4" w:rsidRPr="002443B7">
        <w:rPr>
          <w:sz w:val="20"/>
          <w:szCs w:val="20"/>
          <w:lang w:val="es-ES"/>
        </w:rPr>
        <w:t>5</w:t>
      </w:r>
      <w:r w:rsidR="00594209" w:rsidRPr="002443B7">
        <w:rPr>
          <w:sz w:val="20"/>
          <w:szCs w:val="20"/>
          <w:lang w:val="es-ES"/>
        </w:rPr>
        <w:t>50</w:t>
      </w:r>
      <w:r w:rsidRPr="002443B7">
        <w:rPr>
          <w:sz w:val="20"/>
          <w:szCs w:val="20"/>
          <w:lang w:val="es-ES"/>
        </w:rPr>
        <w:t>,000.00, aplicando los procedimientos establecidos en la Sección II o III, del Capítulo I, del Título Cuarto, del Código Financiero para el Estado de Tlaxcala y sus Municipios, según sea el caso.</w:t>
      </w:r>
    </w:p>
    <w:p w14:paraId="5EEC2C1E" w14:textId="77777777" w:rsidR="00CD1674" w:rsidRPr="009E6843" w:rsidRDefault="00CD1674" w:rsidP="00CD1674">
      <w:pPr>
        <w:spacing w:line="360" w:lineRule="auto"/>
        <w:jc w:val="both"/>
        <w:rPr>
          <w:sz w:val="20"/>
          <w:szCs w:val="20"/>
          <w:lang w:val="es-ES"/>
        </w:rPr>
      </w:pPr>
    </w:p>
    <w:p w14:paraId="2565551D" w14:textId="493A5AD5" w:rsidR="00CD1674" w:rsidRPr="002443B7" w:rsidRDefault="00CD1674" w:rsidP="00CD1674">
      <w:pPr>
        <w:spacing w:line="360" w:lineRule="auto"/>
        <w:jc w:val="both"/>
        <w:rPr>
          <w:sz w:val="20"/>
          <w:szCs w:val="20"/>
          <w:lang w:val="es-ES"/>
        </w:rPr>
      </w:pPr>
      <w:r w:rsidRPr="002443B7">
        <w:rPr>
          <w:b/>
          <w:sz w:val="20"/>
          <w:szCs w:val="20"/>
          <w:lang w:val="es-ES"/>
        </w:rPr>
        <w:lastRenderedPageBreak/>
        <w:t>ARTÍCULO 28.</w:t>
      </w:r>
      <w:r w:rsidRPr="008D5C06">
        <w:rPr>
          <w:rFonts w:ascii="Arial" w:hAnsi="Arial" w:cs="Arial"/>
        </w:rPr>
        <w:t xml:space="preserve"> </w:t>
      </w:r>
      <w:r w:rsidR="00D251AD">
        <w:rPr>
          <w:sz w:val="20"/>
          <w:szCs w:val="20"/>
          <w:lang w:val="es-ES"/>
        </w:rPr>
        <w:t>L</w:t>
      </w:r>
      <w:r w:rsidRPr="002443B7">
        <w:rPr>
          <w:sz w:val="20"/>
          <w:szCs w:val="20"/>
          <w:lang w:val="es-ES"/>
        </w:rPr>
        <w:t>os propietarios, tenedores o usuarios de vehículos automotores híbridos o que utilicen además de combustibles fósiles una fuente alterna de energía para su impulso, y que tengan la obligación de pagar el Impuesto Estatal Sobre Tenencia o Uso de Vehículos a que se refiere el artículo 91 y demás relativos del Código Financiero para el Estado de Tlaxcala y sus Municipios, estarán exentos del pago del impuesto correspondiente, durante el Ejercicio Fiscal 202</w:t>
      </w:r>
      <w:r w:rsidR="000D7E0C">
        <w:rPr>
          <w:sz w:val="20"/>
          <w:szCs w:val="20"/>
          <w:lang w:val="es-ES"/>
        </w:rPr>
        <w:t>6</w:t>
      </w:r>
      <w:r w:rsidRPr="002443B7">
        <w:rPr>
          <w:sz w:val="20"/>
          <w:szCs w:val="20"/>
          <w:lang w:val="es-ES"/>
        </w:rPr>
        <w:t>. Lo anterior, no los exime de presentarse en las Delegaciones de la Secretaría de Movilidad y Transporte para efectuar los movimientos vehiculares aplicables, así como en las Oficinas Recaudadoras de la Secretaría de Finanzas para realizar los pagos respectivos.</w:t>
      </w:r>
    </w:p>
    <w:p w14:paraId="7947D643" w14:textId="77777777" w:rsidR="009E6843" w:rsidRPr="009E6843" w:rsidRDefault="009E6843" w:rsidP="009E6843">
      <w:pPr>
        <w:spacing w:line="360" w:lineRule="auto"/>
        <w:jc w:val="both"/>
        <w:rPr>
          <w:sz w:val="20"/>
          <w:szCs w:val="20"/>
          <w:lang w:val="es-ES"/>
        </w:rPr>
      </w:pPr>
    </w:p>
    <w:p w14:paraId="1356AFBA" w14:textId="77777777" w:rsidR="00CD1674" w:rsidRPr="002443B7" w:rsidRDefault="00CD1674" w:rsidP="00CD1674">
      <w:pPr>
        <w:spacing w:line="360" w:lineRule="auto"/>
        <w:jc w:val="center"/>
        <w:rPr>
          <w:b/>
          <w:sz w:val="20"/>
          <w:szCs w:val="20"/>
          <w:lang w:val="es-ES"/>
        </w:rPr>
      </w:pPr>
      <w:r w:rsidRPr="002443B7">
        <w:rPr>
          <w:b/>
          <w:sz w:val="20"/>
          <w:szCs w:val="20"/>
          <w:lang w:val="es-ES"/>
        </w:rPr>
        <w:t>Sección IV</w:t>
      </w:r>
    </w:p>
    <w:p w14:paraId="7FA01C4D" w14:textId="77777777" w:rsidR="00CD1674" w:rsidRPr="002443B7" w:rsidRDefault="00CD1674" w:rsidP="00CD1674">
      <w:pPr>
        <w:spacing w:line="360" w:lineRule="auto"/>
        <w:jc w:val="center"/>
        <w:rPr>
          <w:b/>
          <w:sz w:val="20"/>
          <w:szCs w:val="20"/>
          <w:lang w:val="es-ES"/>
        </w:rPr>
      </w:pPr>
      <w:r w:rsidRPr="002443B7">
        <w:rPr>
          <w:b/>
          <w:sz w:val="20"/>
          <w:szCs w:val="20"/>
          <w:lang w:val="es-ES"/>
        </w:rPr>
        <w:t>Derechos por los servicios prestados por la Secretaría de Movilidad y Transporte</w:t>
      </w:r>
    </w:p>
    <w:p w14:paraId="3C6ABCD8" w14:textId="77777777" w:rsidR="00CD1674" w:rsidRPr="009E6843" w:rsidRDefault="00CD1674" w:rsidP="00CD1674">
      <w:pPr>
        <w:spacing w:line="360" w:lineRule="auto"/>
        <w:jc w:val="both"/>
        <w:rPr>
          <w:sz w:val="20"/>
          <w:szCs w:val="20"/>
          <w:lang w:val="es-ES"/>
        </w:rPr>
      </w:pPr>
    </w:p>
    <w:p w14:paraId="65DB8282" w14:textId="77777777" w:rsidR="00CD1674" w:rsidRPr="002443B7" w:rsidRDefault="00CD1674" w:rsidP="00CD1674">
      <w:pPr>
        <w:spacing w:line="360" w:lineRule="auto"/>
        <w:jc w:val="center"/>
        <w:rPr>
          <w:b/>
          <w:sz w:val="20"/>
          <w:szCs w:val="20"/>
          <w:lang w:val="es-ES"/>
        </w:rPr>
      </w:pPr>
      <w:r w:rsidRPr="002443B7">
        <w:rPr>
          <w:b/>
          <w:sz w:val="20"/>
          <w:szCs w:val="20"/>
          <w:lang w:val="es-ES"/>
        </w:rPr>
        <w:t>Subsección I</w:t>
      </w:r>
    </w:p>
    <w:p w14:paraId="312A9F7A" w14:textId="77777777" w:rsidR="00CD1674" w:rsidRPr="002443B7" w:rsidRDefault="00CD1674" w:rsidP="00CD1674">
      <w:pPr>
        <w:spacing w:line="360" w:lineRule="auto"/>
        <w:jc w:val="center"/>
        <w:rPr>
          <w:b/>
          <w:sz w:val="20"/>
          <w:szCs w:val="20"/>
          <w:lang w:val="es-ES"/>
        </w:rPr>
      </w:pPr>
      <w:r w:rsidRPr="002443B7">
        <w:rPr>
          <w:b/>
          <w:sz w:val="20"/>
          <w:szCs w:val="20"/>
          <w:lang w:val="es-ES"/>
        </w:rPr>
        <w:t>Servicio Público</w:t>
      </w:r>
    </w:p>
    <w:p w14:paraId="4B34D486" w14:textId="77777777" w:rsidR="00CD1674" w:rsidRPr="009E6843" w:rsidRDefault="00CD1674" w:rsidP="00CD1674">
      <w:pPr>
        <w:spacing w:line="360" w:lineRule="auto"/>
        <w:jc w:val="both"/>
        <w:rPr>
          <w:sz w:val="20"/>
          <w:szCs w:val="20"/>
          <w:lang w:val="es-ES"/>
        </w:rPr>
      </w:pPr>
    </w:p>
    <w:p w14:paraId="44CA0447" w14:textId="65FBE28B" w:rsidR="00CD1674" w:rsidRPr="002443B7" w:rsidRDefault="00CD1674" w:rsidP="00CD1674">
      <w:pPr>
        <w:spacing w:line="360" w:lineRule="auto"/>
        <w:jc w:val="both"/>
        <w:rPr>
          <w:sz w:val="20"/>
          <w:szCs w:val="20"/>
          <w:lang w:val="es-ES"/>
        </w:rPr>
      </w:pPr>
      <w:r w:rsidRPr="002443B7">
        <w:rPr>
          <w:b/>
          <w:sz w:val="20"/>
          <w:szCs w:val="20"/>
          <w:lang w:val="es-ES"/>
        </w:rPr>
        <w:t>ARTÍCULO 29.</w:t>
      </w:r>
      <w:r w:rsidRPr="008D5C06">
        <w:rPr>
          <w:rFonts w:ascii="Arial" w:hAnsi="Arial" w:cs="Arial"/>
        </w:rPr>
        <w:t xml:space="preserve"> </w:t>
      </w:r>
      <w:r w:rsidRPr="002443B7">
        <w:rPr>
          <w:sz w:val="20"/>
          <w:szCs w:val="20"/>
          <w:lang w:val="es-ES"/>
        </w:rPr>
        <w:t>Para efectos del artículo 153, fracciones I inciso a); III incisos a), b) y g); IV incisos a), b) y c); VI inciso a); VIII incisos a), b) y c) y IX inciso</w:t>
      </w:r>
      <w:r w:rsidR="003B4EED" w:rsidRPr="002443B7">
        <w:rPr>
          <w:sz w:val="20"/>
          <w:szCs w:val="20"/>
          <w:lang w:val="es-ES"/>
        </w:rPr>
        <w:t>s a) y</w:t>
      </w:r>
      <w:r w:rsidRPr="002443B7">
        <w:rPr>
          <w:sz w:val="20"/>
          <w:szCs w:val="20"/>
          <w:lang w:val="es-ES"/>
        </w:rPr>
        <w:t xml:space="preserve"> e), del Código Financiero para el Estado de Tlaxcala y sus Municipios, relativo al pago por concepto de derechos causados a los concesionarios y operadores de unidades del servicio de transporte público, por concepto de expedición de licencias de chofer tipo A, refrendo anual y refrendos atrasados de concesiones, reexpedición de la concesión para la prestación del servicio público de transporte, transmisión de concesiones del servicio público de transporte y ampliación de ruta, para el Ejercicio Fiscal 202</w:t>
      </w:r>
      <w:r w:rsidR="000D7E0C">
        <w:rPr>
          <w:sz w:val="20"/>
          <w:szCs w:val="20"/>
          <w:lang w:val="es-ES"/>
        </w:rPr>
        <w:t>6</w:t>
      </w:r>
      <w:r w:rsidRPr="002443B7">
        <w:rPr>
          <w:sz w:val="20"/>
          <w:szCs w:val="20"/>
          <w:lang w:val="es-ES"/>
        </w:rPr>
        <w:t>, se otorga una reducción del 70 por ciento de su costo, a los concesionarios, empresas y operadores de unidades destinadas a la prestación del servicio de transporte público, siempre que efectúen su pago a más tardar el 30 de abril de 202</w:t>
      </w:r>
      <w:r w:rsidR="000D7E0C">
        <w:rPr>
          <w:sz w:val="20"/>
          <w:szCs w:val="20"/>
          <w:lang w:val="es-ES"/>
        </w:rPr>
        <w:t>6</w:t>
      </w:r>
      <w:r w:rsidRPr="002443B7">
        <w:rPr>
          <w:sz w:val="20"/>
          <w:szCs w:val="20"/>
          <w:lang w:val="es-ES"/>
        </w:rPr>
        <w:t>.</w:t>
      </w:r>
    </w:p>
    <w:p w14:paraId="11DB3064" w14:textId="77777777" w:rsidR="00CD1674" w:rsidRDefault="00CD1674" w:rsidP="00CD1674">
      <w:pPr>
        <w:spacing w:line="360" w:lineRule="auto"/>
        <w:jc w:val="both"/>
        <w:rPr>
          <w:sz w:val="20"/>
          <w:szCs w:val="20"/>
          <w:lang w:val="es-ES"/>
        </w:rPr>
      </w:pPr>
      <w:r w:rsidRPr="002443B7">
        <w:rPr>
          <w:sz w:val="20"/>
          <w:szCs w:val="20"/>
          <w:lang w:val="es-ES"/>
        </w:rPr>
        <w:lastRenderedPageBreak/>
        <w:t>Los beneficios contemplados en el presente artículo se hacen extensivos a los concesionarios del servicio de transporte público, que se encuentren obligados al pago de derechos causados sobre vehículos automotores de hasta 28 pasajeros.</w:t>
      </w:r>
    </w:p>
    <w:p w14:paraId="7885F44C" w14:textId="77777777" w:rsidR="00F03B60" w:rsidRPr="002443B7" w:rsidRDefault="00F03B60" w:rsidP="00CD1674">
      <w:pPr>
        <w:spacing w:line="360" w:lineRule="auto"/>
        <w:jc w:val="both"/>
        <w:rPr>
          <w:sz w:val="20"/>
          <w:szCs w:val="20"/>
          <w:lang w:val="es-ES"/>
        </w:rPr>
      </w:pPr>
    </w:p>
    <w:p w14:paraId="37CE32BC" w14:textId="70F312E5" w:rsidR="00CD1674" w:rsidRPr="002443B7" w:rsidRDefault="00CD1674" w:rsidP="00CD1674">
      <w:pPr>
        <w:spacing w:line="360" w:lineRule="auto"/>
        <w:jc w:val="both"/>
        <w:rPr>
          <w:sz w:val="20"/>
          <w:szCs w:val="20"/>
          <w:lang w:val="es-ES"/>
        </w:rPr>
      </w:pPr>
      <w:r w:rsidRPr="002443B7">
        <w:rPr>
          <w:b/>
          <w:sz w:val="20"/>
          <w:szCs w:val="20"/>
          <w:lang w:val="es-ES"/>
        </w:rPr>
        <w:t>ARTÍCULO 30.</w:t>
      </w:r>
      <w:r w:rsidRPr="008D5C06">
        <w:rPr>
          <w:rFonts w:ascii="Arial" w:hAnsi="Arial" w:cs="Arial"/>
        </w:rPr>
        <w:t xml:space="preserve"> </w:t>
      </w:r>
      <w:r w:rsidRPr="002443B7">
        <w:rPr>
          <w:sz w:val="20"/>
          <w:szCs w:val="20"/>
          <w:lang w:val="es-ES"/>
        </w:rPr>
        <w:t>Para efectos del artículo 153, fracci</w:t>
      </w:r>
      <w:r w:rsidR="003B4EED" w:rsidRPr="002443B7">
        <w:rPr>
          <w:sz w:val="20"/>
          <w:szCs w:val="20"/>
          <w:lang w:val="es-ES"/>
        </w:rPr>
        <w:t>o</w:t>
      </w:r>
      <w:r w:rsidRPr="002443B7">
        <w:rPr>
          <w:sz w:val="20"/>
          <w:szCs w:val="20"/>
          <w:lang w:val="es-ES"/>
        </w:rPr>
        <w:t>n</w:t>
      </w:r>
      <w:r w:rsidR="003B4EED" w:rsidRPr="002443B7">
        <w:rPr>
          <w:sz w:val="20"/>
          <w:szCs w:val="20"/>
          <w:lang w:val="es-ES"/>
        </w:rPr>
        <w:t>es</w:t>
      </w:r>
      <w:r w:rsidRPr="002443B7">
        <w:rPr>
          <w:sz w:val="20"/>
          <w:szCs w:val="20"/>
          <w:lang w:val="es-ES"/>
        </w:rPr>
        <w:t xml:space="preserve"> III, incisos a), b) y c)</w:t>
      </w:r>
      <w:r w:rsidR="003B4EED" w:rsidRPr="002443B7">
        <w:rPr>
          <w:sz w:val="20"/>
          <w:szCs w:val="20"/>
          <w:lang w:val="es-ES"/>
        </w:rPr>
        <w:t xml:space="preserve"> y IX incisos a) y e)</w:t>
      </w:r>
      <w:r w:rsidRPr="002443B7">
        <w:rPr>
          <w:sz w:val="20"/>
          <w:szCs w:val="20"/>
          <w:lang w:val="es-ES"/>
        </w:rPr>
        <w:t>, del Código Financiero para el Estado de Tlaxcala y sus Municipios relativo al pago de derechos por concepto de refrendo anual de la concesión por el ejercicio fiscal 202</w:t>
      </w:r>
      <w:r w:rsidR="000D7E0C">
        <w:rPr>
          <w:sz w:val="20"/>
          <w:szCs w:val="20"/>
          <w:lang w:val="es-ES"/>
        </w:rPr>
        <w:t>6</w:t>
      </w:r>
      <w:r w:rsidRPr="002443B7">
        <w:rPr>
          <w:sz w:val="20"/>
          <w:szCs w:val="20"/>
          <w:lang w:val="es-ES"/>
        </w:rPr>
        <w:t xml:space="preserve"> se otorga una reducción del 50 por ciento de su costo, a los concesionarios del transporte público que otorguen descuentos permanentes a estudiantes de nivel </w:t>
      </w:r>
      <w:r w:rsidR="00554933" w:rsidRPr="002443B7">
        <w:rPr>
          <w:sz w:val="20"/>
          <w:szCs w:val="20"/>
          <w:lang w:val="es-ES"/>
        </w:rPr>
        <w:t xml:space="preserve">medio superior y superior de instituciones públicas, personas con discapacidad y artesanos, </w:t>
      </w:r>
      <w:r w:rsidRPr="002443B7">
        <w:rPr>
          <w:sz w:val="20"/>
          <w:szCs w:val="20"/>
          <w:lang w:val="es-ES"/>
        </w:rPr>
        <w:t>que firmen convenio con la Secretaría de Movilidad y Transporte del Estado de Tlaxcala.</w:t>
      </w:r>
    </w:p>
    <w:p w14:paraId="7C7D16F5" w14:textId="77777777" w:rsidR="00CD1674" w:rsidRPr="002443B7" w:rsidRDefault="00CD1674" w:rsidP="00CD1674">
      <w:pPr>
        <w:spacing w:line="360" w:lineRule="auto"/>
        <w:jc w:val="both"/>
        <w:rPr>
          <w:sz w:val="20"/>
          <w:szCs w:val="20"/>
          <w:lang w:val="es-ES"/>
        </w:rPr>
      </w:pPr>
    </w:p>
    <w:p w14:paraId="65E6ABD7" w14:textId="77777777" w:rsidR="00CD1674" w:rsidRPr="002443B7" w:rsidRDefault="00CD1674" w:rsidP="00CD1674">
      <w:pPr>
        <w:spacing w:line="360" w:lineRule="auto"/>
        <w:jc w:val="both"/>
        <w:rPr>
          <w:sz w:val="20"/>
          <w:szCs w:val="20"/>
          <w:lang w:val="es-ES"/>
        </w:rPr>
      </w:pPr>
      <w:r w:rsidRPr="002443B7">
        <w:rPr>
          <w:sz w:val="20"/>
          <w:szCs w:val="20"/>
          <w:lang w:val="es-ES"/>
        </w:rPr>
        <w:t>Los beneficios establecidos en el presente artículo no son acumulables con los beneficios establecidos en el artículo 29 del presente ordenamiento.</w:t>
      </w:r>
    </w:p>
    <w:p w14:paraId="4CB1A9F1" w14:textId="77777777" w:rsidR="003812A3" w:rsidRPr="001E36D7" w:rsidRDefault="003812A3" w:rsidP="003812A3">
      <w:pPr>
        <w:pStyle w:val="Textoindependiente"/>
        <w:rPr>
          <w:rFonts w:ascii="Times New Roman" w:hAnsi="Times New Roman" w:cs="Times New Roman"/>
        </w:rPr>
      </w:pPr>
    </w:p>
    <w:p w14:paraId="5A150093" w14:textId="1A1086F2" w:rsidR="00CF078B" w:rsidRPr="002443B7" w:rsidRDefault="003B4EED" w:rsidP="00CD1674">
      <w:pPr>
        <w:spacing w:line="360" w:lineRule="auto"/>
        <w:jc w:val="both"/>
        <w:rPr>
          <w:sz w:val="20"/>
          <w:szCs w:val="20"/>
          <w:lang w:val="es-ES"/>
        </w:rPr>
      </w:pPr>
      <w:r w:rsidRPr="002443B7">
        <w:rPr>
          <w:b/>
          <w:sz w:val="20"/>
          <w:szCs w:val="20"/>
          <w:lang w:val="es-ES"/>
        </w:rPr>
        <w:t>ARTÍCULO 3</w:t>
      </w:r>
      <w:r w:rsidR="004C008E">
        <w:rPr>
          <w:b/>
          <w:sz w:val="20"/>
          <w:szCs w:val="20"/>
          <w:lang w:val="es-ES"/>
        </w:rPr>
        <w:t>1</w:t>
      </w:r>
      <w:r w:rsidRPr="002443B7">
        <w:rPr>
          <w:b/>
          <w:sz w:val="20"/>
          <w:szCs w:val="20"/>
          <w:lang w:val="es-ES"/>
        </w:rPr>
        <w:t>.</w:t>
      </w:r>
      <w:r w:rsidRPr="003B4EED">
        <w:rPr>
          <w:rFonts w:ascii="Arial" w:hAnsi="Arial" w:cs="Arial"/>
        </w:rPr>
        <w:t xml:space="preserve"> </w:t>
      </w:r>
      <w:r w:rsidRPr="002443B7">
        <w:rPr>
          <w:sz w:val="20"/>
          <w:szCs w:val="20"/>
          <w:lang w:val="es-ES"/>
        </w:rPr>
        <w:t xml:space="preserve">Las personas solicitantes de concesiones de transporte público que cumplan con las condiciones y requisitos que establece la Ley de Comunicaciones y Transportes en el Estado de Tlaxcala y su Reglamento; las Declaratorias de Existencia de Necesidad que al efecto se emitan, y previo análisis de solicitud, así como expedición del estudio técnico de factibilidad correspondiente por parte de la Secretaría de Movilidad y Trasporte, quedan exceptuadas del pago de los derechos a que se refieren los incisos a), b) y c) de la fracción II del artículo 153 del Código Financiero para el Estado de Tlaxcala y sus Municipios, relativos al otorgamiento de concesión para la prestación del servicio público de transporte, alta al Registro Vehicular Estatal, asignación de placas, tarjeta de circulación, tarjetón de sitio o ruta y engomado en los supuestos siguientes: </w:t>
      </w:r>
    </w:p>
    <w:p w14:paraId="5F48DD55" w14:textId="77777777" w:rsidR="00CF078B" w:rsidRPr="002443B7" w:rsidRDefault="00CF078B" w:rsidP="00CD1674">
      <w:pPr>
        <w:spacing w:line="360" w:lineRule="auto"/>
        <w:jc w:val="both"/>
        <w:rPr>
          <w:sz w:val="20"/>
          <w:szCs w:val="20"/>
          <w:lang w:val="es-ES"/>
        </w:rPr>
      </w:pPr>
    </w:p>
    <w:p w14:paraId="408ECB10" w14:textId="235E1012" w:rsidR="00CF078B" w:rsidRDefault="003B4EED" w:rsidP="00CD1674">
      <w:pPr>
        <w:spacing w:line="360" w:lineRule="auto"/>
        <w:jc w:val="both"/>
        <w:rPr>
          <w:sz w:val="20"/>
          <w:szCs w:val="20"/>
          <w:lang w:val="es-ES"/>
        </w:rPr>
      </w:pPr>
      <w:r w:rsidRPr="002443B7">
        <w:rPr>
          <w:sz w:val="20"/>
          <w:szCs w:val="20"/>
          <w:lang w:val="es-ES"/>
        </w:rPr>
        <w:lastRenderedPageBreak/>
        <w:t xml:space="preserve">a) A quienes presenten unidades vehiculares hibridas o eléctricas para la prestación del servicio público de transporte; </w:t>
      </w:r>
      <w:r w:rsidR="00F03B60">
        <w:rPr>
          <w:sz w:val="20"/>
          <w:szCs w:val="20"/>
          <w:lang w:val="es-ES"/>
        </w:rPr>
        <w:t>y</w:t>
      </w:r>
      <w:r w:rsidRPr="002443B7">
        <w:rPr>
          <w:sz w:val="20"/>
          <w:szCs w:val="20"/>
          <w:lang w:val="es-ES"/>
        </w:rPr>
        <w:t xml:space="preserve"> </w:t>
      </w:r>
    </w:p>
    <w:p w14:paraId="2670AE97" w14:textId="77777777" w:rsidR="00387892" w:rsidRPr="002443B7" w:rsidRDefault="00387892" w:rsidP="00CD1674">
      <w:pPr>
        <w:spacing w:line="360" w:lineRule="auto"/>
        <w:jc w:val="both"/>
        <w:rPr>
          <w:sz w:val="20"/>
          <w:szCs w:val="20"/>
          <w:lang w:val="es-ES"/>
        </w:rPr>
      </w:pPr>
    </w:p>
    <w:p w14:paraId="725AB1C3" w14:textId="77777777" w:rsidR="00CF078B" w:rsidRPr="002443B7" w:rsidRDefault="003B4EED" w:rsidP="00CD1674">
      <w:pPr>
        <w:spacing w:line="360" w:lineRule="auto"/>
        <w:jc w:val="both"/>
        <w:rPr>
          <w:sz w:val="20"/>
          <w:szCs w:val="20"/>
          <w:lang w:val="es-ES"/>
        </w:rPr>
      </w:pPr>
      <w:r w:rsidRPr="002443B7">
        <w:rPr>
          <w:sz w:val="20"/>
          <w:szCs w:val="20"/>
          <w:lang w:val="es-ES"/>
        </w:rPr>
        <w:t xml:space="preserve">b) A quienes entreguen tres unidades denominadas “mototaxis” para su incorporación al Programa de Desincorporación de Desecho Ferroso Mixto Contaminante. </w:t>
      </w:r>
    </w:p>
    <w:p w14:paraId="721CA25E" w14:textId="77777777" w:rsidR="00CF078B" w:rsidRPr="002443B7" w:rsidRDefault="00CF078B" w:rsidP="00CD1674">
      <w:pPr>
        <w:spacing w:line="360" w:lineRule="auto"/>
        <w:jc w:val="both"/>
        <w:rPr>
          <w:sz w:val="20"/>
          <w:szCs w:val="20"/>
          <w:lang w:val="es-ES"/>
        </w:rPr>
      </w:pPr>
    </w:p>
    <w:p w14:paraId="13BA997A" w14:textId="77777777" w:rsidR="00CF078B" w:rsidRPr="002443B7" w:rsidRDefault="003B4EED" w:rsidP="00CD1674">
      <w:pPr>
        <w:spacing w:line="360" w:lineRule="auto"/>
        <w:jc w:val="both"/>
        <w:rPr>
          <w:sz w:val="20"/>
          <w:szCs w:val="20"/>
          <w:lang w:val="es-ES"/>
        </w:rPr>
      </w:pPr>
      <w:r w:rsidRPr="002443B7">
        <w:rPr>
          <w:sz w:val="20"/>
          <w:szCs w:val="20"/>
          <w:lang w:val="es-ES"/>
        </w:rPr>
        <w:t xml:space="preserve">El presente inciso aplica únicamente para concesiones del servicio de transporte público en la modalidad de taxi, con y sin itinerario fijo. </w:t>
      </w:r>
    </w:p>
    <w:p w14:paraId="7714490B" w14:textId="77777777" w:rsidR="00CF078B" w:rsidRPr="002443B7" w:rsidRDefault="00CF078B" w:rsidP="00CD1674">
      <w:pPr>
        <w:spacing w:line="360" w:lineRule="auto"/>
        <w:jc w:val="both"/>
        <w:rPr>
          <w:sz w:val="20"/>
          <w:szCs w:val="20"/>
          <w:lang w:val="es-ES"/>
        </w:rPr>
      </w:pPr>
    </w:p>
    <w:p w14:paraId="69020353" w14:textId="789E9703" w:rsidR="003B4EED" w:rsidRPr="002443B7" w:rsidRDefault="003B4EED" w:rsidP="00CD1674">
      <w:pPr>
        <w:spacing w:line="360" w:lineRule="auto"/>
        <w:jc w:val="both"/>
        <w:rPr>
          <w:sz w:val="20"/>
          <w:szCs w:val="20"/>
          <w:lang w:val="es-ES"/>
        </w:rPr>
      </w:pPr>
      <w:r w:rsidRPr="002443B7">
        <w:rPr>
          <w:sz w:val="20"/>
          <w:szCs w:val="20"/>
          <w:lang w:val="es-ES"/>
        </w:rPr>
        <w:t>Los recursos obtenidos del Programa de Desincorporación de Desecho Ferroso Mixto Contaminante, que se deriven a favor del Estado por la incorporación de los “mototaxis” serán destinados al Fondo de Movilidad y Transporte.</w:t>
      </w:r>
    </w:p>
    <w:p w14:paraId="225802C1" w14:textId="77777777" w:rsidR="003B4EED" w:rsidRPr="002443B7" w:rsidRDefault="003B4EED" w:rsidP="00CD1674">
      <w:pPr>
        <w:spacing w:line="360" w:lineRule="auto"/>
        <w:jc w:val="both"/>
        <w:rPr>
          <w:sz w:val="20"/>
          <w:szCs w:val="20"/>
          <w:lang w:val="es-ES"/>
        </w:rPr>
      </w:pPr>
    </w:p>
    <w:p w14:paraId="0C4A505D" w14:textId="343DB845" w:rsidR="00CF078B" w:rsidRPr="002443B7" w:rsidRDefault="003B4EED" w:rsidP="00CD1674">
      <w:pPr>
        <w:spacing w:line="360" w:lineRule="auto"/>
        <w:jc w:val="both"/>
        <w:rPr>
          <w:sz w:val="20"/>
          <w:szCs w:val="20"/>
          <w:lang w:val="es-ES"/>
        </w:rPr>
      </w:pPr>
      <w:r w:rsidRPr="002443B7">
        <w:rPr>
          <w:b/>
          <w:sz w:val="20"/>
          <w:szCs w:val="20"/>
          <w:lang w:val="es-ES"/>
        </w:rPr>
        <w:t>ARTÍCULO 3</w:t>
      </w:r>
      <w:r w:rsidR="004C008E">
        <w:rPr>
          <w:b/>
          <w:sz w:val="20"/>
          <w:szCs w:val="20"/>
          <w:lang w:val="es-ES"/>
        </w:rPr>
        <w:t>2</w:t>
      </w:r>
      <w:r w:rsidRPr="002443B7">
        <w:rPr>
          <w:b/>
          <w:sz w:val="20"/>
          <w:szCs w:val="20"/>
          <w:lang w:val="es-ES"/>
        </w:rPr>
        <w:t>.</w:t>
      </w:r>
      <w:r w:rsidRPr="003B4EED">
        <w:rPr>
          <w:rFonts w:ascii="Arial" w:hAnsi="Arial" w:cs="Arial"/>
        </w:rPr>
        <w:t xml:space="preserve"> </w:t>
      </w:r>
      <w:r w:rsidRPr="002443B7">
        <w:rPr>
          <w:sz w:val="20"/>
          <w:szCs w:val="20"/>
          <w:lang w:val="es-ES"/>
        </w:rPr>
        <w:t>Para efecto</w:t>
      </w:r>
      <w:r w:rsidR="00D066BB">
        <w:rPr>
          <w:sz w:val="20"/>
          <w:szCs w:val="20"/>
          <w:lang w:val="es-ES"/>
        </w:rPr>
        <w:t>s</w:t>
      </w:r>
      <w:r w:rsidRPr="002443B7">
        <w:rPr>
          <w:sz w:val="20"/>
          <w:szCs w:val="20"/>
          <w:lang w:val="es-ES"/>
        </w:rPr>
        <w:t xml:space="preserve"> de</w:t>
      </w:r>
      <w:r w:rsidR="00D066BB">
        <w:rPr>
          <w:sz w:val="20"/>
          <w:szCs w:val="20"/>
          <w:lang w:val="es-ES"/>
        </w:rPr>
        <w:t>l artículo 54;</w:t>
      </w:r>
      <w:r w:rsidRPr="002443B7">
        <w:rPr>
          <w:sz w:val="20"/>
          <w:szCs w:val="20"/>
          <w:lang w:val="es-ES"/>
        </w:rPr>
        <w:t xml:space="preserve"> fracción V del artículo </w:t>
      </w:r>
      <w:r w:rsidR="00D066BB">
        <w:rPr>
          <w:sz w:val="20"/>
          <w:szCs w:val="20"/>
          <w:lang w:val="es-ES"/>
        </w:rPr>
        <w:t xml:space="preserve">117 y fracción XX del artículo 150, del Reglamento de la Ley de Comunicaciones y Transportes en el Estado de Tlaxcala en materia de Vías de Comunicación, Transporte Público y Privado, </w:t>
      </w:r>
      <w:r w:rsidRPr="002443B7">
        <w:rPr>
          <w:sz w:val="20"/>
          <w:szCs w:val="20"/>
          <w:lang w:val="es-ES"/>
        </w:rPr>
        <w:t xml:space="preserve">el modelo de las unidades vehiculares del servicio de transporte público de pasajeros no podrá </w:t>
      </w:r>
      <w:r w:rsidR="006C18C8">
        <w:rPr>
          <w:sz w:val="20"/>
          <w:szCs w:val="20"/>
          <w:lang w:val="es-ES"/>
        </w:rPr>
        <w:t xml:space="preserve">tener una antigüedad mayor </w:t>
      </w:r>
      <w:r w:rsidRPr="002443B7">
        <w:rPr>
          <w:sz w:val="20"/>
          <w:szCs w:val="20"/>
          <w:lang w:val="es-ES"/>
        </w:rPr>
        <w:t xml:space="preserve">a </w:t>
      </w:r>
      <w:r w:rsidR="006C18C8">
        <w:rPr>
          <w:sz w:val="20"/>
          <w:szCs w:val="20"/>
          <w:lang w:val="es-ES"/>
        </w:rPr>
        <w:t>doce</w:t>
      </w:r>
      <w:r w:rsidRPr="002443B7">
        <w:rPr>
          <w:sz w:val="20"/>
          <w:szCs w:val="20"/>
          <w:lang w:val="es-ES"/>
        </w:rPr>
        <w:t xml:space="preserve"> años, siempre y cuando, en el pase de revista vehicular, se determine que se encuentra en condiciones físico mecánicas para la prestación del servicio de transporte público.</w:t>
      </w:r>
    </w:p>
    <w:p w14:paraId="1BE03D32" w14:textId="77777777" w:rsidR="00CF078B" w:rsidRPr="002443B7" w:rsidRDefault="00CF078B" w:rsidP="00CD1674">
      <w:pPr>
        <w:spacing w:line="360" w:lineRule="auto"/>
        <w:jc w:val="both"/>
        <w:rPr>
          <w:sz w:val="20"/>
          <w:szCs w:val="20"/>
          <w:lang w:val="es-ES"/>
        </w:rPr>
      </w:pPr>
    </w:p>
    <w:p w14:paraId="19581A86" w14:textId="6E30139C" w:rsidR="003B4EED" w:rsidRPr="002443B7" w:rsidRDefault="003B4EED" w:rsidP="00CD1674">
      <w:pPr>
        <w:spacing w:line="360" w:lineRule="auto"/>
        <w:jc w:val="both"/>
        <w:rPr>
          <w:sz w:val="20"/>
          <w:szCs w:val="20"/>
          <w:lang w:val="es-ES"/>
        </w:rPr>
      </w:pPr>
      <w:r w:rsidRPr="002443B7">
        <w:rPr>
          <w:sz w:val="20"/>
          <w:szCs w:val="20"/>
          <w:lang w:val="es-ES"/>
        </w:rPr>
        <w:t>Con relación al párrafo anterior, queda prohibido realizar cualquier trámite del servicio público de transporte sobre unidades vehiculares que sean modelo dos mil</w:t>
      </w:r>
      <w:r w:rsidR="006C18C8">
        <w:rPr>
          <w:sz w:val="20"/>
          <w:szCs w:val="20"/>
          <w:lang w:val="es-ES"/>
        </w:rPr>
        <w:t xml:space="preserve"> catorce</w:t>
      </w:r>
      <w:r w:rsidRPr="002443B7">
        <w:rPr>
          <w:sz w:val="20"/>
          <w:szCs w:val="20"/>
          <w:lang w:val="es-ES"/>
        </w:rPr>
        <w:t xml:space="preserve"> o anteriores; así mismo, no procederán trámites de cambio de unidad si ésta es de un modelo anterior al saliente.</w:t>
      </w:r>
    </w:p>
    <w:p w14:paraId="2E84FA1D" w14:textId="77777777" w:rsidR="003B4EED" w:rsidRPr="009E6843" w:rsidRDefault="003B4EED" w:rsidP="00CD1674">
      <w:pPr>
        <w:spacing w:line="360" w:lineRule="auto"/>
        <w:jc w:val="both"/>
        <w:rPr>
          <w:sz w:val="20"/>
          <w:szCs w:val="20"/>
          <w:lang w:val="es-ES"/>
        </w:rPr>
      </w:pPr>
    </w:p>
    <w:p w14:paraId="2DBF27B4" w14:textId="77777777" w:rsidR="00CD1674" w:rsidRPr="002443B7" w:rsidRDefault="00CD1674" w:rsidP="00CD1674">
      <w:pPr>
        <w:spacing w:line="360" w:lineRule="auto"/>
        <w:jc w:val="center"/>
        <w:rPr>
          <w:b/>
          <w:sz w:val="20"/>
          <w:szCs w:val="20"/>
          <w:lang w:val="es-ES"/>
        </w:rPr>
      </w:pPr>
      <w:r w:rsidRPr="002443B7">
        <w:rPr>
          <w:b/>
          <w:sz w:val="20"/>
          <w:szCs w:val="20"/>
          <w:lang w:val="es-ES"/>
        </w:rPr>
        <w:lastRenderedPageBreak/>
        <w:t>Subsección II</w:t>
      </w:r>
    </w:p>
    <w:p w14:paraId="1962F218" w14:textId="77777777" w:rsidR="00CD1674" w:rsidRPr="002443B7" w:rsidRDefault="00CD1674" w:rsidP="00CD1674">
      <w:pPr>
        <w:spacing w:line="360" w:lineRule="auto"/>
        <w:jc w:val="center"/>
        <w:rPr>
          <w:b/>
          <w:sz w:val="20"/>
          <w:szCs w:val="20"/>
          <w:lang w:val="es-ES"/>
        </w:rPr>
      </w:pPr>
      <w:r w:rsidRPr="002443B7">
        <w:rPr>
          <w:b/>
          <w:sz w:val="20"/>
          <w:szCs w:val="20"/>
          <w:lang w:val="es-ES"/>
        </w:rPr>
        <w:t>Servicio Privado</w:t>
      </w:r>
    </w:p>
    <w:p w14:paraId="68E89538" w14:textId="77777777" w:rsidR="009A66F7" w:rsidRPr="009E6843" w:rsidRDefault="009A66F7" w:rsidP="00CD1674">
      <w:pPr>
        <w:spacing w:line="360" w:lineRule="auto"/>
        <w:jc w:val="both"/>
        <w:rPr>
          <w:sz w:val="20"/>
          <w:szCs w:val="20"/>
          <w:lang w:val="es-ES"/>
        </w:rPr>
      </w:pPr>
    </w:p>
    <w:p w14:paraId="66B5B5E9" w14:textId="40945C3B" w:rsidR="00CD1674" w:rsidRPr="008D5C06" w:rsidRDefault="00CD1674" w:rsidP="00CD1674">
      <w:pPr>
        <w:spacing w:line="360" w:lineRule="auto"/>
        <w:jc w:val="both"/>
        <w:rPr>
          <w:rFonts w:ascii="Arial" w:hAnsi="Arial" w:cs="Arial"/>
        </w:rPr>
      </w:pPr>
      <w:r w:rsidRPr="002443B7">
        <w:rPr>
          <w:b/>
          <w:sz w:val="20"/>
          <w:szCs w:val="20"/>
          <w:lang w:val="es-ES"/>
        </w:rPr>
        <w:t>ARTÍCULO 3</w:t>
      </w:r>
      <w:r w:rsidR="004C008E">
        <w:rPr>
          <w:b/>
          <w:sz w:val="20"/>
          <w:szCs w:val="20"/>
          <w:lang w:val="es-ES"/>
        </w:rPr>
        <w:t>3</w:t>
      </w:r>
      <w:r w:rsidRPr="002443B7">
        <w:rPr>
          <w:b/>
          <w:sz w:val="20"/>
          <w:szCs w:val="20"/>
          <w:lang w:val="es-ES"/>
        </w:rPr>
        <w:t>.</w:t>
      </w:r>
      <w:r w:rsidRPr="008D5C06">
        <w:rPr>
          <w:rFonts w:ascii="Arial" w:hAnsi="Arial" w:cs="Arial"/>
        </w:rPr>
        <w:t xml:space="preserve"> </w:t>
      </w:r>
      <w:r w:rsidRPr="002443B7">
        <w:rPr>
          <w:sz w:val="20"/>
          <w:szCs w:val="20"/>
          <w:lang w:val="es-ES"/>
        </w:rPr>
        <w:t>Para efectos del artículo 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202</w:t>
      </w:r>
      <w:r w:rsidR="007309BA">
        <w:rPr>
          <w:sz w:val="20"/>
          <w:szCs w:val="20"/>
          <w:lang w:val="es-ES"/>
        </w:rPr>
        <w:t>6</w:t>
      </w:r>
      <w:r w:rsidRPr="002443B7">
        <w:rPr>
          <w:sz w:val="20"/>
          <w:szCs w:val="20"/>
          <w:lang w:val="es-ES"/>
        </w:rPr>
        <w:t>, sólo pagarán los derechos correspondientes a los dos últimos años adeudados, sin pagar multas, recargos y actualizaciones, conjuntamente con el pago de derechos correspondiente al ejercicio fiscal 202</w:t>
      </w:r>
      <w:r w:rsidR="007309BA">
        <w:rPr>
          <w:sz w:val="20"/>
          <w:szCs w:val="20"/>
          <w:lang w:val="es-ES"/>
        </w:rPr>
        <w:t>6</w:t>
      </w:r>
      <w:r w:rsidRPr="002443B7">
        <w:rPr>
          <w:sz w:val="20"/>
          <w:szCs w:val="20"/>
          <w:lang w:val="es-ES"/>
        </w:rPr>
        <w:t>, siempre y cuando regularicen su situación a más tardar el 30 de abril de 202</w:t>
      </w:r>
      <w:r w:rsidR="007309BA">
        <w:rPr>
          <w:sz w:val="20"/>
          <w:szCs w:val="20"/>
          <w:lang w:val="es-ES"/>
        </w:rPr>
        <w:t>6</w:t>
      </w:r>
      <w:r w:rsidRPr="002443B7">
        <w:rPr>
          <w:sz w:val="20"/>
          <w:szCs w:val="20"/>
          <w:lang w:val="es-ES"/>
        </w:rPr>
        <w:t>, y cumplan con los requisitos que para tal efecto establezca la Secretaría de Finanzas y la Secretaría de Movilidad y Transporte.</w:t>
      </w:r>
    </w:p>
    <w:p w14:paraId="641089E7" w14:textId="77777777" w:rsidR="00CD1674" w:rsidRPr="009E6843" w:rsidRDefault="00CD1674" w:rsidP="00CD1674">
      <w:pPr>
        <w:spacing w:line="360" w:lineRule="auto"/>
        <w:jc w:val="both"/>
        <w:rPr>
          <w:sz w:val="20"/>
          <w:szCs w:val="20"/>
          <w:lang w:val="es-ES"/>
        </w:rPr>
      </w:pPr>
    </w:p>
    <w:p w14:paraId="69875016" w14:textId="0B02D3F7" w:rsidR="00CD1674" w:rsidRPr="002443B7" w:rsidRDefault="00CD1674" w:rsidP="00CD1674">
      <w:pPr>
        <w:spacing w:line="360" w:lineRule="auto"/>
        <w:jc w:val="both"/>
        <w:rPr>
          <w:sz w:val="20"/>
          <w:szCs w:val="20"/>
          <w:lang w:val="es-ES"/>
        </w:rPr>
      </w:pPr>
      <w:r w:rsidRPr="002443B7">
        <w:rPr>
          <w:b/>
          <w:sz w:val="20"/>
          <w:szCs w:val="20"/>
          <w:lang w:val="es-ES"/>
        </w:rPr>
        <w:t>ARTÍCULO 3</w:t>
      </w:r>
      <w:r w:rsidR="004C008E">
        <w:rPr>
          <w:b/>
          <w:sz w:val="20"/>
          <w:szCs w:val="20"/>
          <w:lang w:val="es-ES"/>
        </w:rPr>
        <w:t>4</w:t>
      </w:r>
      <w:r w:rsidRPr="002443B7">
        <w:rPr>
          <w:b/>
          <w:sz w:val="20"/>
          <w:szCs w:val="20"/>
          <w:lang w:val="es-ES"/>
        </w:rPr>
        <w:t>.</w:t>
      </w:r>
      <w:r w:rsidRPr="008D5C06">
        <w:rPr>
          <w:rFonts w:ascii="Arial" w:hAnsi="Arial" w:cs="Arial"/>
        </w:rPr>
        <w:t xml:space="preserve"> </w:t>
      </w:r>
      <w:r w:rsidRPr="002443B7">
        <w:rPr>
          <w:sz w:val="20"/>
          <w:szCs w:val="20"/>
          <w:lang w:val="es-ES"/>
        </w:rPr>
        <w:t>Las personas con discapacidad que obtengan los servicios señalados en las fracciones XII, inciso b); XIII, inciso b); XIV, inciso a), numeral 2; XV, inciso a); XVI, inciso a), numeral 2, e inciso b), numeral 3, y XVII, inciso a), del artículo 153 del Código Financiero para el Estado de Tlaxcala y sus Municipios, tendrán una reducción del 50 por ciento en el pago de sus derechos, al momento de realizar el trámite correspondiente a los vehículos de su propiedad.</w:t>
      </w:r>
    </w:p>
    <w:p w14:paraId="645F469E" w14:textId="77777777" w:rsidR="004E5730" w:rsidRDefault="004E5730" w:rsidP="004E5730">
      <w:pPr>
        <w:spacing w:line="360" w:lineRule="auto"/>
        <w:jc w:val="both"/>
        <w:rPr>
          <w:sz w:val="20"/>
          <w:szCs w:val="20"/>
          <w:lang w:val="es-ES"/>
        </w:rPr>
      </w:pPr>
    </w:p>
    <w:p w14:paraId="4571533C" w14:textId="08778476" w:rsidR="004E5730" w:rsidRPr="002443B7" w:rsidRDefault="004E5730" w:rsidP="004E5730">
      <w:pPr>
        <w:spacing w:line="360" w:lineRule="auto"/>
        <w:jc w:val="both"/>
        <w:rPr>
          <w:sz w:val="20"/>
          <w:szCs w:val="20"/>
          <w:lang w:val="es-ES"/>
        </w:rPr>
      </w:pPr>
      <w:r w:rsidRPr="002443B7">
        <w:rPr>
          <w:b/>
          <w:sz w:val="20"/>
          <w:szCs w:val="20"/>
          <w:lang w:val="es-ES"/>
        </w:rPr>
        <w:t>ARTÍCULO 3</w:t>
      </w:r>
      <w:r w:rsidR="004C008E">
        <w:rPr>
          <w:b/>
          <w:sz w:val="20"/>
          <w:szCs w:val="20"/>
          <w:lang w:val="es-ES"/>
        </w:rPr>
        <w:t>5</w:t>
      </w:r>
      <w:r w:rsidRPr="002443B7">
        <w:rPr>
          <w:b/>
          <w:sz w:val="20"/>
          <w:szCs w:val="20"/>
          <w:lang w:val="es-ES"/>
        </w:rPr>
        <w:t>.</w:t>
      </w:r>
      <w:r w:rsidRPr="008D5C06">
        <w:rPr>
          <w:rFonts w:ascii="Arial" w:hAnsi="Arial" w:cs="Arial"/>
        </w:rPr>
        <w:t xml:space="preserve"> </w:t>
      </w:r>
      <w:r w:rsidRPr="002443B7">
        <w:rPr>
          <w:sz w:val="20"/>
          <w:szCs w:val="20"/>
          <w:lang w:val="es-ES"/>
        </w:rPr>
        <w:t>Para efectos del artículo 153, fracción XIII, del Código Financiero para el Estado de Tlaxcala y sus Municipios, relativo al refrendo anual de la documentación; los propietarios, tenedores o usuarios de vehículos automotores híbridos o que utilicen además de combustibles fósiles una fuente alterna de energía para su impulso estarán exentos del pago de los derechos por registro y control vehicular correspondientes al ejercicio fiscal 202</w:t>
      </w:r>
      <w:r>
        <w:rPr>
          <w:sz w:val="20"/>
          <w:szCs w:val="20"/>
          <w:lang w:val="es-ES"/>
        </w:rPr>
        <w:t>6</w:t>
      </w:r>
      <w:r w:rsidRPr="002443B7">
        <w:rPr>
          <w:sz w:val="20"/>
          <w:szCs w:val="20"/>
          <w:lang w:val="es-ES"/>
        </w:rPr>
        <w:t xml:space="preserve">. Lo anterior, no los exime de presentarse en las Delegaciones de la </w:t>
      </w:r>
      <w:r w:rsidRPr="002443B7">
        <w:rPr>
          <w:sz w:val="20"/>
          <w:szCs w:val="20"/>
          <w:lang w:val="es-ES"/>
        </w:rPr>
        <w:lastRenderedPageBreak/>
        <w:t>Secretaría de Movilidad y Transporte para efectuar los movimientos vehiculares aplicables, así como en las Oficinas Recaudadoras de la Secretaría de Finanzas para realizar los pagos respectivos.</w:t>
      </w:r>
    </w:p>
    <w:p w14:paraId="24EA94CA" w14:textId="77777777" w:rsidR="004E5730" w:rsidRPr="009E6843" w:rsidRDefault="004E5730" w:rsidP="00CD1674">
      <w:pPr>
        <w:spacing w:line="360" w:lineRule="auto"/>
        <w:jc w:val="both"/>
        <w:rPr>
          <w:sz w:val="20"/>
          <w:szCs w:val="20"/>
          <w:lang w:val="es-ES"/>
        </w:rPr>
      </w:pPr>
    </w:p>
    <w:p w14:paraId="4A9332FC" w14:textId="5439D3D1" w:rsidR="00CD1674" w:rsidRPr="002443B7" w:rsidRDefault="00CD1674" w:rsidP="00CD1674">
      <w:pPr>
        <w:spacing w:line="360" w:lineRule="auto"/>
        <w:jc w:val="both"/>
        <w:rPr>
          <w:sz w:val="20"/>
          <w:szCs w:val="20"/>
          <w:lang w:val="es-ES"/>
        </w:rPr>
      </w:pPr>
      <w:r w:rsidRPr="002443B7">
        <w:rPr>
          <w:b/>
          <w:sz w:val="20"/>
          <w:szCs w:val="20"/>
          <w:lang w:val="es-ES"/>
        </w:rPr>
        <w:t>ARTÍCULO 3</w:t>
      </w:r>
      <w:r w:rsidR="004C008E">
        <w:rPr>
          <w:b/>
          <w:sz w:val="20"/>
          <w:szCs w:val="20"/>
          <w:lang w:val="es-ES"/>
        </w:rPr>
        <w:t>6</w:t>
      </w:r>
      <w:r w:rsidRPr="002443B7">
        <w:rPr>
          <w:b/>
          <w:sz w:val="20"/>
          <w:szCs w:val="20"/>
          <w:lang w:val="es-ES"/>
        </w:rPr>
        <w:t>.</w:t>
      </w:r>
      <w:r w:rsidRPr="008D5C06">
        <w:rPr>
          <w:rFonts w:ascii="Arial" w:hAnsi="Arial" w:cs="Arial"/>
        </w:rPr>
        <w:t xml:space="preserve"> </w:t>
      </w:r>
      <w:r w:rsidRPr="002443B7">
        <w:rPr>
          <w:sz w:val="20"/>
          <w:szCs w:val="20"/>
          <w:lang w:val="es-ES"/>
        </w:rPr>
        <w:t>Las personas adultas mayores con credencial del Instituto Nacional de las Personas Adultas Mayores (INAPAM) que obtengan los servicios señalados en el artículo 153, fracciones I, XII, inciso b); XIII, inciso</w:t>
      </w:r>
      <w:r w:rsidR="00CF078B" w:rsidRPr="002443B7">
        <w:rPr>
          <w:sz w:val="20"/>
          <w:szCs w:val="20"/>
          <w:lang w:val="es-ES"/>
        </w:rPr>
        <w:t>s</w:t>
      </w:r>
      <w:r w:rsidRPr="002443B7">
        <w:rPr>
          <w:sz w:val="20"/>
          <w:szCs w:val="20"/>
          <w:lang w:val="es-ES"/>
        </w:rPr>
        <w:t xml:space="preserve"> b)</w:t>
      </w:r>
      <w:r w:rsidR="00CF078B" w:rsidRPr="002443B7">
        <w:rPr>
          <w:sz w:val="20"/>
          <w:szCs w:val="20"/>
          <w:lang w:val="es-ES"/>
        </w:rPr>
        <w:t xml:space="preserve"> y c)</w:t>
      </w:r>
      <w:r w:rsidRPr="002443B7">
        <w:rPr>
          <w:sz w:val="20"/>
          <w:szCs w:val="20"/>
          <w:lang w:val="es-ES"/>
        </w:rPr>
        <w:t>; XIV, inciso a), numeral</w:t>
      </w:r>
      <w:r w:rsidR="00CF078B" w:rsidRPr="002443B7">
        <w:rPr>
          <w:sz w:val="20"/>
          <w:szCs w:val="20"/>
          <w:lang w:val="es-ES"/>
        </w:rPr>
        <w:t>es</w:t>
      </w:r>
      <w:r w:rsidRPr="002443B7">
        <w:rPr>
          <w:sz w:val="20"/>
          <w:szCs w:val="20"/>
          <w:lang w:val="es-ES"/>
        </w:rPr>
        <w:t xml:space="preserve"> 2</w:t>
      </w:r>
      <w:r w:rsidR="00CF078B" w:rsidRPr="002443B7">
        <w:rPr>
          <w:sz w:val="20"/>
          <w:szCs w:val="20"/>
          <w:lang w:val="es-ES"/>
        </w:rPr>
        <w:t xml:space="preserve"> y 3</w:t>
      </w:r>
      <w:r w:rsidRPr="002443B7">
        <w:rPr>
          <w:sz w:val="20"/>
          <w:szCs w:val="20"/>
          <w:lang w:val="es-ES"/>
        </w:rPr>
        <w:t xml:space="preserve">; XV, inciso a); XVI, inciso a), numeral 2, e inciso b), numeral 3, y XVII, inciso a), del Código Financiero para el Estado de Tlaxcala y sus Municipios, tendrán una reducción del 50 por ciento en el pago de sus derechos, al momento de realizar el trámite correspondiente a los vehículos de su propiedad.  </w:t>
      </w:r>
    </w:p>
    <w:p w14:paraId="04944210" w14:textId="77777777" w:rsidR="00CD1674" w:rsidRPr="009E6843" w:rsidRDefault="00CD1674" w:rsidP="00CD1674">
      <w:pPr>
        <w:spacing w:line="360" w:lineRule="auto"/>
        <w:jc w:val="both"/>
        <w:rPr>
          <w:sz w:val="20"/>
          <w:szCs w:val="20"/>
          <w:lang w:val="es-ES"/>
        </w:rPr>
      </w:pPr>
    </w:p>
    <w:p w14:paraId="6CDE609F" w14:textId="46558B6E" w:rsidR="004E5730" w:rsidRPr="00B21775" w:rsidRDefault="004E5730" w:rsidP="004E5730">
      <w:pPr>
        <w:spacing w:line="360" w:lineRule="auto"/>
        <w:jc w:val="both"/>
        <w:rPr>
          <w:sz w:val="20"/>
          <w:szCs w:val="20"/>
        </w:rPr>
      </w:pPr>
      <w:r w:rsidRPr="00B21775">
        <w:rPr>
          <w:b/>
          <w:bCs/>
          <w:sz w:val="20"/>
          <w:szCs w:val="20"/>
        </w:rPr>
        <w:t>ARTÍCULO 3</w:t>
      </w:r>
      <w:r w:rsidR="004C008E">
        <w:rPr>
          <w:b/>
          <w:bCs/>
          <w:sz w:val="20"/>
          <w:szCs w:val="20"/>
        </w:rPr>
        <w:t>7</w:t>
      </w:r>
      <w:r w:rsidRPr="00B21775">
        <w:rPr>
          <w:b/>
          <w:bCs/>
          <w:sz w:val="20"/>
          <w:szCs w:val="20"/>
        </w:rPr>
        <w:t>.</w:t>
      </w:r>
      <w:r w:rsidRPr="00B21775">
        <w:rPr>
          <w:sz w:val="20"/>
          <w:szCs w:val="20"/>
        </w:rPr>
        <w:t xml:space="preserve"> Para efectos de lo establecido en el Acuerdo por el que se crea el Registro de Personas Morales Autorizadas para operar y/o Administrar Aplicaciones y Plataformas Informáticas para el control, programación y/o geolocalización en dispositivos fijos o móviles, a través de las cuales los particulares pueden contratar el servicio privado de Transporte con chofer en el Estado de Tlaxcala, se establece el cobro de los siguientes derechos:</w:t>
      </w:r>
    </w:p>
    <w:p w14:paraId="2A2DAB6D" w14:textId="77777777" w:rsidR="004E5730" w:rsidRPr="001E36D7" w:rsidRDefault="004E5730" w:rsidP="004E5730">
      <w:pPr>
        <w:pStyle w:val="Textoindependiente"/>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3118"/>
      </w:tblGrid>
      <w:tr w:rsidR="004E5730" w14:paraId="3C8A6A33" w14:textId="77777777" w:rsidTr="00CF4D14">
        <w:trPr>
          <w:trHeight w:val="355"/>
          <w:tblHeader/>
          <w:jc w:val="center"/>
        </w:trPr>
        <w:tc>
          <w:tcPr>
            <w:tcW w:w="4772" w:type="dxa"/>
          </w:tcPr>
          <w:p w14:paraId="35162B39" w14:textId="77777777" w:rsidR="004E5730" w:rsidRDefault="004E5730" w:rsidP="000D1C23">
            <w:pPr>
              <w:pStyle w:val="TableParagraph"/>
              <w:spacing w:before="10"/>
              <w:ind w:left="1829" w:right="1775"/>
              <w:jc w:val="center"/>
              <w:rPr>
                <w:rFonts w:ascii="Times New Roman"/>
                <w:b/>
                <w:sz w:val="20"/>
              </w:rPr>
            </w:pPr>
            <w:r>
              <w:rPr>
                <w:rFonts w:ascii="Times New Roman"/>
                <w:b/>
                <w:spacing w:val="-2"/>
                <w:sz w:val="20"/>
              </w:rPr>
              <w:t>CONCEPTO</w:t>
            </w:r>
          </w:p>
        </w:tc>
        <w:tc>
          <w:tcPr>
            <w:tcW w:w="3118" w:type="dxa"/>
          </w:tcPr>
          <w:p w14:paraId="2E84ED25" w14:textId="77777777" w:rsidR="004E5730" w:rsidRDefault="004E5730" w:rsidP="000D1C23">
            <w:pPr>
              <w:pStyle w:val="TableParagraph"/>
              <w:spacing w:before="10"/>
              <w:ind w:left="559"/>
              <w:rPr>
                <w:rFonts w:ascii="Times New Roman"/>
                <w:b/>
                <w:sz w:val="20"/>
              </w:rPr>
            </w:pPr>
            <w:r>
              <w:rPr>
                <w:rFonts w:ascii="Times New Roman"/>
                <w:b/>
                <w:sz w:val="20"/>
              </w:rPr>
              <w:t>DERECHO</w:t>
            </w:r>
            <w:r>
              <w:rPr>
                <w:rFonts w:ascii="Times New Roman"/>
                <w:b/>
                <w:spacing w:val="-9"/>
                <w:sz w:val="20"/>
              </w:rPr>
              <w:t xml:space="preserve"> </w:t>
            </w:r>
            <w:r>
              <w:rPr>
                <w:rFonts w:ascii="Times New Roman"/>
                <w:b/>
                <w:spacing w:val="-2"/>
                <w:sz w:val="20"/>
              </w:rPr>
              <w:t>CAUSADO</w:t>
            </w:r>
          </w:p>
        </w:tc>
      </w:tr>
      <w:tr w:rsidR="004E5730" w14:paraId="02D2E898" w14:textId="77777777" w:rsidTr="000D1C23">
        <w:trPr>
          <w:trHeight w:val="2078"/>
          <w:jc w:val="center"/>
        </w:trPr>
        <w:tc>
          <w:tcPr>
            <w:tcW w:w="4772" w:type="dxa"/>
          </w:tcPr>
          <w:p w14:paraId="2519047D" w14:textId="77777777" w:rsidR="004E5730" w:rsidRDefault="004E5730" w:rsidP="000D1C23">
            <w:pPr>
              <w:pStyle w:val="TableParagraph"/>
              <w:spacing w:before="10" w:line="360" w:lineRule="auto"/>
              <w:ind w:left="107" w:right="46"/>
              <w:jc w:val="both"/>
              <w:rPr>
                <w:rFonts w:ascii="Times New Roman"/>
                <w:sz w:val="20"/>
              </w:rPr>
            </w:pPr>
            <w:r>
              <w:rPr>
                <w:rFonts w:ascii="Times New Roman" w:hAnsi="Times New Roman"/>
                <w:sz w:val="20"/>
              </w:rPr>
              <w:t>I. Por el análisis jurídico, técnico y administrativo que sirva como base para el registro ante la Secretaría de Movilidad y Transporte, de las Empresas de Redes de Transporte para la prestación del Servicio de Transporte Privado</w:t>
            </w:r>
            <w:r>
              <w:rPr>
                <w:rFonts w:ascii="Times New Roman" w:hAnsi="Times New Roman"/>
                <w:spacing w:val="21"/>
                <w:sz w:val="20"/>
              </w:rPr>
              <w:t xml:space="preserve"> </w:t>
            </w:r>
            <w:r>
              <w:rPr>
                <w:rFonts w:ascii="Times New Roman" w:hAnsi="Times New Roman"/>
                <w:sz w:val="20"/>
              </w:rPr>
              <w:t>con</w:t>
            </w:r>
            <w:r>
              <w:rPr>
                <w:rFonts w:ascii="Times New Roman" w:hAnsi="Times New Roman"/>
                <w:spacing w:val="19"/>
                <w:sz w:val="20"/>
              </w:rPr>
              <w:t xml:space="preserve"> </w:t>
            </w:r>
            <w:r>
              <w:rPr>
                <w:rFonts w:ascii="Times New Roman" w:hAnsi="Times New Roman"/>
                <w:sz w:val="20"/>
              </w:rPr>
              <w:t>chofer,</w:t>
            </w:r>
            <w:r>
              <w:rPr>
                <w:rFonts w:ascii="Times New Roman" w:hAnsi="Times New Roman"/>
                <w:spacing w:val="19"/>
                <w:sz w:val="20"/>
              </w:rPr>
              <w:t xml:space="preserve"> </w:t>
            </w:r>
            <w:r>
              <w:rPr>
                <w:rFonts w:ascii="Times New Roman" w:hAnsi="Times New Roman"/>
                <w:sz w:val="20"/>
              </w:rPr>
              <w:t>que</w:t>
            </w:r>
            <w:r>
              <w:rPr>
                <w:rFonts w:ascii="Times New Roman" w:hAnsi="Times New Roman"/>
                <w:spacing w:val="19"/>
                <w:sz w:val="20"/>
              </w:rPr>
              <w:t xml:space="preserve"> </w:t>
            </w:r>
            <w:r>
              <w:rPr>
                <w:rFonts w:ascii="Times New Roman" w:hAnsi="Times New Roman"/>
                <w:sz w:val="20"/>
              </w:rPr>
              <w:t>incluye</w:t>
            </w:r>
            <w:r>
              <w:rPr>
                <w:rFonts w:ascii="Times New Roman" w:hAnsi="Times New Roman"/>
                <w:spacing w:val="21"/>
                <w:sz w:val="20"/>
              </w:rPr>
              <w:t xml:space="preserve"> </w:t>
            </w:r>
            <w:r>
              <w:rPr>
                <w:rFonts w:ascii="Times New Roman" w:hAnsi="Times New Roman"/>
                <w:sz w:val="20"/>
              </w:rPr>
              <w:t>Oficio</w:t>
            </w:r>
            <w:r>
              <w:rPr>
                <w:rFonts w:ascii="Times New Roman" w:hAnsi="Times New Roman"/>
                <w:spacing w:val="19"/>
                <w:sz w:val="20"/>
              </w:rPr>
              <w:t xml:space="preserve"> </w:t>
            </w:r>
            <w:r>
              <w:rPr>
                <w:rFonts w:ascii="Times New Roman" w:hAnsi="Times New Roman"/>
                <w:sz w:val="20"/>
              </w:rPr>
              <w:t>de</w:t>
            </w:r>
            <w:r>
              <w:rPr>
                <w:rFonts w:ascii="Times New Roman" w:hAnsi="Times New Roman"/>
                <w:spacing w:val="21"/>
                <w:sz w:val="20"/>
              </w:rPr>
              <w:t xml:space="preserve"> </w:t>
            </w:r>
            <w:r>
              <w:rPr>
                <w:rFonts w:ascii="Times New Roman" w:hAnsi="Times New Roman"/>
                <w:spacing w:val="-2"/>
                <w:sz w:val="20"/>
              </w:rPr>
              <w:t xml:space="preserve">Autorización </w:t>
            </w:r>
            <w:r>
              <w:rPr>
                <w:rFonts w:ascii="Times New Roman"/>
                <w:sz w:val="20"/>
              </w:rPr>
              <w:t>del</w:t>
            </w:r>
            <w:r>
              <w:rPr>
                <w:rFonts w:ascii="Times New Roman"/>
                <w:spacing w:val="-4"/>
                <w:sz w:val="20"/>
              </w:rPr>
              <w:t xml:space="preserve"> </w:t>
            </w:r>
            <w:r>
              <w:rPr>
                <w:rFonts w:ascii="Times New Roman"/>
                <w:sz w:val="20"/>
              </w:rPr>
              <w:t>Registro,</w:t>
            </w:r>
            <w:r>
              <w:rPr>
                <w:rFonts w:ascii="Times New Roman"/>
                <w:spacing w:val="-4"/>
                <w:sz w:val="20"/>
              </w:rPr>
              <w:t xml:space="preserve"> </w:t>
            </w:r>
            <w:r>
              <w:rPr>
                <w:rFonts w:ascii="Times New Roman"/>
                <w:sz w:val="20"/>
              </w:rPr>
              <w:t>por</w:t>
            </w:r>
            <w:r>
              <w:rPr>
                <w:rFonts w:ascii="Times New Roman"/>
                <w:spacing w:val="-3"/>
                <w:sz w:val="20"/>
              </w:rPr>
              <w:t xml:space="preserve"> </w:t>
            </w:r>
            <w:r>
              <w:rPr>
                <w:rFonts w:ascii="Times New Roman"/>
                <w:sz w:val="20"/>
              </w:rPr>
              <w:t>cada</w:t>
            </w:r>
            <w:r>
              <w:rPr>
                <w:rFonts w:ascii="Times New Roman"/>
                <w:spacing w:val="-4"/>
                <w:sz w:val="20"/>
              </w:rPr>
              <w:t xml:space="preserve"> </w:t>
            </w:r>
            <w:r>
              <w:rPr>
                <w:rFonts w:ascii="Times New Roman"/>
                <w:spacing w:val="-2"/>
                <w:sz w:val="20"/>
              </w:rPr>
              <w:t>empresa.</w:t>
            </w:r>
          </w:p>
        </w:tc>
        <w:tc>
          <w:tcPr>
            <w:tcW w:w="3118" w:type="dxa"/>
          </w:tcPr>
          <w:p w14:paraId="4BCE00B5" w14:textId="77777777" w:rsidR="004E5730" w:rsidRDefault="004E5730" w:rsidP="000D1C23">
            <w:pPr>
              <w:pStyle w:val="TableParagraph"/>
              <w:tabs>
                <w:tab w:val="left" w:pos="659"/>
                <w:tab w:val="left" w:pos="1661"/>
                <w:tab w:val="left" w:pos="2100"/>
                <w:tab w:val="left" w:pos="2958"/>
              </w:tabs>
              <w:spacing w:before="195" w:line="357" w:lineRule="auto"/>
              <w:ind w:left="108" w:right="47"/>
              <w:rPr>
                <w:rFonts w:ascii="Times New Roman" w:hAnsi="Times New Roman"/>
                <w:spacing w:val="-4"/>
                <w:sz w:val="20"/>
              </w:rPr>
            </w:pPr>
          </w:p>
          <w:p w14:paraId="38FDFCAA" w14:textId="77777777" w:rsidR="004E5730" w:rsidRDefault="004E5730" w:rsidP="000D1C23">
            <w:pPr>
              <w:pStyle w:val="TableParagraph"/>
              <w:tabs>
                <w:tab w:val="left" w:pos="659"/>
                <w:tab w:val="left" w:pos="1661"/>
                <w:tab w:val="left" w:pos="2100"/>
                <w:tab w:val="left" w:pos="2958"/>
              </w:tabs>
              <w:spacing w:before="195" w:line="357" w:lineRule="auto"/>
              <w:ind w:left="108" w:right="47"/>
              <w:jc w:val="both"/>
              <w:rPr>
                <w:rFonts w:ascii="Times New Roman" w:hAnsi="Times New Roman"/>
                <w:sz w:val="20"/>
              </w:rPr>
            </w:pPr>
            <w:r>
              <w:rPr>
                <w:rFonts w:ascii="Times New Roman" w:hAnsi="Times New Roman"/>
                <w:spacing w:val="-4"/>
                <w:sz w:val="20"/>
              </w:rPr>
              <w:t xml:space="preserve">533 </w:t>
            </w:r>
            <w:proofErr w:type="gramStart"/>
            <w:r>
              <w:rPr>
                <w:rFonts w:ascii="Times New Roman" w:hAnsi="Times New Roman"/>
                <w:spacing w:val="-2"/>
                <w:sz w:val="20"/>
              </w:rPr>
              <w:t>Unidades</w:t>
            </w:r>
            <w:proofErr w:type="gramEnd"/>
            <w:r>
              <w:rPr>
                <w:rFonts w:ascii="Times New Roman" w:hAnsi="Times New Roman"/>
                <w:spacing w:val="-2"/>
                <w:sz w:val="20"/>
              </w:rPr>
              <w:t xml:space="preserve"> </w:t>
            </w:r>
            <w:r>
              <w:rPr>
                <w:rFonts w:ascii="Times New Roman" w:hAnsi="Times New Roman"/>
                <w:spacing w:val="-6"/>
                <w:sz w:val="20"/>
              </w:rPr>
              <w:t xml:space="preserve">de </w:t>
            </w:r>
            <w:r>
              <w:rPr>
                <w:rFonts w:ascii="Times New Roman" w:hAnsi="Times New Roman"/>
                <w:spacing w:val="-2"/>
                <w:sz w:val="20"/>
              </w:rPr>
              <w:t xml:space="preserve">Medida </w:t>
            </w:r>
            <w:r>
              <w:rPr>
                <w:rFonts w:ascii="Times New Roman" w:hAnsi="Times New Roman"/>
                <w:spacing w:val="-10"/>
                <w:sz w:val="20"/>
              </w:rPr>
              <w:t>y</w:t>
            </w:r>
            <w:r>
              <w:rPr>
                <w:rFonts w:ascii="Times New Roman" w:hAnsi="Times New Roman"/>
                <w:spacing w:val="-2"/>
                <w:sz w:val="20"/>
              </w:rPr>
              <w:t xml:space="preserve"> Actualización.</w:t>
            </w:r>
          </w:p>
        </w:tc>
      </w:tr>
      <w:tr w:rsidR="004E5730" w14:paraId="25DBD0ED" w14:textId="77777777" w:rsidTr="000D1C23">
        <w:trPr>
          <w:trHeight w:val="700"/>
          <w:jc w:val="center"/>
        </w:trPr>
        <w:tc>
          <w:tcPr>
            <w:tcW w:w="4772" w:type="dxa"/>
          </w:tcPr>
          <w:p w14:paraId="7031B2BB" w14:textId="77777777" w:rsidR="004E5730" w:rsidRDefault="004E5730" w:rsidP="000D1C23">
            <w:pPr>
              <w:pStyle w:val="TableParagraph"/>
              <w:spacing w:before="12"/>
              <w:ind w:left="107"/>
              <w:rPr>
                <w:rFonts w:ascii="Times New Roman"/>
                <w:sz w:val="20"/>
              </w:rPr>
            </w:pPr>
            <w:r>
              <w:rPr>
                <w:rFonts w:ascii="Times New Roman"/>
                <w:sz w:val="20"/>
              </w:rPr>
              <w:t>II.</w:t>
            </w:r>
            <w:r>
              <w:rPr>
                <w:rFonts w:ascii="Times New Roman"/>
                <w:spacing w:val="30"/>
                <w:sz w:val="20"/>
              </w:rPr>
              <w:t xml:space="preserve"> </w:t>
            </w:r>
            <w:r>
              <w:rPr>
                <w:rFonts w:ascii="Times New Roman"/>
                <w:sz w:val="20"/>
              </w:rPr>
              <w:t>Por</w:t>
            </w:r>
            <w:r>
              <w:rPr>
                <w:rFonts w:ascii="Times New Roman"/>
                <w:spacing w:val="31"/>
                <w:sz w:val="20"/>
              </w:rPr>
              <w:t xml:space="preserve"> </w:t>
            </w:r>
            <w:r>
              <w:rPr>
                <w:rFonts w:ascii="Times New Roman"/>
                <w:sz w:val="20"/>
              </w:rPr>
              <w:t>el</w:t>
            </w:r>
            <w:r>
              <w:rPr>
                <w:rFonts w:ascii="Times New Roman"/>
                <w:spacing w:val="29"/>
                <w:sz w:val="20"/>
              </w:rPr>
              <w:t xml:space="preserve"> </w:t>
            </w:r>
            <w:r>
              <w:rPr>
                <w:rFonts w:ascii="Times New Roman"/>
                <w:sz w:val="20"/>
              </w:rPr>
              <w:t>refrendo</w:t>
            </w:r>
            <w:r>
              <w:rPr>
                <w:rFonts w:ascii="Times New Roman"/>
                <w:spacing w:val="29"/>
                <w:sz w:val="20"/>
              </w:rPr>
              <w:t xml:space="preserve"> </w:t>
            </w:r>
            <w:r>
              <w:rPr>
                <w:rFonts w:ascii="Times New Roman"/>
                <w:sz w:val="20"/>
              </w:rPr>
              <w:t>anual</w:t>
            </w:r>
            <w:r>
              <w:rPr>
                <w:rFonts w:ascii="Times New Roman"/>
                <w:spacing w:val="28"/>
                <w:sz w:val="20"/>
              </w:rPr>
              <w:t xml:space="preserve"> </w:t>
            </w:r>
            <w:r>
              <w:rPr>
                <w:rFonts w:ascii="Times New Roman"/>
                <w:sz w:val="20"/>
              </w:rPr>
              <w:t>de</w:t>
            </w:r>
            <w:r>
              <w:rPr>
                <w:rFonts w:ascii="Times New Roman"/>
                <w:spacing w:val="28"/>
                <w:sz w:val="20"/>
              </w:rPr>
              <w:t xml:space="preserve"> </w:t>
            </w:r>
            <w:r>
              <w:rPr>
                <w:rFonts w:ascii="Times New Roman"/>
                <w:sz w:val="20"/>
              </w:rPr>
              <w:t>las</w:t>
            </w:r>
            <w:r>
              <w:rPr>
                <w:rFonts w:ascii="Times New Roman"/>
                <w:spacing w:val="30"/>
                <w:sz w:val="20"/>
              </w:rPr>
              <w:t xml:space="preserve"> </w:t>
            </w:r>
            <w:r>
              <w:rPr>
                <w:rFonts w:ascii="Times New Roman"/>
                <w:sz w:val="20"/>
              </w:rPr>
              <w:t>Empresas</w:t>
            </w:r>
            <w:r>
              <w:rPr>
                <w:rFonts w:ascii="Times New Roman"/>
                <w:spacing w:val="30"/>
                <w:sz w:val="20"/>
              </w:rPr>
              <w:t xml:space="preserve"> </w:t>
            </w:r>
            <w:r>
              <w:rPr>
                <w:rFonts w:ascii="Times New Roman"/>
                <w:sz w:val="20"/>
              </w:rPr>
              <w:t>de</w:t>
            </w:r>
            <w:r>
              <w:rPr>
                <w:rFonts w:ascii="Times New Roman"/>
                <w:spacing w:val="31"/>
                <w:sz w:val="20"/>
              </w:rPr>
              <w:t xml:space="preserve"> </w:t>
            </w:r>
            <w:r>
              <w:rPr>
                <w:rFonts w:ascii="Times New Roman"/>
                <w:sz w:val="20"/>
              </w:rPr>
              <w:t>Redes</w:t>
            </w:r>
            <w:r>
              <w:rPr>
                <w:rFonts w:ascii="Times New Roman"/>
                <w:spacing w:val="30"/>
                <w:sz w:val="20"/>
              </w:rPr>
              <w:t xml:space="preserve"> </w:t>
            </w:r>
            <w:r>
              <w:rPr>
                <w:rFonts w:ascii="Times New Roman"/>
                <w:spacing w:val="-5"/>
                <w:sz w:val="20"/>
              </w:rPr>
              <w:t xml:space="preserve">de </w:t>
            </w:r>
            <w:r>
              <w:rPr>
                <w:rFonts w:ascii="Times New Roman"/>
                <w:spacing w:val="-2"/>
                <w:sz w:val="20"/>
              </w:rPr>
              <w:t>Transporte.</w:t>
            </w:r>
          </w:p>
        </w:tc>
        <w:tc>
          <w:tcPr>
            <w:tcW w:w="3118" w:type="dxa"/>
          </w:tcPr>
          <w:p w14:paraId="3DA2B3E3" w14:textId="77777777" w:rsidR="004E5730" w:rsidRDefault="004E5730" w:rsidP="000D1C23">
            <w:pPr>
              <w:pStyle w:val="TableParagraph"/>
              <w:tabs>
                <w:tab w:val="left" w:pos="584"/>
                <w:tab w:val="left" w:pos="1613"/>
                <w:tab w:val="left" w:pos="2076"/>
                <w:tab w:val="left" w:pos="2959"/>
              </w:tabs>
              <w:spacing w:before="12"/>
              <w:ind w:left="108"/>
              <w:jc w:val="both"/>
              <w:rPr>
                <w:rFonts w:ascii="Times New Roman" w:hAnsi="Times New Roman"/>
                <w:sz w:val="20"/>
              </w:rPr>
            </w:pPr>
            <w:r>
              <w:rPr>
                <w:rFonts w:ascii="Times New Roman"/>
                <w:spacing w:val="-5"/>
                <w:sz w:val="20"/>
              </w:rPr>
              <w:t xml:space="preserve">65 </w:t>
            </w:r>
            <w:proofErr w:type="gramStart"/>
            <w:r>
              <w:rPr>
                <w:rFonts w:ascii="Times New Roman"/>
                <w:spacing w:val="-2"/>
                <w:sz w:val="20"/>
              </w:rPr>
              <w:t>Unidades</w:t>
            </w:r>
            <w:proofErr w:type="gramEnd"/>
            <w:r>
              <w:rPr>
                <w:rFonts w:ascii="Times New Roman"/>
                <w:spacing w:val="-2"/>
                <w:sz w:val="20"/>
              </w:rPr>
              <w:t xml:space="preserve"> </w:t>
            </w:r>
            <w:r>
              <w:rPr>
                <w:rFonts w:ascii="Times New Roman"/>
                <w:spacing w:val="-5"/>
                <w:sz w:val="20"/>
              </w:rPr>
              <w:t xml:space="preserve">de </w:t>
            </w:r>
            <w:r>
              <w:rPr>
                <w:rFonts w:ascii="Times New Roman"/>
                <w:spacing w:val="-2"/>
                <w:sz w:val="20"/>
              </w:rPr>
              <w:t xml:space="preserve">Medida </w:t>
            </w:r>
            <w:r>
              <w:rPr>
                <w:rFonts w:ascii="Times New Roman"/>
                <w:spacing w:val="-10"/>
                <w:sz w:val="20"/>
              </w:rPr>
              <w:t xml:space="preserve">y </w:t>
            </w:r>
            <w:r>
              <w:rPr>
                <w:rFonts w:ascii="Times New Roman" w:hAnsi="Times New Roman"/>
                <w:spacing w:val="-2"/>
                <w:sz w:val="20"/>
              </w:rPr>
              <w:t>Actualización.</w:t>
            </w:r>
          </w:p>
        </w:tc>
      </w:tr>
      <w:tr w:rsidR="004E5730" w14:paraId="17FAF0E2" w14:textId="77777777" w:rsidTr="000D1C23">
        <w:trPr>
          <w:trHeight w:val="1392"/>
          <w:jc w:val="center"/>
        </w:trPr>
        <w:tc>
          <w:tcPr>
            <w:tcW w:w="4772" w:type="dxa"/>
          </w:tcPr>
          <w:p w14:paraId="7CEAD62E" w14:textId="51563A2E" w:rsidR="004E5730" w:rsidRDefault="004E5730" w:rsidP="000D1C23">
            <w:pPr>
              <w:pStyle w:val="TableParagraph"/>
              <w:spacing w:before="12" w:line="360" w:lineRule="auto"/>
              <w:ind w:left="107" w:right="52"/>
              <w:jc w:val="both"/>
              <w:rPr>
                <w:rFonts w:ascii="Times New Roman" w:hAnsi="Times New Roman"/>
                <w:sz w:val="20"/>
              </w:rPr>
            </w:pPr>
            <w:r>
              <w:rPr>
                <w:rFonts w:ascii="Times New Roman" w:hAnsi="Times New Roman"/>
                <w:sz w:val="20"/>
              </w:rPr>
              <w:lastRenderedPageBreak/>
              <w:t>III. Por la expedición anual de la Constancia de Registro Vehicular de Servicio de Transporte Privado con Chofer inscrito</w:t>
            </w:r>
            <w:r>
              <w:rPr>
                <w:rFonts w:ascii="Times New Roman" w:hAnsi="Times New Roman"/>
                <w:spacing w:val="31"/>
                <w:sz w:val="20"/>
              </w:rPr>
              <w:t xml:space="preserve"> </w:t>
            </w:r>
            <w:r>
              <w:rPr>
                <w:rFonts w:ascii="Times New Roman" w:hAnsi="Times New Roman"/>
                <w:sz w:val="20"/>
              </w:rPr>
              <w:t>por</w:t>
            </w:r>
            <w:r>
              <w:rPr>
                <w:rFonts w:ascii="Times New Roman" w:hAnsi="Times New Roman"/>
                <w:spacing w:val="32"/>
                <w:sz w:val="20"/>
              </w:rPr>
              <w:t xml:space="preserve"> </w:t>
            </w:r>
            <w:r>
              <w:rPr>
                <w:rFonts w:ascii="Times New Roman" w:hAnsi="Times New Roman"/>
                <w:sz w:val="20"/>
              </w:rPr>
              <w:t>las</w:t>
            </w:r>
            <w:r>
              <w:rPr>
                <w:rFonts w:ascii="Times New Roman" w:hAnsi="Times New Roman"/>
                <w:spacing w:val="31"/>
                <w:sz w:val="20"/>
              </w:rPr>
              <w:t xml:space="preserve"> </w:t>
            </w:r>
            <w:r>
              <w:rPr>
                <w:rFonts w:ascii="Times New Roman" w:hAnsi="Times New Roman"/>
                <w:sz w:val="20"/>
              </w:rPr>
              <w:t>Empresas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Redes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Transporte</w:t>
            </w:r>
            <w:r w:rsidR="005E37C8">
              <w:rPr>
                <w:rFonts w:ascii="Times New Roman" w:hAnsi="Times New Roman"/>
                <w:sz w:val="20"/>
              </w:rPr>
              <w:t>:</w:t>
            </w:r>
          </w:p>
        </w:tc>
        <w:tc>
          <w:tcPr>
            <w:tcW w:w="3118" w:type="dxa"/>
          </w:tcPr>
          <w:p w14:paraId="04D26F0D" w14:textId="21FAEA17" w:rsidR="004E5730" w:rsidRDefault="004E5730" w:rsidP="005E37C8">
            <w:pPr>
              <w:pStyle w:val="TableParagraph"/>
              <w:tabs>
                <w:tab w:val="left" w:pos="584"/>
                <w:tab w:val="left" w:pos="1613"/>
                <w:tab w:val="left" w:pos="2076"/>
                <w:tab w:val="left" w:pos="2959"/>
              </w:tabs>
              <w:spacing w:line="360" w:lineRule="auto"/>
              <w:ind w:right="47"/>
              <w:jc w:val="both"/>
              <w:rPr>
                <w:rFonts w:ascii="Times New Roman" w:hAnsi="Times New Roman"/>
                <w:sz w:val="20"/>
              </w:rPr>
            </w:pPr>
          </w:p>
        </w:tc>
      </w:tr>
      <w:tr w:rsidR="005E37C8" w14:paraId="77B8A975" w14:textId="77777777" w:rsidTr="005E37C8">
        <w:trPr>
          <w:trHeight w:val="629"/>
          <w:jc w:val="center"/>
        </w:trPr>
        <w:tc>
          <w:tcPr>
            <w:tcW w:w="4772" w:type="dxa"/>
          </w:tcPr>
          <w:p w14:paraId="08BC92CF" w14:textId="10A868BF" w:rsidR="005E37C8" w:rsidRDefault="005E37C8" w:rsidP="005E37C8">
            <w:pPr>
              <w:pStyle w:val="TableParagraph"/>
              <w:numPr>
                <w:ilvl w:val="3"/>
                <w:numId w:val="11"/>
              </w:numPr>
              <w:spacing w:before="12" w:line="360" w:lineRule="auto"/>
              <w:ind w:left="426" w:right="52"/>
              <w:jc w:val="both"/>
              <w:rPr>
                <w:rFonts w:ascii="Times New Roman" w:hAnsi="Times New Roman"/>
                <w:sz w:val="20"/>
              </w:rPr>
            </w:pPr>
            <w:r>
              <w:rPr>
                <w:rFonts w:ascii="Times New Roman" w:hAnsi="Times New Roman"/>
                <w:sz w:val="20"/>
              </w:rPr>
              <w:t>Camión de carga hasta de ocho toneladas;</w:t>
            </w:r>
          </w:p>
        </w:tc>
        <w:tc>
          <w:tcPr>
            <w:tcW w:w="3118" w:type="dxa"/>
          </w:tcPr>
          <w:p w14:paraId="4558B8DC" w14:textId="534E48F8" w:rsidR="005E37C8" w:rsidRPr="005E37C8" w:rsidRDefault="005E37C8"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20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r w:rsidR="005E37C8" w14:paraId="19C5F70D" w14:textId="77777777" w:rsidTr="005E37C8">
        <w:trPr>
          <w:trHeight w:val="771"/>
          <w:jc w:val="center"/>
        </w:trPr>
        <w:tc>
          <w:tcPr>
            <w:tcW w:w="4772" w:type="dxa"/>
          </w:tcPr>
          <w:p w14:paraId="250ECD7D" w14:textId="20E7C0A5" w:rsidR="005E37C8" w:rsidRDefault="005E37C8" w:rsidP="005E37C8">
            <w:pPr>
              <w:pStyle w:val="TableParagraph"/>
              <w:numPr>
                <w:ilvl w:val="3"/>
                <w:numId w:val="11"/>
              </w:numPr>
              <w:spacing w:before="12" w:line="360" w:lineRule="auto"/>
              <w:ind w:left="426" w:right="52"/>
              <w:jc w:val="both"/>
              <w:rPr>
                <w:rFonts w:ascii="Times New Roman" w:hAnsi="Times New Roman"/>
                <w:sz w:val="20"/>
              </w:rPr>
            </w:pPr>
            <w:r>
              <w:rPr>
                <w:rFonts w:ascii="Times New Roman" w:hAnsi="Times New Roman"/>
                <w:sz w:val="20"/>
              </w:rPr>
              <w:t>Van o panel;</w:t>
            </w:r>
          </w:p>
        </w:tc>
        <w:tc>
          <w:tcPr>
            <w:tcW w:w="3118" w:type="dxa"/>
          </w:tcPr>
          <w:p w14:paraId="43EDEDBB" w14:textId="497179DE" w:rsidR="005E37C8" w:rsidRPr="005E37C8" w:rsidRDefault="005E37C8"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18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r w:rsidR="005E37C8" w14:paraId="63D156DF" w14:textId="77777777" w:rsidTr="005E37C8">
        <w:trPr>
          <w:trHeight w:val="711"/>
          <w:jc w:val="center"/>
        </w:trPr>
        <w:tc>
          <w:tcPr>
            <w:tcW w:w="4772" w:type="dxa"/>
          </w:tcPr>
          <w:p w14:paraId="122551D7" w14:textId="3F02D0A0" w:rsidR="005E37C8" w:rsidRDefault="005E37C8" w:rsidP="005E37C8">
            <w:pPr>
              <w:pStyle w:val="TableParagraph"/>
              <w:numPr>
                <w:ilvl w:val="3"/>
                <w:numId w:val="11"/>
              </w:numPr>
              <w:spacing w:before="12" w:line="360" w:lineRule="auto"/>
              <w:ind w:left="426" w:right="52"/>
              <w:jc w:val="both"/>
              <w:rPr>
                <w:rFonts w:ascii="Times New Roman" w:hAnsi="Times New Roman"/>
                <w:sz w:val="20"/>
              </w:rPr>
            </w:pPr>
            <w:r>
              <w:rPr>
                <w:rFonts w:ascii="Times New Roman" w:hAnsi="Times New Roman"/>
                <w:sz w:val="20"/>
              </w:rPr>
              <w:t>Camionetas Pick up;</w:t>
            </w:r>
          </w:p>
        </w:tc>
        <w:tc>
          <w:tcPr>
            <w:tcW w:w="3118" w:type="dxa"/>
          </w:tcPr>
          <w:p w14:paraId="3CC16F23" w14:textId="43F71FEC" w:rsidR="005E37C8" w:rsidRPr="005E37C8" w:rsidRDefault="005E37C8"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16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r w:rsidR="005E37C8" w14:paraId="0F16028D" w14:textId="77777777" w:rsidTr="005E37C8">
        <w:trPr>
          <w:trHeight w:val="711"/>
          <w:jc w:val="center"/>
        </w:trPr>
        <w:tc>
          <w:tcPr>
            <w:tcW w:w="4772" w:type="dxa"/>
          </w:tcPr>
          <w:p w14:paraId="138C79AE" w14:textId="5BC9B528" w:rsidR="005E37C8" w:rsidRDefault="005E37C8" w:rsidP="005E37C8">
            <w:pPr>
              <w:pStyle w:val="TableParagraph"/>
              <w:numPr>
                <w:ilvl w:val="3"/>
                <w:numId w:val="11"/>
              </w:numPr>
              <w:spacing w:before="12" w:line="360" w:lineRule="auto"/>
              <w:ind w:left="426" w:right="52"/>
              <w:jc w:val="both"/>
              <w:rPr>
                <w:rFonts w:ascii="Times New Roman" w:hAnsi="Times New Roman"/>
                <w:sz w:val="20"/>
              </w:rPr>
            </w:pPr>
            <w:r>
              <w:rPr>
                <w:rFonts w:ascii="Times New Roman" w:hAnsi="Times New Roman"/>
                <w:sz w:val="20"/>
              </w:rPr>
              <w:t>Automóvil, y</w:t>
            </w:r>
          </w:p>
        </w:tc>
        <w:tc>
          <w:tcPr>
            <w:tcW w:w="3118" w:type="dxa"/>
          </w:tcPr>
          <w:p w14:paraId="0F24BA91" w14:textId="6D2899DC" w:rsidR="005E37C8" w:rsidRPr="005E37C8" w:rsidRDefault="005E37C8"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14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r w:rsidR="005E37C8" w14:paraId="0227D56D" w14:textId="77777777" w:rsidTr="005E37C8">
        <w:trPr>
          <w:trHeight w:val="711"/>
          <w:jc w:val="center"/>
        </w:trPr>
        <w:tc>
          <w:tcPr>
            <w:tcW w:w="4772" w:type="dxa"/>
          </w:tcPr>
          <w:p w14:paraId="659317FC" w14:textId="51FE6297" w:rsidR="005E37C8" w:rsidRDefault="005E37C8" w:rsidP="005E37C8">
            <w:pPr>
              <w:pStyle w:val="TableParagraph"/>
              <w:numPr>
                <w:ilvl w:val="3"/>
                <w:numId w:val="11"/>
              </w:numPr>
              <w:spacing w:before="12" w:line="360" w:lineRule="auto"/>
              <w:ind w:left="426" w:right="52"/>
              <w:jc w:val="both"/>
              <w:rPr>
                <w:rFonts w:ascii="Times New Roman" w:hAnsi="Times New Roman"/>
                <w:sz w:val="20"/>
              </w:rPr>
            </w:pPr>
            <w:r>
              <w:rPr>
                <w:rFonts w:ascii="Times New Roman" w:hAnsi="Times New Roman"/>
                <w:sz w:val="20"/>
              </w:rPr>
              <w:t xml:space="preserve">Motocicleta, cuatrimoto y </w:t>
            </w:r>
            <w:proofErr w:type="spellStart"/>
            <w:r>
              <w:rPr>
                <w:rFonts w:ascii="Times New Roman" w:hAnsi="Times New Roman"/>
                <w:sz w:val="20"/>
              </w:rPr>
              <w:t>trimoto</w:t>
            </w:r>
            <w:proofErr w:type="spellEnd"/>
            <w:r>
              <w:rPr>
                <w:rFonts w:ascii="Times New Roman" w:hAnsi="Times New Roman"/>
                <w:sz w:val="20"/>
              </w:rPr>
              <w:t>.</w:t>
            </w:r>
          </w:p>
        </w:tc>
        <w:tc>
          <w:tcPr>
            <w:tcW w:w="3118" w:type="dxa"/>
          </w:tcPr>
          <w:p w14:paraId="570BFE4E" w14:textId="1F4ABA54" w:rsidR="005E37C8" w:rsidRPr="005E37C8" w:rsidRDefault="005E37C8"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10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r w:rsidR="004E5730" w14:paraId="3BB62B17" w14:textId="77777777" w:rsidTr="000D1C23">
        <w:trPr>
          <w:trHeight w:val="1043"/>
          <w:jc w:val="center"/>
        </w:trPr>
        <w:tc>
          <w:tcPr>
            <w:tcW w:w="4772" w:type="dxa"/>
          </w:tcPr>
          <w:p w14:paraId="10F7D98F" w14:textId="77777777" w:rsidR="004E5730" w:rsidRPr="001E36D7" w:rsidRDefault="004E5730" w:rsidP="000D1C23">
            <w:pPr>
              <w:pStyle w:val="TableParagraph"/>
              <w:spacing w:before="12" w:line="360" w:lineRule="auto"/>
              <w:ind w:left="107" w:right="52"/>
              <w:jc w:val="both"/>
              <w:rPr>
                <w:rFonts w:ascii="Times New Roman" w:hAnsi="Times New Roman"/>
                <w:sz w:val="20"/>
              </w:rPr>
            </w:pPr>
            <w:r>
              <w:rPr>
                <w:rFonts w:ascii="Times New Roman" w:hAnsi="Times New Roman"/>
                <w:sz w:val="20"/>
              </w:rPr>
              <w:t>IV.</w:t>
            </w:r>
            <w:r w:rsidRPr="001E36D7">
              <w:rPr>
                <w:rFonts w:ascii="Times New Roman" w:hAnsi="Times New Roman"/>
                <w:sz w:val="20"/>
              </w:rPr>
              <w:t xml:space="preserve"> </w:t>
            </w:r>
            <w:r>
              <w:rPr>
                <w:rFonts w:ascii="Times New Roman" w:hAnsi="Times New Roman"/>
                <w:sz w:val="20"/>
              </w:rPr>
              <w:t>Por</w:t>
            </w:r>
            <w:r w:rsidRPr="001E36D7">
              <w:rPr>
                <w:rFonts w:ascii="Times New Roman" w:hAnsi="Times New Roman"/>
                <w:sz w:val="20"/>
              </w:rPr>
              <w:t xml:space="preserve"> </w:t>
            </w:r>
            <w:r>
              <w:rPr>
                <w:rFonts w:ascii="Times New Roman" w:hAnsi="Times New Roman"/>
                <w:sz w:val="20"/>
              </w:rPr>
              <w:t>la</w:t>
            </w:r>
            <w:r w:rsidRPr="001E36D7">
              <w:rPr>
                <w:rFonts w:ascii="Times New Roman" w:hAnsi="Times New Roman"/>
                <w:sz w:val="20"/>
              </w:rPr>
              <w:t xml:space="preserve"> </w:t>
            </w:r>
            <w:r>
              <w:rPr>
                <w:rFonts w:ascii="Times New Roman" w:hAnsi="Times New Roman"/>
                <w:sz w:val="20"/>
              </w:rPr>
              <w:t>expedición</w:t>
            </w:r>
            <w:r w:rsidRPr="001E36D7">
              <w:rPr>
                <w:rFonts w:ascii="Times New Roman" w:hAnsi="Times New Roman"/>
                <w:sz w:val="20"/>
              </w:rPr>
              <w:t xml:space="preserve"> </w:t>
            </w:r>
            <w:r>
              <w:rPr>
                <w:rFonts w:ascii="Times New Roman" w:hAnsi="Times New Roman"/>
                <w:sz w:val="20"/>
              </w:rPr>
              <w:t>anual</w:t>
            </w:r>
            <w:r w:rsidRPr="001E36D7">
              <w:rPr>
                <w:rFonts w:ascii="Times New Roman" w:hAnsi="Times New Roman"/>
                <w:sz w:val="20"/>
              </w:rPr>
              <w:t xml:space="preserve"> </w:t>
            </w:r>
            <w:r>
              <w:rPr>
                <w:rFonts w:ascii="Times New Roman" w:hAnsi="Times New Roman"/>
                <w:sz w:val="20"/>
              </w:rPr>
              <w:t>de</w:t>
            </w:r>
            <w:r w:rsidRPr="001E36D7">
              <w:rPr>
                <w:rFonts w:ascii="Times New Roman" w:hAnsi="Times New Roman"/>
                <w:sz w:val="20"/>
              </w:rPr>
              <w:t xml:space="preserve"> </w:t>
            </w:r>
            <w:r>
              <w:rPr>
                <w:rFonts w:ascii="Times New Roman" w:hAnsi="Times New Roman"/>
                <w:sz w:val="20"/>
              </w:rPr>
              <w:t>la</w:t>
            </w:r>
            <w:r w:rsidRPr="001E36D7">
              <w:rPr>
                <w:rFonts w:ascii="Times New Roman" w:hAnsi="Times New Roman"/>
                <w:sz w:val="20"/>
              </w:rPr>
              <w:t xml:space="preserve"> </w:t>
            </w:r>
            <w:r>
              <w:rPr>
                <w:rFonts w:ascii="Times New Roman" w:hAnsi="Times New Roman"/>
                <w:sz w:val="20"/>
              </w:rPr>
              <w:t>Constancia</w:t>
            </w:r>
            <w:r w:rsidRPr="001E36D7">
              <w:rPr>
                <w:rFonts w:ascii="Times New Roman" w:hAnsi="Times New Roman"/>
                <w:sz w:val="20"/>
              </w:rPr>
              <w:t xml:space="preserve"> </w:t>
            </w:r>
            <w:r>
              <w:rPr>
                <w:rFonts w:ascii="Times New Roman" w:hAnsi="Times New Roman"/>
                <w:sz w:val="20"/>
              </w:rPr>
              <w:t>de</w:t>
            </w:r>
            <w:r w:rsidRPr="001E36D7">
              <w:rPr>
                <w:rFonts w:ascii="Times New Roman" w:hAnsi="Times New Roman"/>
                <w:sz w:val="20"/>
              </w:rPr>
              <w:t xml:space="preserve"> Registro del Prestador del Servicio de Transporte Privado con Chofer inscrito por las Empresas de Redes de Transporte.</w:t>
            </w:r>
          </w:p>
        </w:tc>
        <w:tc>
          <w:tcPr>
            <w:tcW w:w="3118" w:type="dxa"/>
          </w:tcPr>
          <w:p w14:paraId="0F61F30E" w14:textId="77777777" w:rsidR="004E5730" w:rsidRDefault="004E5730" w:rsidP="005E37C8">
            <w:pPr>
              <w:pStyle w:val="TableParagraph"/>
              <w:tabs>
                <w:tab w:val="left" w:pos="584"/>
                <w:tab w:val="left" w:pos="1613"/>
                <w:tab w:val="left" w:pos="2076"/>
                <w:tab w:val="left" w:pos="2959"/>
              </w:tabs>
              <w:spacing w:before="12"/>
              <w:ind w:left="108"/>
              <w:jc w:val="both"/>
              <w:rPr>
                <w:rFonts w:ascii="Times New Roman" w:hAnsi="Times New Roman"/>
                <w:sz w:val="20"/>
              </w:rPr>
            </w:pPr>
            <w:r w:rsidRPr="005E37C8">
              <w:rPr>
                <w:rFonts w:ascii="Times New Roman" w:hAnsi="Times New Roman"/>
                <w:sz w:val="20"/>
              </w:rPr>
              <w:t xml:space="preserve">4 </w:t>
            </w:r>
            <w:proofErr w:type="gramStart"/>
            <w:r w:rsidRPr="005E37C8">
              <w:rPr>
                <w:rFonts w:ascii="Times New Roman" w:hAnsi="Times New Roman"/>
                <w:sz w:val="20"/>
              </w:rPr>
              <w:t>Unidades</w:t>
            </w:r>
            <w:proofErr w:type="gramEnd"/>
            <w:r w:rsidRPr="005E37C8">
              <w:rPr>
                <w:rFonts w:ascii="Times New Roman" w:hAnsi="Times New Roman"/>
                <w:sz w:val="20"/>
              </w:rPr>
              <w:t xml:space="preserve"> de Medida y Actualización.</w:t>
            </w:r>
          </w:p>
        </w:tc>
      </w:tr>
    </w:tbl>
    <w:p w14:paraId="569FE460" w14:textId="77777777" w:rsidR="004E5730" w:rsidRPr="001E36D7" w:rsidRDefault="004E5730" w:rsidP="004E5730">
      <w:pPr>
        <w:pStyle w:val="Textoindependiente"/>
        <w:rPr>
          <w:rFonts w:ascii="Times New Roman" w:hAnsi="Times New Roman" w:cs="Times New Roman"/>
        </w:rPr>
      </w:pPr>
    </w:p>
    <w:p w14:paraId="1BF7C17D" w14:textId="63B95F79" w:rsidR="004C008E" w:rsidRPr="00B21775" w:rsidRDefault="004C008E" w:rsidP="004C008E">
      <w:pPr>
        <w:spacing w:line="360" w:lineRule="auto"/>
        <w:jc w:val="both"/>
        <w:rPr>
          <w:sz w:val="20"/>
          <w:szCs w:val="20"/>
        </w:rPr>
      </w:pPr>
      <w:r w:rsidRPr="00B21775">
        <w:rPr>
          <w:b/>
          <w:bCs/>
          <w:sz w:val="20"/>
          <w:szCs w:val="20"/>
        </w:rPr>
        <w:t>ARTÍCULO 3</w:t>
      </w:r>
      <w:r>
        <w:rPr>
          <w:b/>
          <w:bCs/>
          <w:sz w:val="20"/>
          <w:szCs w:val="20"/>
        </w:rPr>
        <w:t>8</w:t>
      </w:r>
      <w:r w:rsidRPr="00B21775">
        <w:rPr>
          <w:b/>
          <w:bCs/>
          <w:sz w:val="20"/>
          <w:szCs w:val="20"/>
        </w:rPr>
        <w:t>.</w:t>
      </w:r>
      <w:r w:rsidRPr="00B21775">
        <w:rPr>
          <w:sz w:val="20"/>
          <w:szCs w:val="20"/>
        </w:rPr>
        <w:t xml:space="preserve"> Las personas morales que promuevan, operen y/o administren por sí mismas o a través de sus subsidiarias, aplicaciones para el control, programación y/o geolocalización en dispositivos fijos o móviles, a través de las cuales los particulares pueden contratar el servicio privado de transporte con chofer en el Estado de Tlaxcala; deberán realizar una aportación mensual al Fondo de Movilidad y Transporte del Estado de Tlaxcala, equivalente a 5 UMAS (Unidades de Medida y Actualización) por cada vehículo inscrito o dado de alta en la misma, dichos recursos tendrán el carácter de aprovechamientos y serán destinados a los fines establecidos en el Acuerdo mediante el cual se emiten los Lineamientos del Fondo de Movilidad y Transporte del Estado de Tlaxcala.</w:t>
      </w:r>
    </w:p>
    <w:p w14:paraId="0AC68ED0" w14:textId="77777777" w:rsidR="004C008E" w:rsidRPr="00B21775" w:rsidRDefault="004C008E" w:rsidP="004C008E">
      <w:pPr>
        <w:spacing w:line="360" w:lineRule="auto"/>
        <w:jc w:val="both"/>
        <w:rPr>
          <w:sz w:val="20"/>
          <w:szCs w:val="20"/>
        </w:rPr>
      </w:pPr>
    </w:p>
    <w:p w14:paraId="7E617017" w14:textId="77777777" w:rsidR="004C008E" w:rsidRPr="00B21775" w:rsidRDefault="004C008E" w:rsidP="004C008E">
      <w:pPr>
        <w:spacing w:line="360" w:lineRule="auto"/>
        <w:jc w:val="both"/>
        <w:rPr>
          <w:sz w:val="20"/>
          <w:szCs w:val="20"/>
        </w:rPr>
      </w:pPr>
      <w:r w:rsidRPr="00B21775">
        <w:rPr>
          <w:sz w:val="20"/>
          <w:szCs w:val="20"/>
        </w:rPr>
        <w:t xml:space="preserve">Para efectos del párrafo anterior, las Empresas de Redes de Transporte deberán remitir a la Secretaría de Movilidad y Transporte, dentro de los primeros cinco días hábiles de cada mes, la relación de vehículos </w:t>
      </w:r>
      <w:r w:rsidRPr="00B21775">
        <w:rPr>
          <w:sz w:val="20"/>
          <w:szCs w:val="20"/>
        </w:rPr>
        <w:lastRenderedPageBreak/>
        <w:t>inscritos activos correspondientes al mes inmediato anterior, la veracidad de esta información deberá ser corroborada por la Secretaría de Movilidad y Transporte con la supervisión de la Secretaría de Finanzas a través de los sistemas electrónicos de la Empresa de Redes de Transporte a la que se le permitirá el acceso, con la finalidad de determinar el monto mensual a aportar y emitir la orden de pago correspondiente.</w:t>
      </w:r>
    </w:p>
    <w:p w14:paraId="160D6C13" w14:textId="77777777" w:rsidR="004C008E" w:rsidRDefault="004C008E" w:rsidP="00CD1674">
      <w:pPr>
        <w:spacing w:line="360" w:lineRule="auto"/>
        <w:jc w:val="both"/>
        <w:rPr>
          <w:b/>
          <w:sz w:val="20"/>
          <w:szCs w:val="20"/>
          <w:lang w:val="es-ES"/>
        </w:rPr>
      </w:pPr>
    </w:p>
    <w:p w14:paraId="46B70FFE" w14:textId="11A07D54" w:rsidR="00CD1674" w:rsidRPr="002443B7" w:rsidRDefault="00CD1674" w:rsidP="00CD1674">
      <w:pPr>
        <w:spacing w:line="360" w:lineRule="auto"/>
        <w:jc w:val="both"/>
        <w:rPr>
          <w:sz w:val="20"/>
          <w:szCs w:val="20"/>
          <w:lang w:val="es-ES"/>
        </w:rPr>
      </w:pPr>
      <w:r w:rsidRPr="002443B7">
        <w:rPr>
          <w:b/>
          <w:sz w:val="20"/>
          <w:szCs w:val="20"/>
          <w:lang w:val="es-ES"/>
        </w:rPr>
        <w:t xml:space="preserve">ARTÍCULO </w:t>
      </w:r>
      <w:r w:rsidR="004C008E">
        <w:rPr>
          <w:b/>
          <w:sz w:val="20"/>
          <w:szCs w:val="20"/>
          <w:lang w:val="es-ES"/>
        </w:rPr>
        <w:t>39</w:t>
      </w:r>
      <w:r w:rsidRPr="002443B7">
        <w:rPr>
          <w:b/>
          <w:sz w:val="20"/>
          <w:szCs w:val="20"/>
          <w:lang w:val="es-ES"/>
        </w:rPr>
        <w:t>.</w:t>
      </w:r>
      <w:r w:rsidRPr="008D5C06">
        <w:rPr>
          <w:rFonts w:ascii="Arial" w:hAnsi="Arial" w:cs="Arial"/>
        </w:rPr>
        <w:t xml:space="preserve"> </w:t>
      </w:r>
      <w:r w:rsidRPr="002443B7">
        <w:rPr>
          <w:sz w:val="20"/>
          <w:szCs w:val="20"/>
          <w:lang w:val="es-ES"/>
        </w:rPr>
        <w:t>Los Ayuntamientos que regularicen el pago de registro y control vehicular de los vehículos a su cargo, durante el periodo comprendido del 1 de enero al 31 de diciembre de 202</w:t>
      </w:r>
      <w:r w:rsidR="007309BA">
        <w:rPr>
          <w:sz w:val="20"/>
          <w:szCs w:val="20"/>
          <w:lang w:val="es-ES"/>
        </w:rPr>
        <w:t>6</w:t>
      </w:r>
      <w:r w:rsidRPr="002443B7">
        <w:rPr>
          <w:sz w:val="20"/>
          <w:szCs w:val="20"/>
          <w:lang w:val="es-ES"/>
        </w:rPr>
        <w:t>, pagarán el 50 por ciento de los derechos por concepto de asignación de placas, tarjeta de circulación y engomado; así como canje de placas autorizadas, establecidos en el artículo 153, fracciones XII, incisos b), c) y f); y, XV del Código Financiero para el Estado de Tlaxcala y sus Municipios.</w:t>
      </w:r>
    </w:p>
    <w:p w14:paraId="77ED553E" w14:textId="77777777" w:rsidR="00CD1674" w:rsidRPr="009E6843" w:rsidRDefault="00CD1674" w:rsidP="00CD1674">
      <w:pPr>
        <w:spacing w:line="360" w:lineRule="auto"/>
        <w:jc w:val="both"/>
        <w:rPr>
          <w:sz w:val="20"/>
          <w:szCs w:val="20"/>
          <w:lang w:val="es-ES"/>
        </w:rPr>
      </w:pPr>
    </w:p>
    <w:p w14:paraId="66EC20C9" w14:textId="4E326187" w:rsidR="00CD1674" w:rsidRPr="002443B7" w:rsidRDefault="00CD1674" w:rsidP="00CD1674">
      <w:pPr>
        <w:spacing w:line="360" w:lineRule="auto"/>
        <w:jc w:val="both"/>
        <w:rPr>
          <w:sz w:val="20"/>
          <w:szCs w:val="20"/>
          <w:lang w:val="es-ES"/>
        </w:rPr>
      </w:pPr>
      <w:r w:rsidRPr="002443B7">
        <w:rPr>
          <w:b/>
          <w:sz w:val="20"/>
          <w:szCs w:val="20"/>
          <w:lang w:val="es-ES"/>
        </w:rPr>
        <w:t xml:space="preserve">ARTÍCULO </w:t>
      </w:r>
      <w:r w:rsidR="00CF078B" w:rsidRPr="002443B7">
        <w:rPr>
          <w:b/>
          <w:sz w:val="20"/>
          <w:szCs w:val="20"/>
          <w:lang w:val="es-ES"/>
        </w:rPr>
        <w:t>4</w:t>
      </w:r>
      <w:r w:rsidR="004C008E">
        <w:rPr>
          <w:b/>
          <w:sz w:val="20"/>
          <w:szCs w:val="20"/>
          <w:lang w:val="es-ES"/>
        </w:rPr>
        <w:t>0</w:t>
      </w:r>
      <w:r w:rsidRPr="002443B7">
        <w:rPr>
          <w:b/>
          <w:sz w:val="20"/>
          <w:szCs w:val="20"/>
          <w:lang w:val="es-ES"/>
        </w:rPr>
        <w:t>.</w:t>
      </w:r>
      <w:r w:rsidRPr="008D5C06">
        <w:rPr>
          <w:rFonts w:ascii="Arial" w:hAnsi="Arial" w:cs="Arial"/>
        </w:rPr>
        <w:t xml:space="preserve"> </w:t>
      </w:r>
      <w:r w:rsidRPr="002443B7">
        <w:rPr>
          <w:sz w:val="20"/>
          <w:szCs w:val="20"/>
          <w:lang w:val="es-ES"/>
        </w:rPr>
        <w:t>Se reduce en un 20 por ciento el pago de recargos y multas en el cobro de derechos por concepto de canje de placas autorizadas a que se refiere el artículo 153, fracción XV del Código Financiero para el Estado de Tlaxcala y sus Municipios, a los Ayuntamientos que regularicen el parque vehicular a su cargo, durante el periodo comprendido del 1 de enero al 31 de diciembre de 202</w:t>
      </w:r>
      <w:r w:rsidR="007309BA">
        <w:rPr>
          <w:sz w:val="20"/>
          <w:szCs w:val="20"/>
          <w:lang w:val="es-ES"/>
        </w:rPr>
        <w:t>6</w:t>
      </w:r>
      <w:r w:rsidRPr="002443B7">
        <w:rPr>
          <w:sz w:val="20"/>
          <w:szCs w:val="20"/>
          <w:lang w:val="es-ES"/>
        </w:rPr>
        <w:t>.</w:t>
      </w:r>
    </w:p>
    <w:p w14:paraId="0BB2A334" w14:textId="77777777" w:rsidR="00CD1674" w:rsidRPr="009E6843" w:rsidRDefault="00CD1674" w:rsidP="00CD1674">
      <w:pPr>
        <w:spacing w:line="360" w:lineRule="auto"/>
        <w:jc w:val="both"/>
        <w:rPr>
          <w:sz w:val="20"/>
          <w:szCs w:val="20"/>
          <w:lang w:val="es-ES"/>
        </w:rPr>
      </w:pPr>
    </w:p>
    <w:p w14:paraId="244B6434" w14:textId="0B848014" w:rsidR="000E22EE" w:rsidRDefault="00094409" w:rsidP="00094409">
      <w:pPr>
        <w:spacing w:line="360" w:lineRule="auto"/>
        <w:jc w:val="both"/>
        <w:rPr>
          <w:sz w:val="20"/>
          <w:szCs w:val="20"/>
          <w:lang w:val="es-ES"/>
        </w:rPr>
      </w:pPr>
      <w:r w:rsidRPr="002443B7">
        <w:rPr>
          <w:b/>
          <w:sz w:val="20"/>
          <w:szCs w:val="20"/>
          <w:lang w:val="es-ES"/>
        </w:rPr>
        <w:t xml:space="preserve">ARTÍCULO </w:t>
      </w:r>
      <w:r w:rsidR="00CF078B" w:rsidRPr="002443B7">
        <w:rPr>
          <w:b/>
          <w:sz w:val="20"/>
          <w:szCs w:val="20"/>
          <w:lang w:val="es-ES"/>
        </w:rPr>
        <w:t>4</w:t>
      </w:r>
      <w:r w:rsidR="004C008E">
        <w:rPr>
          <w:b/>
          <w:sz w:val="20"/>
          <w:szCs w:val="20"/>
          <w:lang w:val="es-ES"/>
        </w:rPr>
        <w:t>1</w:t>
      </w:r>
      <w:r w:rsidRPr="002443B7">
        <w:rPr>
          <w:b/>
          <w:sz w:val="20"/>
          <w:szCs w:val="20"/>
          <w:lang w:val="es-ES"/>
        </w:rPr>
        <w:t>.</w:t>
      </w:r>
      <w:r w:rsidRPr="008D5C06">
        <w:rPr>
          <w:rFonts w:ascii="Arial" w:hAnsi="Arial" w:cs="Arial"/>
        </w:rPr>
        <w:t xml:space="preserve"> </w:t>
      </w:r>
      <w:r w:rsidRPr="002443B7">
        <w:rPr>
          <w:sz w:val="20"/>
          <w:szCs w:val="20"/>
          <w:lang w:val="es-ES"/>
        </w:rPr>
        <w:t>Los descuentos a que se refiere</w:t>
      </w:r>
      <w:r w:rsidR="00D1215D">
        <w:rPr>
          <w:sz w:val="20"/>
          <w:szCs w:val="20"/>
          <w:lang w:val="es-ES"/>
        </w:rPr>
        <w:t xml:space="preserve"> la fracción I del artículo 232 del </w:t>
      </w:r>
      <w:r w:rsidRPr="002443B7">
        <w:rPr>
          <w:sz w:val="20"/>
          <w:szCs w:val="20"/>
          <w:lang w:val="es-ES"/>
        </w:rPr>
        <w:t xml:space="preserve">Reglamento de la Ley de Comunicaciones y Transportes en el Estado de Tlaxcala, en Materia de </w:t>
      </w:r>
      <w:r w:rsidR="00D1215D">
        <w:rPr>
          <w:sz w:val="20"/>
          <w:szCs w:val="20"/>
          <w:lang w:val="es-ES"/>
        </w:rPr>
        <w:t xml:space="preserve">Vías de Comunicación, </w:t>
      </w:r>
      <w:r w:rsidRPr="002443B7">
        <w:rPr>
          <w:sz w:val="20"/>
          <w:szCs w:val="20"/>
          <w:lang w:val="es-ES"/>
        </w:rPr>
        <w:t>Transporte Público y Privado, sobre las infracciones y multas, se realizarán con base en los días transcurridos contados a partir de su imposición y hasta el día de su respectivo pago, de conformidad con el tabulador siguiente:</w:t>
      </w:r>
    </w:p>
    <w:p w14:paraId="368745D9" w14:textId="7E8F66FA" w:rsidR="002443B7" w:rsidRDefault="002443B7" w:rsidP="00094409">
      <w:pPr>
        <w:spacing w:line="360" w:lineRule="auto"/>
        <w:jc w:val="both"/>
        <w:rPr>
          <w:sz w:val="20"/>
          <w:szCs w:val="20"/>
          <w:lang w:val="es-ES"/>
        </w:rPr>
      </w:pPr>
    </w:p>
    <w:tbl>
      <w:tblPr>
        <w:tblStyle w:val="Tablaconcuadrcula"/>
        <w:tblW w:w="0" w:type="auto"/>
        <w:tblLook w:val="04A0" w:firstRow="1" w:lastRow="0" w:firstColumn="1" w:lastColumn="0" w:noHBand="0" w:noVBand="1"/>
      </w:tblPr>
      <w:tblGrid>
        <w:gridCol w:w="5553"/>
        <w:gridCol w:w="2594"/>
      </w:tblGrid>
      <w:tr w:rsidR="00094409" w:rsidRPr="008D5C06" w14:paraId="375FB080" w14:textId="77777777" w:rsidTr="00A23D70">
        <w:tc>
          <w:tcPr>
            <w:tcW w:w="5553" w:type="dxa"/>
          </w:tcPr>
          <w:p w14:paraId="39B0852E" w14:textId="77777777" w:rsidR="00094409" w:rsidRPr="002443B7" w:rsidRDefault="00094409" w:rsidP="00094409">
            <w:pPr>
              <w:spacing w:line="360" w:lineRule="auto"/>
              <w:jc w:val="center"/>
              <w:rPr>
                <w:b/>
                <w:bCs/>
                <w:sz w:val="20"/>
                <w:szCs w:val="20"/>
                <w:lang w:val="es-ES"/>
              </w:rPr>
            </w:pPr>
            <w:r w:rsidRPr="002443B7">
              <w:rPr>
                <w:b/>
                <w:bCs/>
                <w:sz w:val="20"/>
                <w:szCs w:val="20"/>
                <w:lang w:val="es-ES"/>
              </w:rPr>
              <w:t>Día de pago</w:t>
            </w:r>
          </w:p>
        </w:tc>
        <w:tc>
          <w:tcPr>
            <w:tcW w:w="2594" w:type="dxa"/>
          </w:tcPr>
          <w:p w14:paraId="43F20968" w14:textId="77777777" w:rsidR="00094409" w:rsidRPr="002443B7" w:rsidRDefault="00094409" w:rsidP="00094409">
            <w:pPr>
              <w:spacing w:line="360" w:lineRule="auto"/>
              <w:jc w:val="center"/>
              <w:rPr>
                <w:b/>
                <w:bCs/>
                <w:sz w:val="20"/>
                <w:szCs w:val="20"/>
                <w:lang w:val="es-ES"/>
              </w:rPr>
            </w:pPr>
            <w:r w:rsidRPr="002443B7">
              <w:rPr>
                <w:b/>
                <w:bCs/>
                <w:sz w:val="20"/>
                <w:szCs w:val="20"/>
                <w:lang w:val="es-ES"/>
              </w:rPr>
              <w:t>Descuento</w:t>
            </w:r>
          </w:p>
        </w:tc>
      </w:tr>
      <w:tr w:rsidR="00094409" w:rsidRPr="008D5C06" w14:paraId="4DCFBFB4" w14:textId="77777777" w:rsidTr="00A23D70">
        <w:tc>
          <w:tcPr>
            <w:tcW w:w="5553" w:type="dxa"/>
          </w:tcPr>
          <w:p w14:paraId="6D02F08B" w14:textId="54AA225B" w:rsidR="00094409" w:rsidRPr="002443B7" w:rsidRDefault="00094409" w:rsidP="00094409">
            <w:pPr>
              <w:spacing w:line="360" w:lineRule="auto"/>
              <w:jc w:val="both"/>
              <w:rPr>
                <w:sz w:val="20"/>
                <w:szCs w:val="20"/>
                <w:lang w:val="es-ES"/>
              </w:rPr>
            </w:pPr>
            <w:r w:rsidRPr="002443B7">
              <w:rPr>
                <w:sz w:val="20"/>
                <w:szCs w:val="20"/>
                <w:lang w:val="es-ES"/>
              </w:rPr>
              <w:t xml:space="preserve">Dentro de los primeros cinco días </w:t>
            </w:r>
            <w:r w:rsidR="000C3023">
              <w:rPr>
                <w:sz w:val="20"/>
                <w:szCs w:val="20"/>
                <w:lang w:val="es-ES"/>
              </w:rPr>
              <w:t>hábiles</w:t>
            </w:r>
          </w:p>
        </w:tc>
        <w:tc>
          <w:tcPr>
            <w:tcW w:w="2594" w:type="dxa"/>
          </w:tcPr>
          <w:p w14:paraId="24D300BB" w14:textId="77777777" w:rsidR="00094409" w:rsidRPr="002443B7" w:rsidRDefault="00094409" w:rsidP="00094409">
            <w:pPr>
              <w:spacing w:line="360" w:lineRule="auto"/>
              <w:jc w:val="center"/>
              <w:rPr>
                <w:sz w:val="20"/>
                <w:szCs w:val="20"/>
                <w:lang w:val="es-ES"/>
              </w:rPr>
            </w:pPr>
            <w:r w:rsidRPr="002443B7">
              <w:rPr>
                <w:sz w:val="20"/>
                <w:szCs w:val="20"/>
                <w:lang w:val="es-ES"/>
              </w:rPr>
              <w:t>50%</w:t>
            </w:r>
          </w:p>
        </w:tc>
      </w:tr>
      <w:tr w:rsidR="00094409" w:rsidRPr="008D5C06" w14:paraId="76AB33AE" w14:textId="77777777" w:rsidTr="00A23D70">
        <w:tc>
          <w:tcPr>
            <w:tcW w:w="5553" w:type="dxa"/>
          </w:tcPr>
          <w:p w14:paraId="35FA37F4" w14:textId="667D5F4E" w:rsidR="00094409" w:rsidRPr="002443B7" w:rsidRDefault="00094409" w:rsidP="00094409">
            <w:pPr>
              <w:spacing w:line="360" w:lineRule="auto"/>
              <w:jc w:val="both"/>
              <w:rPr>
                <w:sz w:val="20"/>
                <w:szCs w:val="20"/>
                <w:lang w:val="es-ES"/>
              </w:rPr>
            </w:pPr>
            <w:r w:rsidRPr="002443B7">
              <w:rPr>
                <w:sz w:val="20"/>
                <w:szCs w:val="20"/>
                <w:lang w:val="es-ES"/>
              </w:rPr>
              <w:t xml:space="preserve">Dentro de los seis a diez días </w:t>
            </w:r>
            <w:r w:rsidR="000C3023">
              <w:rPr>
                <w:sz w:val="20"/>
                <w:szCs w:val="20"/>
                <w:lang w:val="es-ES"/>
              </w:rPr>
              <w:t>hábiles</w:t>
            </w:r>
          </w:p>
        </w:tc>
        <w:tc>
          <w:tcPr>
            <w:tcW w:w="2594" w:type="dxa"/>
          </w:tcPr>
          <w:p w14:paraId="5B416421" w14:textId="77777777" w:rsidR="00094409" w:rsidRPr="002443B7" w:rsidRDefault="00094409" w:rsidP="00094409">
            <w:pPr>
              <w:spacing w:line="360" w:lineRule="auto"/>
              <w:jc w:val="center"/>
              <w:rPr>
                <w:sz w:val="20"/>
                <w:szCs w:val="20"/>
                <w:lang w:val="es-ES"/>
              </w:rPr>
            </w:pPr>
            <w:r w:rsidRPr="002443B7">
              <w:rPr>
                <w:sz w:val="20"/>
                <w:szCs w:val="20"/>
                <w:lang w:val="es-ES"/>
              </w:rPr>
              <w:t>40%</w:t>
            </w:r>
          </w:p>
        </w:tc>
      </w:tr>
      <w:tr w:rsidR="00094409" w:rsidRPr="008D5C06" w14:paraId="6E206058" w14:textId="77777777" w:rsidTr="00A23D70">
        <w:tc>
          <w:tcPr>
            <w:tcW w:w="5553" w:type="dxa"/>
          </w:tcPr>
          <w:p w14:paraId="20EA976B" w14:textId="03004703" w:rsidR="00094409" w:rsidRPr="002443B7" w:rsidRDefault="00094409" w:rsidP="00094409">
            <w:pPr>
              <w:spacing w:line="360" w:lineRule="auto"/>
              <w:jc w:val="both"/>
              <w:rPr>
                <w:sz w:val="20"/>
                <w:szCs w:val="20"/>
                <w:lang w:val="es-ES"/>
              </w:rPr>
            </w:pPr>
            <w:r w:rsidRPr="002443B7">
              <w:rPr>
                <w:sz w:val="20"/>
                <w:szCs w:val="20"/>
                <w:lang w:val="es-ES"/>
              </w:rPr>
              <w:t xml:space="preserve">Dentro de los once a quince días </w:t>
            </w:r>
            <w:r w:rsidR="000C3023">
              <w:rPr>
                <w:sz w:val="20"/>
                <w:szCs w:val="20"/>
                <w:lang w:val="es-ES"/>
              </w:rPr>
              <w:t>hábiles</w:t>
            </w:r>
          </w:p>
        </w:tc>
        <w:tc>
          <w:tcPr>
            <w:tcW w:w="2594" w:type="dxa"/>
          </w:tcPr>
          <w:p w14:paraId="62BFAB6D" w14:textId="77777777" w:rsidR="00094409" w:rsidRPr="002443B7" w:rsidRDefault="00094409" w:rsidP="00094409">
            <w:pPr>
              <w:spacing w:line="360" w:lineRule="auto"/>
              <w:jc w:val="center"/>
              <w:rPr>
                <w:sz w:val="20"/>
                <w:szCs w:val="20"/>
                <w:lang w:val="es-ES"/>
              </w:rPr>
            </w:pPr>
            <w:r w:rsidRPr="002443B7">
              <w:rPr>
                <w:sz w:val="20"/>
                <w:szCs w:val="20"/>
                <w:lang w:val="es-ES"/>
              </w:rPr>
              <w:t>30%</w:t>
            </w:r>
          </w:p>
        </w:tc>
      </w:tr>
      <w:tr w:rsidR="003341B3" w:rsidRPr="008D5C06" w14:paraId="64EC1229" w14:textId="77777777" w:rsidTr="00A23D70">
        <w:tc>
          <w:tcPr>
            <w:tcW w:w="5553" w:type="dxa"/>
          </w:tcPr>
          <w:p w14:paraId="7B0EDE50" w14:textId="69AEEAAD" w:rsidR="003341B3" w:rsidRPr="002443B7" w:rsidRDefault="003341B3" w:rsidP="003341B3">
            <w:pPr>
              <w:spacing w:line="360" w:lineRule="auto"/>
              <w:jc w:val="both"/>
              <w:rPr>
                <w:sz w:val="20"/>
                <w:szCs w:val="20"/>
                <w:lang w:val="es-ES"/>
              </w:rPr>
            </w:pPr>
            <w:r w:rsidRPr="002443B7">
              <w:rPr>
                <w:sz w:val="20"/>
                <w:szCs w:val="20"/>
                <w:lang w:val="es-ES"/>
              </w:rPr>
              <w:lastRenderedPageBreak/>
              <w:t xml:space="preserve">Dentro de los dieciséis a veinte días </w:t>
            </w:r>
            <w:r w:rsidR="000C3023">
              <w:rPr>
                <w:sz w:val="20"/>
                <w:szCs w:val="20"/>
                <w:lang w:val="es-ES"/>
              </w:rPr>
              <w:t>hábiles</w:t>
            </w:r>
          </w:p>
        </w:tc>
        <w:tc>
          <w:tcPr>
            <w:tcW w:w="2594" w:type="dxa"/>
          </w:tcPr>
          <w:p w14:paraId="0473AE22" w14:textId="0E5AAEE7" w:rsidR="003341B3" w:rsidRPr="002443B7" w:rsidRDefault="003341B3" w:rsidP="003341B3">
            <w:pPr>
              <w:spacing w:line="360" w:lineRule="auto"/>
              <w:jc w:val="center"/>
              <w:rPr>
                <w:sz w:val="20"/>
                <w:szCs w:val="20"/>
                <w:lang w:val="es-ES"/>
              </w:rPr>
            </w:pPr>
            <w:r w:rsidRPr="002443B7">
              <w:rPr>
                <w:sz w:val="20"/>
                <w:szCs w:val="20"/>
                <w:lang w:val="es-ES"/>
              </w:rPr>
              <w:t>20%</w:t>
            </w:r>
          </w:p>
        </w:tc>
      </w:tr>
    </w:tbl>
    <w:p w14:paraId="0DFF8BCD" w14:textId="77777777" w:rsidR="002A1059" w:rsidRPr="009E6843" w:rsidRDefault="002A1059" w:rsidP="00094409">
      <w:pPr>
        <w:spacing w:line="360" w:lineRule="auto"/>
        <w:jc w:val="both"/>
        <w:rPr>
          <w:sz w:val="20"/>
          <w:szCs w:val="20"/>
          <w:lang w:val="es-ES"/>
        </w:rPr>
      </w:pPr>
    </w:p>
    <w:p w14:paraId="6D44D81F" w14:textId="4C951F41" w:rsidR="00A23D70" w:rsidRPr="002443B7" w:rsidRDefault="00A23D70" w:rsidP="00094409">
      <w:pPr>
        <w:spacing w:line="360" w:lineRule="auto"/>
        <w:jc w:val="both"/>
        <w:rPr>
          <w:sz w:val="20"/>
          <w:szCs w:val="20"/>
          <w:lang w:val="es-ES"/>
        </w:rPr>
      </w:pPr>
      <w:r w:rsidRPr="002443B7">
        <w:rPr>
          <w:sz w:val="20"/>
          <w:szCs w:val="20"/>
          <w:lang w:val="es-ES"/>
        </w:rPr>
        <w:t xml:space="preserve">Se exceptúan de los beneficios previstos en este artículo, a las conductas que violen disposiciones establecidas en el Reglamento de la Ley de Comunicaciones y Transportes en el Estado de Tlaxcala en </w:t>
      </w:r>
      <w:r w:rsidR="00BA14A4">
        <w:rPr>
          <w:sz w:val="20"/>
          <w:szCs w:val="20"/>
          <w:lang w:val="es-ES"/>
        </w:rPr>
        <w:t>M</w:t>
      </w:r>
      <w:r w:rsidRPr="002443B7">
        <w:rPr>
          <w:sz w:val="20"/>
          <w:szCs w:val="20"/>
          <w:lang w:val="es-ES"/>
        </w:rPr>
        <w:t xml:space="preserve">ateria de </w:t>
      </w:r>
      <w:r w:rsidR="00D1215D">
        <w:rPr>
          <w:sz w:val="20"/>
          <w:szCs w:val="20"/>
          <w:lang w:val="es-ES"/>
        </w:rPr>
        <w:t xml:space="preserve">Vías de Comunicación, </w:t>
      </w:r>
      <w:r w:rsidRPr="002443B7">
        <w:rPr>
          <w:sz w:val="20"/>
          <w:szCs w:val="20"/>
          <w:lang w:val="es-ES"/>
        </w:rPr>
        <w:t xml:space="preserve">Transporte Público y Privado, captadas por dispositivos tecnológicos, en este caso, se estará a lo dispuesto por </w:t>
      </w:r>
      <w:r w:rsidR="00D1215D">
        <w:rPr>
          <w:sz w:val="20"/>
          <w:szCs w:val="20"/>
          <w:lang w:val="es-ES"/>
        </w:rPr>
        <w:t>la fracción II d</w:t>
      </w:r>
      <w:r w:rsidRPr="002443B7">
        <w:rPr>
          <w:sz w:val="20"/>
          <w:szCs w:val="20"/>
          <w:lang w:val="es-ES"/>
        </w:rPr>
        <w:t xml:space="preserve">el artículo </w:t>
      </w:r>
      <w:r w:rsidR="00D1215D">
        <w:rPr>
          <w:sz w:val="20"/>
          <w:szCs w:val="20"/>
          <w:lang w:val="es-ES"/>
        </w:rPr>
        <w:t>232</w:t>
      </w:r>
      <w:r w:rsidRPr="002443B7">
        <w:rPr>
          <w:sz w:val="20"/>
          <w:szCs w:val="20"/>
          <w:lang w:val="es-ES"/>
        </w:rPr>
        <w:t xml:space="preserve"> del mismo ordenamiento</w:t>
      </w:r>
      <w:r w:rsidR="00CF078B" w:rsidRPr="002443B7">
        <w:rPr>
          <w:sz w:val="20"/>
          <w:szCs w:val="20"/>
          <w:lang w:val="es-ES"/>
        </w:rPr>
        <w:t xml:space="preserve"> o las disposiciones específicas que para el caso se emitan</w:t>
      </w:r>
      <w:r w:rsidRPr="002443B7">
        <w:rPr>
          <w:sz w:val="20"/>
          <w:szCs w:val="20"/>
          <w:lang w:val="es-ES"/>
        </w:rPr>
        <w:t>.</w:t>
      </w:r>
    </w:p>
    <w:p w14:paraId="53C761C3" w14:textId="77777777" w:rsidR="00C84D87" w:rsidRDefault="00C84D87" w:rsidP="00094409">
      <w:pPr>
        <w:spacing w:line="360" w:lineRule="auto"/>
        <w:jc w:val="both"/>
        <w:rPr>
          <w:b/>
          <w:bCs/>
          <w:sz w:val="20"/>
          <w:szCs w:val="20"/>
          <w:lang w:val="es-ES"/>
        </w:rPr>
      </w:pPr>
    </w:p>
    <w:p w14:paraId="5067AEC1" w14:textId="51960035" w:rsidR="00094409" w:rsidRPr="002443B7" w:rsidRDefault="005020AE" w:rsidP="00094409">
      <w:pPr>
        <w:spacing w:line="360" w:lineRule="auto"/>
        <w:jc w:val="both"/>
        <w:rPr>
          <w:sz w:val="20"/>
          <w:szCs w:val="20"/>
          <w:lang w:val="es-ES"/>
        </w:rPr>
      </w:pPr>
      <w:r w:rsidRPr="002443B7">
        <w:rPr>
          <w:b/>
          <w:bCs/>
          <w:sz w:val="20"/>
          <w:szCs w:val="20"/>
          <w:lang w:val="es-ES"/>
        </w:rPr>
        <w:t xml:space="preserve">ARTÍCULO </w:t>
      </w:r>
      <w:r w:rsidR="00CF078B" w:rsidRPr="002443B7">
        <w:rPr>
          <w:b/>
          <w:bCs/>
          <w:sz w:val="20"/>
          <w:szCs w:val="20"/>
          <w:lang w:val="es-ES"/>
        </w:rPr>
        <w:t>4</w:t>
      </w:r>
      <w:r w:rsidR="004C008E">
        <w:rPr>
          <w:b/>
          <w:bCs/>
          <w:sz w:val="20"/>
          <w:szCs w:val="20"/>
          <w:lang w:val="es-ES"/>
        </w:rPr>
        <w:t>2</w:t>
      </w:r>
      <w:r w:rsidRPr="002443B7">
        <w:rPr>
          <w:b/>
          <w:bCs/>
          <w:sz w:val="20"/>
          <w:szCs w:val="20"/>
          <w:lang w:val="es-ES"/>
        </w:rPr>
        <w:t>.</w:t>
      </w:r>
      <w:r w:rsidRPr="008D5C06">
        <w:rPr>
          <w:rFonts w:ascii="Arial" w:hAnsi="Arial" w:cs="Arial"/>
        </w:rPr>
        <w:t xml:space="preserve"> </w:t>
      </w:r>
      <w:r w:rsidR="00094409" w:rsidRPr="002443B7">
        <w:rPr>
          <w:sz w:val="20"/>
          <w:szCs w:val="20"/>
          <w:lang w:val="es-ES"/>
        </w:rPr>
        <w:t xml:space="preserve">Quedan exceptuados de los beneficios establecidos en el artículo anterior, además de los que se encuentren en los supuestos previstos en el artículo </w:t>
      </w:r>
      <w:r w:rsidR="00D62E19">
        <w:rPr>
          <w:sz w:val="20"/>
          <w:szCs w:val="20"/>
          <w:lang w:val="es-ES"/>
        </w:rPr>
        <w:t>232</w:t>
      </w:r>
      <w:r w:rsidR="00094409" w:rsidRPr="002443B7">
        <w:rPr>
          <w:sz w:val="20"/>
          <w:szCs w:val="20"/>
          <w:lang w:val="es-ES"/>
        </w:rPr>
        <w:t xml:space="preserve"> del Reglamento de la Ley de Comunicaciones y Transportes en el Estado de Tlaxcala, en Materia de </w:t>
      </w:r>
      <w:r w:rsidR="00D62E19">
        <w:rPr>
          <w:sz w:val="20"/>
          <w:szCs w:val="20"/>
          <w:lang w:val="es-ES"/>
        </w:rPr>
        <w:t xml:space="preserve">Vías de Comunicación, </w:t>
      </w:r>
      <w:r w:rsidR="00094409" w:rsidRPr="002443B7">
        <w:rPr>
          <w:sz w:val="20"/>
          <w:szCs w:val="20"/>
          <w:lang w:val="es-ES"/>
        </w:rPr>
        <w:t>Transporte Público y Privado, aquellos que no demuestren ante la Secretaría de Movilidad y Transporte que la conducta o el hecho motivo de la infracción cesó.</w:t>
      </w:r>
    </w:p>
    <w:p w14:paraId="2A021285" w14:textId="77777777" w:rsidR="00CD1674" w:rsidRPr="009E6843" w:rsidRDefault="00CD1674" w:rsidP="00CD1674">
      <w:pPr>
        <w:spacing w:line="360" w:lineRule="auto"/>
        <w:jc w:val="both"/>
        <w:rPr>
          <w:sz w:val="20"/>
          <w:szCs w:val="20"/>
          <w:lang w:val="es-ES"/>
        </w:rPr>
      </w:pPr>
    </w:p>
    <w:p w14:paraId="2C8D53E1" w14:textId="2E54CD05" w:rsidR="00CD1674" w:rsidRPr="002443B7" w:rsidRDefault="00CD1674" w:rsidP="00CD1674">
      <w:pPr>
        <w:spacing w:line="360" w:lineRule="auto"/>
        <w:jc w:val="both"/>
        <w:rPr>
          <w:sz w:val="20"/>
          <w:szCs w:val="20"/>
          <w:lang w:val="es-ES"/>
        </w:rPr>
      </w:pPr>
      <w:r w:rsidRPr="002443B7">
        <w:rPr>
          <w:b/>
          <w:bCs/>
          <w:sz w:val="20"/>
          <w:szCs w:val="20"/>
          <w:lang w:val="es-ES"/>
        </w:rPr>
        <w:t xml:space="preserve">ARTÍCULO </w:t>
      </w:r>
      <w:r w:rsidR="00FC7790" w:rsidRPr="002443B7">
        <w:rPr>
          <w:b/>
          <w:bCs/>
          <w:sz w:val="20"/>
          <w:szCs w:val="20"/>
          <w:lang w:val="es-ES"/>
        </w:rPr>
        <w:t>4</w:t>
      </w:r>
      <w:r w:rsidR="004C008E">
        <w:rPr>
          <w:b/>
          <w:bCs/>
          <w:sz w:val="20"/>
          <w:szCs w:val="20"/>
          <w:lang w:val="es-ES"/>
        </w:rPr>
        <w:t>3</w:t>
      </w:r>
      <w:r w:rsidRPr="002443B7">
        <w:rPr>
          <w:b/>
          <w:bCs/>
          <w:sz w:val="20"/>
          <w:szCs w:val="20"/>
          <w:lang w:val="es-ES"/>
        </w:rPr>
        <w:t>.</w:t>
      </w:r>
      <w:r w:rsidRPr="008D5C06">
        <w:rPr>
          <w:rFonts w:ascii="Arial" w:hAnsi="Arial" w:cs="Arial"/>
        </w:rPr>
        <w:t xml:space="preserve"> </w:t>
      </w:r>
      <w:r w:rsidRPr="002443B7">
        <w:rPr>
          <w:sz w:val="20"/>
          <w:szCs w:val="20"/>
          <w:lang w:val="es-ES"/>
        </w:rPr>
        <w:t>Se exceptuará el pago de los derechos establecidos en la fracción XII del artículo 153 del Código Financiero para el Estado de Tlaxcala y sus Municipios, cuando se trate de patrullas al servicio de la seguridad de instituciones estatales.</w:t>
      </w:r>
    </w:p>
    <w:p w14:paraId="0414C9B9" w14:textId="77777777" w:rsidR="00CF078B" w:rsidRPr="009E6843" w:rsidRDefault="00CF078B" w:rsidP="00CD1674">
      <w:pPr>
        <w:spacing w:line="360" w:lineRule="auto"/>
        <w:jc w:val="both"/>
        <w:rPr>
          <w:sz w:val="20"/>
          <w:szCs w:val="20"/>
          <w:lang w:val="es-ES"/>
        </w:rPr>
      </w:pPr>
    </w:p>
    <w:p w14:paraId="7DA34C16" w14:textId="62E886A2" w:rsidR="00CF078B" w:rsidRPr="002443B7" w:rsidRDefault="00CF078B" w:rsidP="00CD1674">
      <w:pPr>
        <w:spacing w:line="360" w:lineRule="auto"/>
        <w:jc w:val="both"/>
        <w:rPr>
          <w:sz w:val="20"/>
          <w:szCs w:val="20"/>
          <w:lang w:val="es-ES"/>
        </w:rPr>
      </w:pPr>
      <w:r w:rsidRPr="002443B7">
        <w:rPr>
          <w:b/>
          <w:bCs/>
          <w:sz w:val="20"/>
          <w:szCs w:val="20"/>
          <w:lang w:val="es-ES"/>
        </w:rPr>
        <w:t>ARTÍCULO 4</w:t>
      </w:r>
      <w:r w:rsidR="004C008E">
        <w:rPr>
          <w:b/>
          <w:bCs/>
          <w:sz w:val="20"/>
          <w:szCs w:val="20"/>
          <w:lang w:val="es-ES"/>
        </w:rPr>
        <w:t>4</w:t>
      </w:r>
      <w:r w:rsidRPr="002443B7">
        <w:rPr>
          <w:b/>
          <w:bCs/>
          <w:sz w:val="20"/>
          <w:szCs w:val="20"/>
          <w:lang w:val="es-ES"/>
        </w:rPr>
        <w:t>.</w:t>
      </w:r>
      <w:r w:rsidRPr="00CF078B">
        <w:rPr>
          <w:rFonts w:ascii="Arial" w:hAnsi="Arial" w:cs="Arial"/>
        </w:rPr>
        <w:t xml:space="preserve"> </w:t>
      </w:r>
      <w:r w:rsidRPr="002443B7">
        <w:rPr>
          <w:sz w:val="20"/>
          <w:szCs w:val="20"/>
          <w:lang w:val="es-ES"/>
        </w:rPr>
        <w:t>Se exceptúa del pago de refrendo por años atrasados, así como de las multas y recargos, a las personas propietarias de motocicletas que realicen su trámite de alta en el Padrón Estatal Vehicular, cambio de propietario o canje de placas, durante el periodo comprendido del 1 de enero al 31 de marzo de 202</w:t>
      </w:r>
      <w:r w:rsidR="007309BA">
        <w:rPr>
          <w:sz w:val="20"/>
          <w:szCs w:val="20"/>
          <w:lang w:val="es-ES"/>
        </w:rPr>
        <w:t>6</w:t>
      </w:r>
      <w:r w:rsidRPr="002443B7">
        <w:rPr>
          <w:sz w:val="20"/>
          <w:szCs w:val="20"/>
          <w:lang w:val="es-ES"/>
        </w:rPr>
        <w:t>.</w:t>
      </w:r>
    </w:p>
    <w:p w14:paraId="6808060F" w14:textId="77777777" w:rsidR="00616ACA" w:rsidRDefault="00616ACA" w:rsidP="009E6843">
      <w:pPr>
        <w:spacing w:line="360" w:lineRule="auto"/>
        <w:jc w:val="both"/>
        <w:rPr>
          <w:sz w:val="20"/>
          <w:szCs w:val="20"/>
          <w:lang w:val="es-ES"/>
        </w:rPr>
      </w:pPr>
    </w:p>
    <w:p w14:paraId="5CEC5E9E" w14:textId="77777777" w:rsidR="00CF4D14" w:rsidRPr="009E6843" w:rsidRDefault="00CF4D14" w:rsidP="009E6843">
      <w:pPr>
        <w:spacing w:line="360" w:lineRule="auto"/>
        <w:jc w:val="both"/>
        <w:rPr>
          <w:sz w:val="20"/>
          <w:szCs w:val="20"/>
          <w:lang w:val="es-ES"/>
        </w:rPr>
      </w:pPr>
    </w:p>
    <w:p w14:paraId="3A40C03A" w14:textId="77777777" w:rsidR="00CD1674" w:rsidRPr="002443B7" w:rsidRDefault="00CD1674" w:rsidP="00CD1674">
      <w:pPr>
        <w:spacing w:line="360" w:lineRule="auto"/>
        <w:jc w:val="center"/>
        <w:rPr>
          <w:b/>
          <w:sz w:val="20"/>
          <w:szCs w:val="20"/>
          <w:lang w:val="es-ES"/>
        </w:rPr>
      </w:pPr>
      <w:r w:rsidRPr="002443B7">
        <w:rPr>
          <w:b/>
          <w:sz w:val="20"/>
          <w:szCs w:val="20"/>
          <w:lang w:val="es-ES"/>
        </w:rPr>
        <w:lastRenderedPageBreak/>
        <w:t>TRANSITORIOS</w:t>
      </w:r>
    </w:p>
    <w:p w14:paraId="611B42D1" w14:textId="77777777" w:rsidR="00CD1674" w:rsidRPr="009E6843" w:rsidRDefault="00CD1674" w:rsidP="00CD1674">
      <w:pPr>
        <w:spacing w:line="360" w:lineRule="auto"/>
        <w:jc w:val="both"/>
        <w:rPr>
          <w:sz w:val="20"/>
          <w:szCs w:val="20"/>
          <w:lang w:val="es-ES"/>
        </w:rPr>
      </w:pPr>
    </w:p>
    <w:p w14:paraId="6DDF2C48" w14:textId="3899FCCC" w:rsidR="00CD1674" w:rsidRPr="008D5C06" w:rsidRDefault="00CD1674" w:rsidP="00CD1674">
      <w:pPr>
        <w:spacing w:line="360" w:lineRule="auto"/>
        <w:jc w:val="both"/>
        <w:rPr>
          <w:rFonts w:ascii="Arial" w:hAnsi="Arial" w:cs="Arial"/>
        </w:rPr>
      </w:pPr>
      <w:r w:rsidRPr="00074F1D">
        <w:rPr>
          <w:b/>
          <w:sz w:val="20"/>
          <w:szCs w:val="20"/>
          <w:lang w:val="es-ES"/>
        </w:rPr>
        <w:t>ARTÍCULO PRIMERO.</w:t>
      </w:r>
      <w:r w:rsidRPr="008D5C06">
        <w:rPr>
          <w:rFonts w:ascii="Arial" w:hAnsi="Arial" w:cs="Arial"/>
        </w:rPr>
        <w:t xml:space="preserve"> </w:t>
      </w:r>
      <w:r w:rsidRPr="00074F1D">
        <w:rPr>
          <w:sz w:val="20"/>
          <w:szCs w:val="20"/>
          <w:lang w:val="es-ES"/>
        </w:rPr>
        <w:t xml:space="preserve">La presente Ley de Ingresos del Estado, tendrá vigencia del </w:t>
      </w:r>
      <w:r w:rsidR="00F426D0" w:rsidRPr="00074F1D">
        <w:rPr>
          <w:sz w:val="20"/>
          <w:szCs w:val="20"/>
          <w:lang w:val="es-ES"/>
        </w:rPr>
        <w:t>uno</w:t>
      </w:r>
      <w:r w:rsidRPr="00074F1D">
        <w:rPr>
          <w:sz w:val="20"/>
          <w:szCs w:val="20"/>
          <w:lang w:val="es-ES"/>
        </w:rPr>
        <w:t xml:space="preserve"> de enero al </w:t>
      </w:r>
      <w:r w:rsidR="00F426D0" w:rsidRPr="00074F1D">
        <w:rPr>
          <w:sz w:val="20"/>
          <w:szCs w:val="20"/>
          <w:lang w:val="es-ES"/>
        </w:rPr>
        <w:t xml:space="preserve">treinta y uno </w:t>
      </w:r>
      <w:r w:rsidRPr="00074F1D">
        <w:rPr>
          <w:sz w:val="20"/>
          <w:szCs w:val="20"/>
          <w:lang w:val="es-ES"/>
        </w:rPr>
        <w:t>de diciembre del año 202</w:t>
      </w:r>
      <w:r w:rsidR="007309BA">
        <w:rPr>
          <w:sz w:val="20"/>
          <w:szCs w:val="20"/>
          <w:lang w:val="es-ES"/>
        </w:rPr>
        <w:t>6</w:t>
      </w:r>
      <w:r w:rsidRPr="00074F1D">
        <w:rPr>
          <w:sz w:val="20"/>
          <w:szCs w:val="20"/>
          <w:lang w:val="es-ES"/>
        </w:rPr>
        <w:t>.</w:t>
      </w:r>
    </w:p>
    <w:p w14:paraId="25B2B6A0" w14:textId="77777777" w:rsidR="00CD1674" w:rsidRPr="009E6843" w:rsidRDefault="00CD1674" w:rsidP="00CD1674">
      <w:pPr>
        <w:spacing w:line="360" w:lineRule="auto"/>
        <w:jc w:val="both"/>
        <w:rPr>
          <w:sz w:val="20"/>
          <w:szCs w:val="20"/>
          <w:lang w:val="es-ES"/>
        </w:rPr>
      </w:pPr>
    </w:p>
    <w:p w14:paraId="5414E454" w14:textId="77777777" w:rsidR="00CD1674" w:rsidRPr="00074F1D" w:rsidRDefault="00CD1674" w:rsidP="00CD1674">
      <w:pPr>
        <w:spacing w:line="360" w:lineRule="auto"/>
        <w:jc w:val="both"/>
        <w:rPr>
          <w:sz w:val="20"/>
          <w:szCs w:val="20"/>
          <w:lang w:val="es-ES"/>
        </w:rPr>
      </w:pPr>
      <w:r w:rsidRPr="00074F1D">
        <w:rPr>
          <w:b/>
          <w:sz w:val="20"/>
          <w:szCs w:val="20"/>
          <w:lang w:val="es-ES"/>
        </w:rPr>
        <w:t>ARTÍCULO SEGUNDO.</w:t>
      </w:r>
      <w:r w:rsidRPr="008D5C06">
        <w:rPr>
          <w:rFonts w:ascii="Arial" w:hAnsi="Arial" w:cs="Arial"/>
        </w:rPr>
        <w:t xml:space="preserve"> </w:t>
      </w:r>
      <w:r w:rsidRPr="00074F1D">
        <w:rPr>
          <w:sz w:val="20"/>
          <w:szCs w:val="20"/>
          <w:lang w:val="es-ES"/>
        </w:rPr>
        <w:t>Los beneficios fiscales otorgados a través de este ordenamiento legal, no darán derecho a compensación o devolución alguna. La vigencia de las disposiciones sujetas a un plazo especifico, concluirán precisamente en la fecha de su vencimiento.</w:t>
      </w:r>
    </w:p>
    <w:p w14:paraId="2DB3D077" w14:textId="77777777" w:rsidR="002A1059" w:rsidRPr="009E6843" w:rsidRDefault="002A1059" w:rsidP="00CD1674">
      <w:pPr>
        <w:spacing w:line="360" w:lineRule="auto"/>
        <w:jc w:val="both"/>
        <w:rPr>
          <w:sz w:val="20"/>
          <w:szCs w:val="20"/>
          <w:lang w:val="es-ES"/>
        </w:rPr>
      </w:pPr>
    </w:p>
    <w:p w14:paraId="45239AB5" w14:textId="4DF79249" w:rsidR="00CD1674" w:rsidRPr="00074F1D" w:rsidRDefault="00CD1674" w:rsidP="00CD1674">
      <w:pPr>
        <w:spacing w:line="360" w:lineRule="auto"/>
        <w:jc w:val="both"/>
        <w:rPr>
          <w:sz w:val="20"/>
          <w:szCs w:val="20"/>
          <w:lang w:val="es-ES"/>
        </w:rPr>
      </w:pPr>
      <w:r w:rsidRPr="00074F1D">
        <w:rPr>
          <w:b/>
          <w:sz w:val="20"/>
          <w:szCs w:val="20"/>
          <w:lang w:val="es-ES"/>
        </w:rPr>
        <w:t>ARTÍCULO TERCERO.</w:t>
      </w:r>
      <w:r w:rsidRPr="008D5C06">
        <w:rPr>
          <w:rFonts w:ascii="Arial" w:hAnsi="Arial" w:cs="Arial"/>
        </w:rPr>
        <w:t xml:space="preserve"> </w:t>
      </w:r>
      <w:r w:rsidRPr="00074F1D">
        <w:rPr>
          <w:sz w:val="20"/>
          <w:szCs w:val="20"/>
          <w:lang w:val="es-ES"/>
        </w:rPr>
        <w:t>Los ingresos que por concepto de prestación de servicios de Organismos Públicos Descentralizados capte la Secretaría de Finanzas, serán otorgados a los entes generadores de los mismos, por lo que se excluyen en la determinación del Fondo Estatal Participable. Los entes que generen ingresos propios deberán informar los montos estimados y recaudados a la Secretaría de Finanzas por la prestación de los servicios inherentes a su funcionamiento, con la periodicidad que ésta establezca para su integración en la Cuenta Pública del Ejecutivo.</w:t>
      </w:r>
    </w:p>
    <w:p w14:paraId="01F2E886" w14:textId="77777777" w:rsidR="00CD1674" w:rsidRPr="009E6843" w:rsidRDefault="00CD1674" w:rsidP="00CD1674">
      <w:pPr>
        <w:spacing w:line="360" w:lineRule="auto"/>
        <w:jc w:val="both"/>
        <w:rPr>
          <w:sz w:val="20"/>
          <w:szCs w:val="20"/>
          <w:lang w:val="es-ES"/>
        </w:rPr>
      </w:pPr>
    </w:p>
    <w:p w14:paraId="5ECF1D31" w14:textId="77777777" w:rsidR="00CD1674" w:rsidRPr="00074F1D" w:rsidRDefault="00CD1674" w:rsidP="00CD1674">
      <w:pPr>
        <w:spacing w:line="360" w:lineRule="auto"/>
        <w:jc w:val="both"/>
        <w:rPr>
          <w:sz w:val="20"/>
          <w:szCs w:val="20"/>
          <w:lang w:val="es-ES"/>
        </w:rPr>
      </w:pPr>
      <w:r w:rsidRPr="00074F1D">
        <w:rPr>
          <w:sz w:val="20"/>
          <w:szCs w:val="20"/>
          <w:lang w:val="es-ES"/>
        </w:rPr>
        <w:t>La aplicación de estos recursos deberá ser informada al Congreso del Estado, a través de la Cuenta Pública del ente público respectivo.</w:t>
      </w:r>
    </w:p>
    <w:p w14:paraId="4A9FC9B4" w14:textId="77777777" w:rsidR="00CD1674" w:rsidRPr="009E6843" w:rsidRDefault="00CD1674" w:rsidP="00CD1674">
      <w:pPr>
        <w:spacing w:line="360" w:lineRule="auto"/>
        <w:jc w:val="both"/>
        <w:rPr>
          <w:sz w:val="20"/>
          <w:szCs w:val="20"/>
          <w:lang w:val="es-ES"/>
        </w:rPr>
      </w:pPr>
    </w:p>
    <w:p w14:paraId="6F09D442" w14:textId="05557218" w:rsidR="00CD1674" w:rsidRPr="00074F1D" w:rsidRDefault="00CD1674" w:rsidP="00CD1674">
      <w:pPr>
        <w:spacing w:line="360" w:lineRule="auto"/>
        <w:jc w:val="both"/>
        <w:rPr>
          <w:sz w:val="20"/>
          <w:szCs w:val="20"/>
          <w:lang w:val="es-ES"/>
        </w:rPr>
      </w:pPr>
      <w:r w:rsidRPr="00074F1D">
        <w:rPr>
          <w:b/>
          <w:sz w:val="20"/>
          <w:szCs w:val="20"/>
          <w:lang w:val="es-ES"/>
        </w:rPr>
        <w:t>ARTÍCULO CUARTO</w:t>
      </w:r>
      <w:r w:rsidRPr="00074F1D">
        <w:rPr>
          <w:sz w:val="20"/>
          <w:szCs w:val="20"/>
          <w:lang w:val="es-ES"/>
        </w:rPr>
        <w:t>. Los ingresos que los Municipios en sus demarcaciones territoriales recauden a cuenta y nombre del Estado, por los derechos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 y sus Municipios; capt</w:t>
      </w:r>
      <w:r w:rsidR="00FD5C5A">
        <w:rPr>
          <w:sz w:val="20"/>
          <w:szCs w:val="20"/>
          <w:lang w:val="es-ES"/>
        </w:rPr>
        <w:t xml:space="preserve">ados a través </w:t>
      </w:r>
      <w:r w:rsidR="00FD5C5A">
        <w:rPr>
          <w:sz w:val="20"/>
          <w:szCs w:val="20"/>
          <w:lang w:val="es-ES"/>
        </w:rPr>
        <w:lastRenderedPageBreak/>
        <w:t>de</w:t>
      </w:r>
      <w:r w:rsidRPr="00074F1D">
        <w:rPr>
          <w:sz w:val="20"/>
          <w:szCs w:val="20"/>
          <w:lang w:val="es-ES"/>
        </w:rPr>
        <w:t xml:space="preserve"> la Secretaría de Finanzas, observando las disposiciones establecidas en los convenios suscritos por las partes, otorgándose a los entes generadores de los mismos, por lo que se excluyen en la determinación del Fondo Estatal Participable.</w:t>
      </w:r>
    </w:p>
    <w:p w14:paraId="6720C7F5" w14:textId="77777777" w:rsidR="00CD1674" w:rsidRPr="009E6843" w:rsidRDefault="00CD1674" w:rsidP="00CD1674">
      <w:pPr>
        <w:spacing w:line="360" w:lineRule="auto"/>
        <w:jc w:val="both"/>
        <w:rPr>
          <w:sz w:val="20"/>
          <w:szCs w:val="20"/>
          <w:lang w:val="es-ES"/>
        </w:rPr>
      </w:pPr>
    </w:p>
    <w:p w14:paraId="6FA3F611" w14:textId="77777777" w:rsidR="00CD1674" w:rsidRPr="00074F1D" w:rsidRDefault="00CD1674" w:rsidP="00CD1674">
      <w:pPr>
        <w:spacing w:line="360" w:lineRule="auto"/>
        <w:jc w:val="both"/>
        <w:rPr>
          <w:sz w:val="20"/>
          <w:szCs w:val="20"/>
          <w:lang w:val="es-ES"/>
        </w:rPr>
      </w:pPr>
      <w:r w:rsidRPr="00074F1D">
        <w:rPr>
          <w:sz w:val="20"/>
          <w:szCs w:val="20"/>
          <w:lang w:val="es-ES"/>
        </w:rPr>
        <w:t>La aplicación de estos recursos deberá ser informada al Congreso del Estado, a través de la Cuenta Pública del ente público respectivo.</w:t>
      </w:r>
    </w:p>
    <w:p w14:paraId="0023D1E1" w14:textId="77777777" w:rsidR="00CD1674" w:rsidRPr="009E6843" w:rsidRDefault="00CD1674" w:rsidP="00CD1674">
      <w:pPr>
        <w:spacing w:line="360" w:lineRule="auto"/>
        <w:jc w:val="both"/>
        <w:rPr>
          <w:sz w:val="20"/>
          <w:szCs w:val="20"/>
          <w:lang w:val="es-ES"/>
        </w:rPr>
      </w:pPr>
    </w:p>
    <w:p w14:paraId="79376732" w14:textId="77777777" w:rsidR="00CD1674" w:rsidRPr="00074F1D" w:rsidRDefault="00CD1674" w:rsidP="00CD1674">
      <w:pPr>
        <w:spacing w:line="360" w:lineRule="auto"/>
        <w:jc w:val="both"/>
        <w:rPr>
          <w:sz w:val="20"/>
          <w:szCs w:val="20"/>
          <w:lang w:val="es-ES"/>
        </w:rPr>
      </w:pPr>
      <w:r w:rsidRPr="00074F1D">
        <w:rPr>
          <w:b/>
          <w:sz w:val="20"/>
          <w:szCs w:val="20"/>
          <w:lang w:val="es-ES"/>
        </w:rPr>
        <w:t>ARTÍCULO QUINTO.</w:t>
      </w:r>
      <w:r w:rsidRPr="008D5C06">
        <w:rPr>
          <w:rFonts w:ascii="Arial" w:hAnsi="Arial" w:cs="Arial"/>
        </w:rPr>
        <w:t xml:space="preserve"> </w:t>
      </w:r>
      <w:r w:rsidRPr="00074F1D">
        <w:rPr>
          <w:sz w:val="20"/>
          <w:szCs w:val="20"/>
          <w:lang w:val="es-ES"/>
        </w:rPr>
        <w:t>Los ingresos que en su caso se obtengan por concepto de Otros Apoyos Federales, comprendido por Convenios de Reasignación, Subsidios y demás recursos con destino específico que se otorguen en términos de la Ley Federal de Presupuesto y Responsabilidad Hacendaria y del Presupuesto de Egresos de la Federación, estarán supeditados a la firma de los Convenios respectivos; y en caso de obtenerse, se incluirán de manera automática a esta Ley.</w:t>
      </w:r>
    </w:p>
    <w:p w14:paraId="5D7EEDCA" w14:textId="77777777" w:rsidR="00CD1674" w:rsidRPr="00074F1D" w:rsidRDefault="00CD1674" w:rsidP="00CD1674">
      <w:pPr>
        <w:spacing w:line="360" w:lineRule="auto"/>
        <w:jc w:val="both"/>
        <w:rPr>
          <w:sz w:val="20"/>
          <w:szCs w:val="20"/>
          <w:lang w:val="es-ES"/>
        </w:rPr>
      </w:pPr>
    </w:p>
    <w:p w14:paraId="69753393" w14:textId="77777777" w:rsidR="00CD1674" w:rsidRPr="00074F1D" w:rsidRDefault="00CD1674" w:rsidP="00CD1674">
      <w:pPr>
        <w:spacing w:line="360" w:lineRule="auto"/>
        <w:jc w:val="both"/>
        <w:rPr>
          <w:sz w:val="20"/>
          <w:szCs w:val="20"/>
          <w:lang w:val="es-ES"/>
        </w:rPr>
      </w:pPr>
      <w:r w:rsidRPr="00074F1D">
        <w:rPr>
          <w:sz w:val="20"/>
          <w:szCs w:val="20"/>
          <w:lang w:val="es-ES"/>
        </w:rPr>
        <w:t>La aplicación de estos recursos deberá ser informada al Congreso del Estado, a través de la Cuenta Pública del ente público que los ejecute.</w:t>
      </w:r>
    </w:p>
    <w:p w14:paraId="50487C65" w14:textId="77777777" w:rsidR="00CD1674" w:rsidRPr="009E6843" w:rsidRDefault="00CD1674" w:rsidP="00CD1674">
      <w:pPr>
        <w:spacing w:line="360" w:lineRule="auto"/>
        <w:jc w:val="both"/>
        <w:rPr>
          <w:sz w:val="20"/>
          <w:szCs w:val="20"/>
          <w:lang w:val="es-ES"/>
        </w:rPr>
      </w:pPr>
    </w:p>
    <w:p w14:paraId="2FE37025" w14:textId="0F561C41" w:rsidR="00CD1674" w:rsidRPr="00074F1D" w:rsidRDefault="00CD1674" w:rsidP="00CD1674">
      <w:pPr>
        <w:spacing w:line="360" w:lineRule="auto"/>
        <w:jc w:val="both"/>
        <w:rPr>
          <w:sz w:val="20"/>
          <w:szCs w:val="20"/>
          <w:lang w:val="es-ES"/>
        </w:rPr>
      </w:pPr>
      <w:r w:rsidRPr="00074F1D">
        <w:rPr>
          <w:b/>
          <w:sz w:val="20"/>
          <w:szCs w:val="20"/>
          <w:lang w:val="es-ES"/>
        </w:rPr>
        <w:t>ARTÍCULO S</w:t>
      </w:r>
      <w:r w:rsidR="00F426D0" w:rsidRPr="00074F1D">
        <w:rPr>
          <w:b/>
          <w:sz w:val="20"/>
          <w:szCs w:val="20"/>
          <w:lang w:val="es-ES"/>
        </w:rPr>
        <w:t>EXTO</w:t>
      </w:r>
      <w:r w:rsidRPr="00074F1D">
        <w:rPr>
          <w:b/>
          <w:sz w:val="20"/>
          <w:szCs w:val="20"/>
          <w:lang w:val="es-ES"/>
        </w:rPr>
        <w:t>.</w:t>
      </w:r>
      <w:r w:rsidRPr="008D5C06">
        <w:rPr>
          <w:rFonts w:ascii="Arial" w:hAnsi="Arial" w:cs="Arial"/>
        </w:rPr>
        <w:t xml:space="preserve"> </w:t>
      </w:r>
      <w:r w:rsidRPr="00074F1D">
        <w:rPr>
          <w:sz w:val="20"/>
          <w:szCs w:val="20"/>
          <w:lang w:val="es-ES"/>
        </w:rPr>
        <w:t>Quedan sin efecto, todas aquellas disposiciones contrarias a lo dispuesto por la presente Ley de Ingresos del Estado de Tlaxcala</w:t>
      </w:r>
      <w:r w:rsidR="00387892">
        <w:rPr>
          <w:sz w:val="20"/>
          <w:szCs w:val="20"/>
          <w:lang w:val="es-ES"/>
        </w:rPr>
        <w:t>,</w:t>
      </w:r>
      <w:r w:rsidRPr="00074F1D">
        <w:rPr>
          <w:sz w:val="20"/>
          <w:szCs w:val="20"/>
          <w:lang w:val="es-ES"/>
        </w:rPr>
        <w:t xml:space="preserve"> para el Ejercicio Fiscal 202</w:t>
      </w:r>
      <w:r w:rsidR="007309BA">
        <w:rPr>
          <w:sz w:val="20"/>
          <w:szCs w:val="20"/>
          <w:lang w:val="es-ES"/>
        </w:rPr>
        <w:t>6</w:t>
      </w:r>
      <w:r w:rsidRPr="00074F1D">
        <w:rPr>
          <w:sz w:val="20"/>
          <w:szCs w:val="20"/>
          <w:lang w:val="es-ES"/>
        </w:rPr>
        <w:t>, en materia de Empresas de Redes de Transporte.</w:t>
      </w:r>
    </w:p>
    <w:p w14:paraId="744B8D34" w14:textId="77777777" w:rsidR="00004D68" w:rsidRDefault="00004D68" w:rsidP="00862374">
      <w:pPr>
        <w:pStyle w:val="Textoindependiente"/>
        <w:rPr>
          <w:rFonts w:ascii="Times New Roman" w:hAnsi="Times New Roman" w:cs="Times New Roman"/>
          <w:b w:val="0"/>
          <w:bCs w:val="0"/>
          <w:szCs w:val="20"/>
          <w:lang w:val="es-ES"/>
        </w:rPr>
      </w:pPr>
    </w:p>
    <w:p w14:paraId="4DC9A578" w14:textId="77777777" w:rsidR="00004D68" w:rsidRDefault="00004D68" w:rsidP="00862374">
      <w:pPr>
        <w:pStyle w:val="Textoindependiente"/>
        <w:rPr>
          <w:rFonts w:ascii="Times New Roman" w:hAnsi="Times New Roman" w:cs="Times New Roman"/>
          <w:b w:val="0"/>
          <w:bCs w:val="0"/>
          <w:szCs w:val="20"/>
          <w:lang w:val="es-ES"/>
        </w:rPr>
      </w:pPr>
    </w:p>
    <w:p w14:paraId="144396D2" w14:textId="77777777" w:rsidR="00004D68" w:rsidRDefault="00004D68" w:rsidP="00862374">
      <w:pPr>
        <w:pStyle w:val="Textoindependiente"/>
        <w:rPr>
          <w:rFonts w:ascii="Times New Roman" w:hAnsi="Times New Roman" w:cs="Times New Roman"/>
          <w:b w:val="0"/>
          <w:bCs w:val="0"/>
          <w:szCs w:val="20"/>
          <w:lang w:val="es-ES"/>
        </w:rPr>
      </w:pPr>
    </w:p>
    <w:p w14:paraId="4307631F" w14:textId="77777777" w:rsidR="00004D68" w:rsidRDefault="00004D68" w:rsidP="00862374">
      <w:pPr>
        <w:pStyle w:val="Textoindependiente"/>
        <w:rPr>
          <w:rFonts w:ascii="Times New Roman" w:hAnsi="Times New Roman" w:cs="Times New Roman"/>
          <w:b w:val="0"/>
          <w:bCs w:val="0"/>
          <w:szCs w:val="20"/>
          <w:lang w:val="es-ES"/>
        </w:rPr>
      </w:pPr>
    </w:p>
    <w:p w14:paraId="7D8AF9B2" w14:textId="77777777" w:rsidR="00004D68" w:rsidRDefault="00004D68" w:rsidP="00862374">
      <w:pPr>
        <w:pStyle w:val="Textoindependiente"/>
        <w:rPr>
          <w:rFonts w:ascii="Times New Roman" w:hAnsi="Times New Roman" w:cs="Times New Roman"/>
          <w:b w:val="0"/>
          <w:bCs w:val="0"/>
          <w:szCs w:val="20"/>
          <w:lang w:val="es-ES"/>
        </w:rPr>
      </w:pPr>
    </w:p>
    <w:p w14:paraId="504E452B" w14:textId="77777777" w:rsidR="00004D68" w:rsidRDefault="00004D68" w:rsidP="00862374">
      <w:pPr>
        <w:pStyle w:val="Textoindependiente"/>
        <w:rPr>
          <w:rFonts w:ascii="Times New Roman" w:hAnsi="Times New Roman" w:cs="Times New Roman"/>
          <w:b w:val="0"/>
          <w:bCs w:val="0"/>
          <w:szCs w:val="20"/>
          <w:lang w:val="es-ES"/>
        </w:rPr>
      </w:pPr>
    </w:p>
    <w:p w14:paraId="21B03522" w14:textId="77777777" w:rsidR="00004D68" w:rsidRDefault="00004D68" w:rsidP="00862374">
      <w:pPr>
        <w:pStyle w:val="Textoindependiente"/>
        <w:rPr>
          <w:rFonts w:ascii="Times New Roman" w:hAnsi="Times New Roman" w:cs="Times New Roman"/>
          <w:b w:val="0"/>
          <w:bCs w:val="0"/>
          <w:szCs w:val="20"/>
          <w:lang w:val="es-ES"/>
        </w:rPr>
      </w:pPr>
    </w:p>
    <w:p w14:paraId="2D61EE9B" w14:textId="77777777" w:rsidR="00004D68" w:rsidRDefault="00004D68" w:rsidP="00862374">
      <w:pPr>
        <w:pStyle w:val="Textoindependiente"/>
        <w:rPr>
          <w:rFonts w:ascii="Times New Roman" w:hAnsi="Times New Roman" w:cs="Times New Roman"/>
          <w:b w:val="0"/>
          <w:bCs w:val="0"/>
          <w:szCs w:val="20"/>
          <w:lang w:val="es-ES"/>
        </w:rPr>
      </w:pPr>
    </w:p>
    <w:p w14:paraId="52DC642F" w14:textId="77777777" w:rsidR="00004D68" w:rsidRDefault="00004D68" w:rsidP="00862374">
      <w:pPr>
        <w:pStyle w:val="Textoindependiente"/>
        <w:rPr>
          <w:rFonts w:ascii="Times New Roman" w:hAnsi="Times New Roman" w:cs="Times New Roman"/>
          <w:b w:val="0"/>
          <w:bCs w:val="0"/>
          <w:szCs w:val="20"/>
          <w:lang w:val="es-ES"/>
        </w:rPr>
      </w:pPr>
    </w:p>
    <w:p w14:paraId="45A1C05F" w14:textId="77777777" w:rsidR="00004D68" w:rsidRDefault="00004D68" w:rsidP="00862374">
      <w:pPr>
        <w:pStyle w:val="Textoindependiente"/>
        <w:rPr>
          <w:rFonts w:ascii="Times New Roman" w:hAnsi="Times New Roman" w:cs="Times New Roman"/>
          <w:b w:val="0"/>
          <w:bCs w:val="0"/>
          <w:szCs w:val="20"/>
          <w:lang w:val="es-ES"/>
        </w:rPr>
      </w:pPr>
    </w:p>
    <w:p w14:paraId="2AEB114B" w14:textId="7F1E0221" w:rsidR="00CD1674" w:rsidRPr="00074F1D" w:rsidRDefault="00CD1674" w:rsidP="00862374">
      <w:pPr>
        <w:pStyle w:val="Textoindependiente"/>
        <w:rPr>
          <w:rFonts w:ascii="Times New Roman" w:hAnsi="Times New Roman" w:cs="Times New Roman"/>
          <w:b w:val="0"/>
          <w:bCs w:val="0"/>
          <w:szCs w:val="20"/>
          <w:lang w:val="es-ES"/>
        </w:rPr>
      </w:pPr>
      <w:r w:rsidRPr="00074F1D">
        <w:rPr>
          <w:rFonts w:ascii="Times New Roman" w:hAnsi="Times New Roman" w:cs="Times New Roman"/>
          <w:b w:val="0"/>
          <w:bCs w:val="0"/>
          <w:szCs w:val="20"/>
          <w:lang w:val="es-ES"/>
        </w:rPr>
        <w:t>Dado en la Ciudad de Tlaxcala de Xicohténcatl, residencia oficial del Poder Ejecutivo del Estado Libre y Soberano de Tlaxcala</w:t>
      </w:r>
      <w:r w:rsidR="00120A3D">
        <w:rPr>
          <w:rFonts w:ascii="Times New Roman" w:hAnsi="Times New Roman" w:cs="Times New Roman"/>
          <w:b w:val="0"/>
          <w:bCs w:val="0"/>
          <w:szCs w:val="20"/>
          <w:lang w:val="es-ES"/>
        </w:rPr>
        <w:t>,</w:t>
      </w:r>
      <w:r w:rsidRPr="00074F1D">
        <w:rPr>
          <w:rFonts w:ascii="Times New Roman" w:hAnsi="Times New Roman" w:cs="Times New Roman"/>
          <w:b w:val="0"/>
          <w:bCs w:val="0"/>
          <w:szCs w:val="20"/>
          <w:lang w:val="es-ES"/>
        </w:rPr>
        <w:t xml:space="preserve"> a los </w:t>
      </w:r>
      <w:r w:rsidR="00BB62C6">
        <w:rPr>
          <w:rFonts w:ascii="Times New Roman" w:hAnsi="Times New Roman" w:cs="Times New Roman"/>
          <w:b w:val="0"/>
          <w:bCs w:val="0"/>
          <w:szCs w:val="20"/>
          <w:lang w:val="es-ES"/>
        </w:rPr>
        <w:t>catorce</w:t>
      </w:r>
      <w:r w:rsidRPr="00074F1D">
        <w:rPr>
          <w:rFonts w:ascii="Times New Roman" w:hAnsi="Times New Roman" w:cs="Times New Roman"/>
          <w:b w:val="0"/>
          <w:bCs w:val="0"/>
          <w:szCs w:val="20"/>
          <w:lang w:val="es-ES"/>
        </w:rPr>
        <w:t xml:space="preserve"> días del mes de noviembre del año dos mil </w:t>
      </w:r>
      <w:r w:rsidR="00E873EA" w:rsidRPr="00074F1D">
        <w:rPr>
          <w:rFonts w:ascii="Times New Roman" w:hAnsi="Times New Roman" w:cs="Times New Roman"/>
          <w:b w:val="0"/>
          <w:bCs w:val="0"/>
          <w:szCs w:val="20"/>
          <w:lang w:val="es-ES"/>
        </w:rPr>
        <w:t>veinti</w:t>
      </w:r>
      <w:r w:rsidR="00F024D6" w:rsidRPr="00074F1D">
        <w:rPr>
          <w:rFonts w:ascii="Times New Roman" w:hAnsi="Times New Roman" w:cs="Times New Roman"/>
          <w:b w:val="0"/>
          <w:bCs w:val="0"/>
          <w:szCs w:val="20"/>
          <w:lang w:val="es-ES"/>
        </w:rPr>
        <w:t>c</w:t>
      </w:r>
      <w:r w:rsidR="007309BA">
        <w:rPr>
          <w:rFonts w:ascii="Times New Roman" w:hAnsi="Times New Roman" w:cs="Times New Roman"/>
          <w:b w:val="0"/>
          <w:bCs w:val="0"/>
          <w:szCs w:val="20"/>
          <w:lang w:val="es-ES"/>
        </w:rPr>
        <w:t>inco</w:t>
      </w:r>
      <w:r w:rsidRPr="00074F1D">
        <w:rPr>
          <w:rFonts w:ascii="Times New Roman" w:hAnsi="Times New Roman" w:cs="Times New Roman"/>
          <w:b w:val="0"/>
          <w:bCs w:val="0"/>
          <w:szCs w:val="20"/>
          <w:lang w:val="es-ES"/>
        </w:rPr>
        <w:t>.</w:t>
      </w:r>
    </w:p>
    <w:p w14:paraId="3113C8B9" w14:textId="5F083739" w:rsidR="005D0B4B" w:rsidRPr="003812A3" w:rsidRDefault="005D0B4B" w:rsidP="00CD1674">
      <w:pPr>
        <w:pStyle w:val="Textoindependiente"/>
        <w:rPr>
          <w:rFonts w:ascii="Times New Roman" w:hAnsi="Times New Roman" w:cs="Times New Roman"/>
          <w:b w:val="0"/>
          <w:bCs w:val="0"/>
          <w:szCs w:val="20"/>
          <w:lang w:val="es-ES"/>
        </w:rPr>
      </w:pPr>
    </w:p>
    <w:p w14:paraId="247E684D" w14:textId="77777777" w:rsidR="00862374" w:rsidRDefault="00862374" w:rsidP="00CD1674">
      <w:pPr>
        <w:pStyle w:val="Textoindependiente"/>
        <w:rPr>
          <w:rFonts w:ascii="Times New Roman" w:hAnsi="Times New Roman" w:cs="Times New Roman"/>
          <w:b w:val="0"/>
          <w:bCs w:val="0"/>
          <w:szCs w:val="20"/>
          <w:lang w:val="es-ES"/>
        </w:rPr>
      </w:pPr>
    </w:p>
    <w:p w14:paraId="238F5E66" w14:textId="77777777" w:rsidR="00387892" w:rsidRPr="003812A3" w:rsidRDefault="00387892" w:rsidP="00CD1674">
      <w:pPr>
        <w:pStyle w:val="Textoindependiente"/>
        <w:rPr>
          <w:rFonts w:ascii="Times New Roman" w:hAnsi="Times New Roman" w:cs="Times New Roman"/>
          <w:b w:val="0"/>
          <w:bCs w:val="0"/>
          <w:szCs w:val="20"/>
          <w:lang w:val="es-ES"/>
        </w:rPr>
      </w:pPr>
    </w:p>
    <w:p w14:paraId="18DFF106"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A T E N T A M E N T E</w:t>
      </w:r>
    </w:p>
    <w:p w14:paraId="622E3E7B" w14:textId="77777777" w:rsidR="00CD1674" w:rsidRPr="003812A3" w:rsidRDefault="00CD1674" w:rsidP="003812A3">
      <w:pPr>
        <w:pStyle w:val="Textoindependiente"/>
        <w:rPr>
          <w:rFonts w:ascii="Times New Roman" w:hAnsi="Times New Roman" w:cs="Times New Roman"/>
          <w:b w:val="0"/>
          <w:bCs w:val="0"/>
          <w:szCs w:val="20"/>
          <w:lang w:val="es-ES"/>
        </w:rPr>
      </w:pPr>
    </w:p>
    <w:p w14:paraId="231FE394" w14:textId="77777777" w:rsidR="00CD1674" w:rsidRDefault="00CD1674" w:rsidP="003812A3">
      <w:pPr>
        <w:pStyle w:val="Textoindependiente"/>
        <w:rPr>
          <w:rFonts w:ascii="Times New Roman" w:hAnsi="Times New Roman" w:cs="Times New Roman"/>
          <w:b w:val="0"/>
          <w:bCs w:val="0"/>
          <w:szCs w:val="20"/>
          <w:lang w:val="es-ES"/>
        </w:rPr>
      </w:pPr>
    </w:p>
    <w:p w14:paraId="22013069" w14:textId="77777777" w:rsidR="00862374" w:rsidRPr="003812A3" w:rsidRDefault="00862374" w:rsidP="003812A3">
      <w:pPr>
        <w:pStyle w:val="Textoindependiente"/>
        <w:rPr>
          <w:rFonts w:ascii="Times New Roman" w:hAnsi="Times New Roman" w:cs="Times New Roman"/>
          <w:b w:val="0"/>
          <w:bCs w:val="0"/>
          <w:szCs w:val="20"/>
          <w:lang w:val="es-ES"/>
        </w:rPr>
      </w:pPr>
    </w:p>
    <w:p w14:paraId="196A7803" w14:textId="77777777" w:rsidR="00CD1674" w:rsidRPr="003812A3" w:rsidRDefault="00CD1674" w:rsidP="003812A3">
      <w:pPr>
        <w:pStyle w:val="Textoindependiente"/>
        <w:rPr>
          <w:rFonts w:ascii="Times New Roman" w:hAnsi="Times New Roman" w:cs="Times New Roman"/>
          <w:b w:val="0"/>
          <w:bCs w:val="0"/>
          <w:szCs w:val="20"/>
          <w:lang w:val="es-ES"/>
        </w:rPr>
      </w:pPr>
    </w:p>
    <w:p w14:paraId="248ADD5D"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LORENA CUÉLLAR CISNEROS</w:t>
      </w:r>
    </w:p>
    <w:p w14:paraId="7E5AFD31"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GOBERNADORA DEL ESTADO DE TLAXCALA</w:t>
      </w:r>
    </w:p>
    <w:p w14:paraId="03B03ACA" w14:textId="77777777" w:rsidR="00CD1674" w:rsidRPr="003812A3" w:rsidRDefault="00CD1674" w:rsidP="003812A3">
      <w:pPr>
        <w:pStyle w:val="Textoindependiente"/>
        <w:rPr>
          <w:rFonts w:ascii="Times New Roman" w:hAnsi="Times New Roman" w:cs="Times New Roman"/>
          <w:b w:val="0"/>
          <w:bCs w:val="0"/>
          <w:szCs w:val="20"/>
          <w:lang w:val="es-ES"/>
        </w:rPr>
      </w:pPr>
    </w:p>
    <w:p w14:paraId="1ACBFFC6" w14:textId="77777777" w:rsidR="00CD1674" w:rsidRDefault="00CD1674" w:rsidP="003812A3">
      <w:pPr>
        <w:pStyle w:val="Textoindependiente"/>
        <w:rPr>
          <w:rFonts w:ascii="Times New Roman" w:hAnsi="Times New Roman" w:cs="Times New Roman"/>
          <w:b w:val="0"/>
          <w:bCs w:val="0"/>
          <w:szCs w:val="20"/>
          <w:lang w:val="es-ES"/>
        </w:rPr>
      </w:pPr>
    </w:p>
    <w:p w14:paraId="149BB709" w14:textId="77777777" w:rsidR="00862374" w:rsidRPr="003812A3" w:rsidRDefault="00862374" w:rsidP="003812A3">
      <w:pPr>
        <w:pStyle w:val="Textoindependiente"/>
        <w:rPr>
          <w:rFonts w:ascii="Times New Roman" w:hAnsi="Times New Roman" w:cs="Times New Roman"/>
          <w:b w:val="0"/>
          <w:bCs w:val="0"/>
          <w:szCs w:val="20"/>
          <w:lang w:val="es-ES"/>
        </w:rPr>
      </w:pPr>
    </w:p>
    <w:p w14:paraId="1F1FFEBC" w14:textId="77777777" w:rsidR="00CD1674" w:rsidRPr="003812A3" w:rsidRDefault="00CD1674" w:rsidP="003812A3">
      <w:pPr>
        <w:pStyle w:val="Textoindependiente"/>
        <w:rPr>
          <w:rFonts w:ascii="Times New Roman" w:hAnsi="Times New Roman" w:cs="Times New Roman"/>
          <w:b w:val="0"/>
          <w:bCs w:val="0"/>
          <w:szCs w:val="20"/>
          <w:lang w:val="es-ES"/>
        </w:rPr>
      </w:pPr>
    </w:p>
    <w:p w14:paraId="297C47CB" w14:textId="75E26444" w:rsidR="00CD1674" w:rsidRPr="00074F1D" w:rsidRDefault="00F024D6"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LUIS ANTONIO RAMÍREZ HERNÁNDEZ</w:t>
      </w:r>
    </w:p>
    <w:p w14:paraId="1FDAF3E4"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SECRETARIO DE GOBIERNO</w:t>
      </w:r>
    </w:p>
    <w:p w14:paraId="2DCB2DB3" w14:textId="77777777" w:rsidR="00CD1674" w:rsidRPr="003812A3" w:rsidRDefault="00CD1674" w:rsidP="003812A3">
      <w:pPr>
        <w:pStyle w:val="Textoindependiente"/>
        <w:rPr>
          <w:rFonts w:ascii="Times New Roman" w:hAnsi="Times New Roman" w:cs="Times New Roman"/>
          <w:b w:val="0"/>
          <w:bCs w:val="0"/>
          <w:szCs w:val="20"/>
          <w:lang w:val="es-ES"/>
        </w:rPr>
      </w:pPr>
    </w:p>
    <w:p w14:paraId="66A4E485" w14:textId="77777777" w:rsidR="00CD1674" w:rsidRDefault="00CD1674" w:rsidP="003812A3">
      <w:pPr>
        <w:pStyle w:val="Textoindependiente"/>
        <w:rPr>
          <w:rFonts w:ascii="Times New Roman" w:hAnsi="Times New Roman" w:cs="Times New Roman"/>
          <w:b w:val="0"/>
          <w:bCs w:val="0"/>
          <w:szCs w:val="20"/>
          <w:lang w:val="es-ES"/>
        </w:rPr>
      </w:pPr>
    </w:p>
    <w:p w14:paraId="32247F2A" w14:textId="77777777" w:rsidR="00862374" w:rsidRPr="003812A3" w:rsidRDefault="00862374" w:rsidP="003812A3">
      <w:pPr>
        <w:pStyle w:val="Textoindependiente"/>
        <w:rPr>
          <w:rFonts w:ascii="Times New Roman" w:hAnsi="Times New Roman" w:cs="Times New Roman"/>
          <w:b w:val="0"/>
          <w:bCs w:val="0"/>
          <w:szCs w:val="20"/>
          <w:lang w:val="es-ES"/>
        </w:rPr>
      </w:pPr>
    </w:p>
    <w:p w14:paraId="5EDFC0DE" w14:textId="77777777" w:rsidR="00CD1674" w:rsidRPr="003812A3" w:rsidRDefault="00CD1674" w:rsidP="003812A3">
      <w:pPr>
        <w:pStyle w:val="Textoindependiente"/>
        <w:rPr>
          <w:rFonts w:ascii="Times New Roman" w:hAnsi="Times New Roman" w:cs="Times New Roman"/>
          <w:b w:val="0"/>
          <w:bCs w:val="0"/>
          <w:szCs w:val="20"/>
          <w:lang w:val="es-ES"/>
        </w:rPr>
      </w:pPr>
    </w:p>
    <w:p w14:paraId="48F6FCD5"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DAVID ÁLVAREZ OCHOA</w:t>
      </w:r>
    </w:p>
    <w:p w14:paraId="464E5EB4"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SECRETARIO DE FINANZAS</w:t>
      </w:r>
    </w:p>
    <w:p w14:paraId="47940BBD" w14:textId="77777777" w:rsidR="00CD1674" w:rsidRPr="003812A3" w:rsidRDefault="00CD1674" w:rsidP="003812A3">
      <w:pPr>
        <w:pStyle w:val="Textoindependiente"/>
        <w:rPr>
          <w:rFonts w:ascii="Times New Roman" w:hAnsi="Times New Roman" w:cs="Times New Roman"/>
          <w:b w:val="0"/>
          <w:bCs w:val="0"/>
          <w:szCs w:val="20"/>
          <w:lang w:val="es-ES"/>
        </w:rPr>
      </w:pPr>
    </w:p>
    <w:p w14:paraId="15931E2A" w14:textId="77777777" w:rsidR="00CD1674" w:rsidRPr="008D5C06" w:rsidRDefault="00CD1674" w:rsidP="00CD1674">
      <w:pPr>
        <w:pStyle w:val="Textoindependiente"/>
        <w:jc w:val="left"/>
        <w:rPr>
          <w:rFonts w:eastAsia="Arial Unicode MS"/>
          <w:b w:val="0"/>
          <w:sz w:val="16"/>
        </w:rPr>
      </w:pPr>
    </w:p>
    <w:p w14:paraId="47F8F631" w14:textId="77777777" w:rsidR="00CD1674" w:rsidRDefault="00CD1674" w:rsidP="00CD1674">
      <w:pPr>
        <w:pStyle w:val="Textoindependiente"/>
        <w:jc w:val="left"/>
        <w:rPr>
          <w:rFonts w:eastAsia="Arial Unicode MS"/>
          <w:b w:val="0"/>
          <w:sz w:val="16"/>
        </w:rPr>
      </w:pPr>
    </w:p>
    <w:p w14:paraId="298C7221" w14:textId="77777777" w:rsidR="00387892" w:rsidRDefault="00387892" w:rsidP="00CD1674">
      <w:pPr>
        <w:pStyle w:val="Textoindependiente"/>
        <w:jc w:val="left"/>
        <w:rPr>
          <w:rFonts w:eastAsia="Arial Unicode MS"/>
          <w:b w:val="0"/>
          <w:sz w:val="16"/>
        </w:rPr>
      </w:pPr>
    </w:p>
    <w:p w14:paraId="6D2751E2" w14:textId="77777777" w:rsidR="00387892" w:rsidRDefault="00387892" w:rsidP="00CD1674">
      <w:pPr>
        <w:pStyle w:val="Textoindependiente"/>
        <w:jc w:val="left"/>
        <w:rPr>
          <w:rFonts w:eastAsia="Arial Unicode MS"/>
          <w:b w:val="0"/>
          <w:sz w:val="16"/>
        </w:rPr>
      </w:pPr>
    </w:p>
    <w:p w14:paraId="15E1ED93" w14:textId="77777777" w:rsidR="00387892" w:rsidRDefault="00387892" w:rsidP="00CD1674">
      <w:pPr>
        <w:pStyle w:val="Textoindependiente"/>
        <w:jc w:val="left"/>
        <w:rPr>
          <w:rFonts w:eastAsia="Arial Unicode MS"/>
          <w:b w:val="0"/>
          <w:sz w:val="16"/>
        </w:rPr>
      </w:pPr>
    </w:p>
    <w:p w14:paraId="6C794843" w14:textId="77777777" w:rsidR="00387892" w:rsidRDefault="00387892" w:rsidP="00CD1674">
      <w:pPr>
        <w:pStyle w:val="Textoindependiente"/>
        <w:jc w:val="left"/>
        <w:rPr>
          <w:rFonts w:eastAsia="Arial Unicode MS"/>
          <w:b w:val="0"/>
          <w:sz w:val="16"/>
        </w:rPr>
      </w:pPr>
    </w:p>
    <w:p w14:paraId="46E2E3C5" w14:textId="77777777" w:rsidR="00387892" w:rsidRDefault="00387892" w:rsidP="00CD1674">
      <w:pPr>
        <w:pStyle w:val="Textoindependiente"/>
        <w:jc w:val="left"/>
        <w:rPr>
          <w:rFonts w:eastAsia="Arial Unicode MS"/>
          <w:b w:val="0"/>
          <w:sz w:val="16"/>
        </w:rPr>
      </w:pPr>
    </w:p>
    <w:p w14:paraId="4978CF69" w14:textId="77777777" w:rsidR="00387892" w:rsidRDefault="00387892" w:rsidP="00CD1674">
      <w:pPr>
        <w:pStyle w:val="Textoindependiente"/>
        <w:jc w:val="left"/>
        <w:rPr>
          <w:rFonts w:eastAsia="Arial Unicode MS"/>
          <w:b w:val="0"/>
          <w:sz w:val="16"/>
        </w:rPr>
      </w:pPr>
    </w:p>
    <w:p w14:paraId="08259285" w14:textId="6294C40C" w:rsidR="00CD1674" w:rsidRPr="003812A3" w:rsidRDefault="00CD1674" w:rsidP="003812A3">
      <w:pPr>
        <w:pStyle w:val="Textoindependiente"/>
        <w:rPr>
          <w:rFonts w:ascii="Times New Roman" w:hAnsi="Times New Roman" w:cs="Times New Roman"/>
          <w:b w:val="0"/>
          <w:bCs w:val="0"/>
          <w:szCs w:val="20"/>
          <w:lang w:val="es-ES"/>
        </w:rPr>
      </w:pPr>
      <w:r w:rsidRPr="00074F1D">
        <w:rPr>
          <w:rFonts w:ascii="Times New Roman" w:eastAsia="Arial Unicode MS" w:hAnsi="Times New Roman" w:cs="Times New Roman"/>
          <w:b w:val="0"/>
          <w:szCs w:val="20"/>
          <w:lang w:val="es-ES"/>
        </w:rPr>
        <w:t>ÚLTIMA HOJA DE FIRMAS QUE CORRESPONDE A LA INICIATIVA CON PROYECTO DE DECRETO QUE EXPIDE LA LEY DE INGRESOS DEL ESTADO DE TLAXCALA</w:t>
      </w:r>
      <w:r w:rsidR="00387892">
        <w:rPr>
          <w:rFonts w:ascii="Times New Roman" w:eastAsia="Arial Unicode MS" w:hAnsi="Times New Roman" w:cs="Times New Roman"/>
          <w:b w:val="0"/>
          <w:szCs w:val="20"/>
          <w:lang w:val="es-ES"/>
        </w:rPr>
        <w:t>,</w:t>
      </w:r>
      <w:r w:rsidRPr="00074F1D">
        <w:rPr>
          <w:rFonts w:ascii="Times New Roman" w:eastAsia="Arial Unicode MS" w:hAnsi="Times New Roman" w:cs="Times New Roman"/>
          <w:b w:val="0"/>
          <w:szCs w:val="20"/>
          <w:lang w:val="es-ES"/>
        </w:rPr>
        <w:t xml:space="preserve"> PARA EL EJERCICIO FISCAL 202</w:t>
      </w:r>
      <w:r w:rsidR="007309BA">
        <w:rPr>
          <w:rFonts w:ascii="Times New Roman" w:eastAsia="Arial Unicode MS" w:hAnsi="Times New Roman" w:cs="Times New Roman"/>
          <w:b w:val="0"/>
          <w:szCs w:val="20"/>
          <w:lang w:val="es-ES"/>
        </w:rPr>
        <w:t>6</w:t>
      </w:r>
      <w:r w:rsidR="0087584C" w:rsidRPr="00074F1D">
        <w:rPr>
          <w:rFonts w:ascii="Times New Roman" w:eastAsia="Arial Unicode MS" w:hAnsi="Times New Roman" w:cs="Times New Roman"/>
          <w:b w:val="0"/>
          <w:szCs w:val="20"/>
          <w:lang w:val="es-ES"/>
        </w:rPr>
        <w:t>.</w:t>
      </w:r>
    </w:p>
    <w:sectPr w:rsidR="00CD1674" w:rsidRPr="003812A3" w:rsidSect="002B50CC">
      <w:footerReference w:type="even" r:id="rId37"/>
      <w:footerReference w:type="default" r:id="rId38"/>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8554" w14:textId="77777777" w:rsidR="0015459B" w:rsidRPr="008D5C06" w:rsidRDefault="0015459B">
      <w:r w:rsidRPr="008D5C06">
        <w:separator/>
      </w:r>
    </w:p>
  </w:endnote>
  <w:endnote w:type="continuationSeparator" w:id="0">
    <w:p w14:paraId="189C95D1" w14:textId="77777777" w:rsidR="0015459B" w:rsidRPr="008D5C06" w:rsidRDefault="0015459B">
      <w:r w:rsidRPr="008D5C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1F07" w14:textId="77777777" w:rsidR="00906252" w:rsidRPr="008D5C06" w:rsidRDefault="00906252">
    <w:pPr>
      <w:pStyle w:val="Piedepgina"/>
      <w:framePr w:wrap="around" w:vAnchor="text" w:hAnchor="margin" w:xAlign="right" w:y="1"/>
      <w:rPr>
        <w:rStyle w:val="Nmerodepgina"/>
      </w:rPr>
    </w:pPr>
    <w:r w:rsidRPr="008D5C06">
      <w:rPr>
        <w:rStyle w:val="Nmerodepgina"/>
      </w:rPr>
      <w:fldChar w:fldCharType="begin"/>
    </w:r>
    <w:r w:rsidRPr="008D5C06">
      <w:rPr>
        <w:rStyle w:val="Nmerodepgina"/>
      </w:rPr>
      <w:instrText xml:space="preserve">PAGE  </w:instrText>
    </w:r>
    <w:r w:rsidRPr="008D5C06">
      <w:rPr>
        <w:rStyle w:val="Nmerodepgina"/>
      </w:rPr>
      <w:fldChar w:fldCharType="end"/>
    </w:r>
  </w:p>
  <w:p w14:paraId="5B4E3837" w14:textId="77777777" w:rsidR="00906252" w:rsidRPr="008D5C06" w:rsidRDefault="0090625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4B2B" w14:textId="77777777" w:rsidR="00906252" w:rsidRPr="008D5C06" w:rsidRDefault="00906252">
    <w:pPr>
      <w:pStyle w:val="Piedepgina"/>
      <w:framePr w:wrap="around" w:vAnchor="text" w:hAnchor="margin" w:xAlign="right" w:y="1"/>
      <w:rPr>
        <w:rStyle w:val="Nmerodepgina"/>
        <w:rFonts w:cs="Arial"/>
      </w:rPr>
    </w:pPr>
    <w:r w:rsidRPr="008D5C06">
      <w:rPr>
        <w:rStyle w:val="Nmerodepgina"/>
        <w:rFonts w:cs="Arial"/>
      </w:rPr>
      <w:fldChar w:fldCharType="begin"/>
    </w:r>
    <w:r w:rsidRPr="008D5C06">
      <w:rPr>
        <w:rStyle w:val="Nmerodepgina"/>
        <w:rFonts w:cs="Arial"/>
      </w:rPr>
      <w:instrText xml:space="preserve">PAGE  </w:instrText>
    </w:r>
    <w:r w:rsidRPr="008D5C06">
      <w:rPr>
        <w:rStyle w:val="Nmerodepgina"/>
        <w:rFonts w:cs="Arial"/>
      </w:rPr>
      <w:fldChar w:fldCharType="separate"/>
    </w:r>
    <w:r w:rsidRPr="008D5C06">
      <w:rPr>
        <w:rStyle w:val="Nmerodepgina"/>
        <w:rFonts w:cs="Arial"/>
      </w:rPr>
      <w:t>LXIV</w:t>
    </w:r>
    <w:r w:rsidRPr="008D5C06">
      <w:rPr>
        <w:rStyle w:val="Nmerodepgina"/>
        <w:rFonts w:cs="Arial"/>
      </w:rPr>
      <w:fldChar w:fldCharType="end"/>
    </w:r>
  </w:p>
  <w:p w14:paraId="6FD4A2A9" w14:textId="77777777" w:rsidR="00906252" w:rsidRPr="008D5C06" w:rsidRDefault="00906252">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9E8C" w14:textId="77777777" w:rsidR="008821AF" w:rsidRPr="008D5C06" w:rsidRDefault="008821AF">
    <w:pPr>
      <w:pStyle w:val="Piedepgina"/>
      <w:framePr w:wrap="around" w:vAnchor="text" w:hAnchor="margin" w:xAlign="right" w:y="1"/>
      <w:rPr>
        <w:rStyle w:val="Nmerodepgina"/>
      </w:rPr>
    </w:pPr>
    <w:r w:rsidRPr="008D5C06">
      <w:rPr>
        <w:rStyle w:val="Nmerodepgina"/>
      </w:rPr>
      <w:fldChar w:fldCharType="begin"/>
    </w:r>
    <w:r w:rsidRPr="008D5C06">
      <w:rPr>
        <w:rStyle w:val="Nmerodepgina"/>
      </w:rPr>
      <w:instrText xml:space="preserve">PAGE  </w:instrText>
    </w:r>
    <w:r w:rsidRPr="008D5C06">
      <w:rPr>
        <w:rStyle w:val="Nmerodepgina"/>
      </w:rPr>
      <w:fldChar w:fldCharType="end"/>
    </w:r>
  </w:p>
  <w:p w14:paraId="1E1F27F8" w14:textId="77777777" w:rsidR="008821AF" w:rsidRPr="008D5C06" w:rsidRDefault="008821AF">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61C1" w14:textId="77777777" w:rsidR="008821AF" w:rsidRPr="008D5C06" w:rsidRDefault="008821AF">
    <w:pPr>
      <w:pStyle w:val="Piedepgina"/>
      <w:framePr w:wrap="around" w:vAnchor="text" w:hAnchor="margin" w:xAlign="right" w:y="1"/>
      <w:rPr>
        <w:rStyle w:val="Nmerodepgina"/>
        <w:rFonts w:cs="Arial"/>
      </w:rPr>
    </w:pPr>
    <w:r w:rsidRPr="008D5C06">
      <w:rPr>
        <w:rStyle w:val="Nmerodepgina"/>
        <w:rFonts w:cs="Arial"/>
      </w:rPr>
      <w:fldChar w:fldCharType="begin"/>
    </w:r>
    <w:r w:rsidRPr="008D5C06">
      <w:rPr>
        <w:rStyle w:val="Nmerodepgina"/>
        <w:rFonts w:cs="Arial"/>
      </w:rPr>
      <w:instrText xml:space="preserve">PAGE  </w:instrText>
    </w:r>
    <w:r w:rsidRPr="008D5C06">
      <w:rPr>
        <w:rStyle w:val="Nmerodepgina"/>
        <w:rFonts w:cs="Arial"/>
      </w:rPr>
      <w:fldChar w:fldCharType="separate"/>
    </w:r>
    <w:r w:rsidRPr="008D5C06">
      <w:rPr>
        <w:rStyle w:val="Nmerodepgina"/>
        <w:rFonts w:cs="Arial"/>
      </w:rPr>
      <w:t>36</w:t>
    </w:r>
    <w:r w:rsidRPr="008D5C06">
      <w:rPr>
        <w:rStyle w:val="Nmerodepgina"/>
        <w:rFonts w:cs="Arial"/>
      </w:rPr>
      <w:fldChar w:fldCharType="end"/>
    </w:r>
  </w:p>
  <w:p w14:paraId="5FA7E667" w14:textId="77777777" w:rsidR="008821AF" w:rsidRPr="008D5C06" w:rsidRDefault="008821A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5251F" w14:textId="77777777" w:rsidR="0015459B" w:rsidRPr="008D5C06" w:rsidRDefault="0015459B">
      <w:r w:rsidRPr="008D5C06">
        <w:separator/>
      </w:r>
    </w:p>
  </w:footnote>
  <w:footnote w:type="continuationSeparator" w:id="0">
    <w:p w14:paraId="58FFD98E" w14:textId="77777777" w:rsidR="0015459B" w:rsidRPr="008D5C06" w:rsidRDefault="0015459B">
      <w:r w:rsidRPr="008D5C06">
        <w:continuationSeparator/>
      </w:r>
    </w:p>
  </w:footnote>
  <w:footnote w:id="1">
    <w:p w14:paraId="0EA14DA5" w14:textId="77777777" w:rsidR="0087521C" w:rsidRDefault="0087521C" w:rsidP="0087521C">
      <w:pPr>
        <w:pStyle w:val="Textonotapie"/>
        <w:rPr>
          <w:sz w:val="16"/>
        </w:rPr>
      </w:pPr>
      <w:r w:rsidRPr="008D5C06">
        <w:rPr>
          <w:rStyle w:val="Refdenotaalpie"/>
          <w:b/>
          <w:sz w:val="16"/>
        </w:rPr>
        <w:footnoteRef/>
      </w:r>
      <w:r w:rsidRPr="008D5C06">
        <w:rPr>
          <w:sz w:val="16"/>
        </w:rPr>
        <w:t xml:space="preserve"> Valuaciones Actuariales del Norte, S.C. Consultoría Actuarial.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2400DC6"/>
    <w:multiLevelType w:val="hybridMultilevel"/>
    <w:tmpl w:val="7D8834C6"/>
    <w:lvl w:ilvl="0" w:tplc="12CA27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4551C"/>
    <w:multiLevelType w:val="hybridMultilevel"/>
    <w:tmpl w:val="82CAF934"/>
    <w:lvl w:ilvl="0" w:tplc="C6206CFC">
      <w:start w:val="1"/>
      <w:numFmt w:val="lowerLetter"/>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0943"/>
    <w:multiLevelType w:val="hybridMultilevel"/>
    <w:tmpl w:val="169E0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CA35B8"/>
    <w:multiLevelType w:val="hybridMultilevel"/>
    <w:tmpl w:val="24ECE89C"/>
    <w:lvl w:ilvl="0" w:tplc="368E619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B900CD"/>
    <w:multiLevelType w:val="hybridMultilevel"/>
    <w:tmpl w:val="294486F8"/>
    <w:lvl w:ilvl="0" w:tplc="7A1E77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965895"/>
    <w:multiLevelType w:val="multilevel"/>
    <w:tmpl w:val="4E58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161EC"/>
    <w:multiLevelType w:val="hybridMultilevel"/>
    <w:tmpl w:val="73B212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2668AC"/>
    <w:multiLevelType w:val="hybridMultilevel"/>
    <w:tmpl w:val="C5DE84E8"/>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659FB"/>
    <w:multiLevelType w:val="hybridMultilevel"/>
    <w:tmpl w:val="A4BEBF74"/>
    <w:lvl w:ilvl="0" w:tplc="3D5EA606">
      <w:start w:val="1"/>
      <w:numFmt w:val="decimal"/>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CD364E"/>
    <w:multiLevelType w:val="hybridMultilevel"/>
    <w:tmpl w:val="42D8BA14"/>
    <w:lvl w:ilvl="0" w:tplc="A0A44760">
      <w:start w:val="1"/>
      <w:numFmt w:val="decimal"/>
      <w:lvlText w:val="%1."/>
      <w:lvlJc w:val="left"/>
      <w:pPr>
        <w:ind w:left="720" w:hanging="360"/>
      </w:pPr>
      <w:rPr>
        <w:rFonts w:hint="default"/>
        <w:b/>
      </w:rPr>
    </w:lvl>
    <w:lvl w:ilvl="1" w:tplc="259AD21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6E9372A"/>
    <w:multiLevelType w:val="hybridMultilevel"/>
    <w:tmpl w:val="FB409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3043E1"/>
    <w:multiLevelType w:val="hybridMultilevel"/>
    <w:tmpl w:val="260608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373E1C"/>
    <w:multiLevelType w:val="hybridMultilevel"/>
    <w:tmpl w:val="48904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4A1225"/>
    <w:multiLevelType w:val="hybridMultilevel"/>
    <w:tmpl w:val="73B21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670E4"/>
    <w:multiLevelType w:val="hybridMultilevel"/>
    <w:tmpl w:val="6D467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7349F3"/>
    <w:multiLevelType w:val="hybridMultilevel"/>
    <w:tmpl w:val="56E04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135B21"/>
    <w:multiLevelType w:val="hybridMultilevel"/>
    <w:tmpl w:val="A9C22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411599"/>
    <w:multiLevelType w:val="hybridMultilevel"/>
    <w:tmpl w:val="26060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E6B59"/>
    <w:multiLevelType w:val="multilevel"/>
    <w:tmpl w:val="289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3C1B82"/>
    <w:multiLevelType w:val="hybridMultilevel"/>
    <w:tmpl w:val="4D763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06EC6"/>
    <w:multiLevelType w:val="hybridMultilevel"/>
    <w:tmpl w:val="F4FE414E"/>
    <w:lvl w:ilvl="0" w:tplc="97FE64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8E4C6A"/>
    <w:multiLevelType w:val="multilevel"/>
    <w:tmpl w:val="7E6A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F90B5A"/>
    <w:multiLevelType w:val="hybridMultilevel"/>
    <w:tmpl w:val="4AA4E1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0A7515"/>
    <w:multiLevelType w:val="hybridMultilevel"/>
    <w:tmpl w:val="4AA4E1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C81E3F"/>
    <w:multiLevelType w:val="hybridMultilevel"/>
    <w:tmpl w:val="0538A590"/>
    <w:lvl w:ilvl="0" w:tplc="0540A05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8" w15:restartNumberingAfterBreak="0">
    <w:nsid w:val="68AF462E"/>
    <w:multiLevelType w:val="hybridMultilevel"/>
    <w:tmpl w:val="B89CA992"/>
    <w:lvl w:ilvl="0" w:tplc="C120A2B0">
      <w:start w:val="1"/>
      <w:numFmt w:val="upperRoman"/>
      <w:lvlText w:val="%1."/>
      <w:lvlJc w:val="left"/>
      <w:pPr>
        <w:ind w:left="1080" w:hanging="720"/>
      </w:pPr>
      <w:rPr>
        <w:rFonts w:ascii="Times New Roman" w:hAnsi="Times New Roman" w:cs="Times New Roman"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3443F2"/>
    <w:multiLevelType w:val="multilevel"/>
    <w:tmpl w:val="206E86AE"/>
    <w:lvl w:ilvl="0">
      <w:start w:val="1"/>
      <w:numFmt w:val="upperRoman"/>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39C71E2"/>
    <w:multiLevelType w:val="hybridMultilevel"/>
    <w:tmpl w:val="C6786C80"/>
    <w:lvl w:ilvl="0" w:tplc="0C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1" w15:restartNumberingAfterBreak="0">
    <w:nsid w:val="75465944"/>
    <w:multiLevelType w:val="hybridMultilevel"/>
    <w:tmpl w:val="4AA4E120"/>
    <w:lvl w:ilvl="0" w:tplc="5FCC916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FC07FB"/>
    <w:multiLevelType w:val="hybridMultilevel"/>
    <w:tmpl w:val="9774D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7811689">
    <w:abstractNumId w:val="12"/>
  </w:num>
  <w:num w:numId="2" w16cid:durableId="26834206">
    <w:abstractNumId w:val="0"/>
  </w:num>
  <w:num w:numId="3" w16cid:durableId="1793212027">
    <w:abstractNumId w:val="10"/>
  </w:num>
  <w:num w:numId="4" w16cid:durableId="486871612">
    <w:abstractNumId w:val="11"/>
  </w:num>
  <w:num w:numId="5" w16cid:durableId="1220937929">
    <w:abstractNumId w:val="23"/>
  </w:num>
  <w:num w:numId="6" w16cid:durableId="1340693909">
    <w:abstractNumId w:val="6"/>
  </w:num>
  <w:num w:numId="7" w16cid:durableId="44791627">
    <w:abstractNumId w:val="28"/>
  </w:num>
  <w:num w:numId="8" w16cid:durableId="1112938604">
    <w:abstractNumId w:val="5"/>
  </w:num>
  <w:num w:numId="9" w16cid:durableId="620721192">
    <w:abstractNumId w:val="9"/>
  </w:num>
  <w:num w:numId="10" w16cid:durableId="453132393">
    <w:abstractNumId w:val="30"/>
  </w:num>
  <w:num w:numId="11" w16cid:durableId="120418060">
    <w:abstractNumId w:val="29"/>
  </w:num>
  <w:num w:numId="12" w16cid:durableId="1957832490">
    <w:abstractNumId w:val="16"/>
  </w:num>
  <w:num w:numId="13" w16cid:durableId="1521622584">
    <w:abstractNumId w:val="15"/>
  </w:num>
  <w:num w:numId="14" w16cid:durableId="110709774">
    <w:abstractNumId w:val="31"/>
  </w:num>
  <w:num w:numId="15" w16cid:durableId="2115318121">
    <w:abstractNumId w:val="1"/>
  </w:num>
  <w:num w:numId="16" w16cid:durableId="607740396">
    <w:abstractNumId w:val="27"/>
  </w:num>
  <w:num w:numId="17" w16cid:durableId="1778987401">
    <w:abstractNumId w:val="8"/>
  </w:num>
  <w:num w:numId="18" w16cid:durableId="2019185966">
    <w:abstractNumId w:val="19"/>
  </w:num>
  <w:num w:numId="19" w16cid:durableId="858205685">
    <w:abstractNumId w:val="25"/>
  </w:num>
  <w:num w:numId="20" w16cid:durableId="562645756">
    <w:abstractNumId w:val="4"/>
  </w:num>
  <w:num w:numId="21" w16cid:durableId="1299455930">
    <w:abstractNumId w:val="26"/>
  </w:num>
  <w:num w:numId="22" w16cid:durableId="1954940497">
    <w:abstractNumId w:val="2"/>
  </w:num>
  <w:num w:numId="23" w16cid:durableId="912395838">
    <w:abstractNumId w:val="32"/>
  </w:num>
  <w:num w:numId="24" w16cid:durableId="1881548880">
    <w:abstractNumId w:val="7"/>
  </w:num>
  <w:num w:numId="25" w16cid:durableId="1557349892">
    <w:abstractNumId w:val="21"/>
  </w:num>
  <w:num w:numId="26" w16cid:durableId="1313294246">
    <w:abstractNumId w:val="3"/>
  </w:num>
  <w:num w:numId="27" w16cid:durableId="1221941239">
    <w:abstractNumId w:val="22"/>
  </w:num>
  <w:num w:numId="28" w16cid:durableId="1292055596">
    <w:abstractNumId w:val="14"/>
  </w:num>
  <w:num w:numId="29" w16cid:durableId="1767114526">
    <w:abstractNumId w:val="20"/>
  </w:num>
  <w:num w:numId="30" w16cid:durableId="1160972688">
    <w:abstractNumId w:val="24"/>
  </w:num>
  <w:num w:numId="31" w16cid:durableId="1518301666">
    <w:abstractNumId w:val="13"/>
  </w:num>
  <w:num w:numId="32" w16cid:durableId="1656568063">
    <w:abstractNumId w:val="17"/>
  </w:num>
  <w:num w:numId="33" w16cid:durableId="4887909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06"/>
    <w:rsid w:val="00001E27"/>
    <w:rsid w:val="00002B79"/>
    <w:rsid w:val="00004D68"/>
    <w:rsid w:val="000055DB"/>
    <w:rsid w:val="00010317"/>
    <w:rsid w:val="000103AD"/>
    <w:rsid w:val="0001347A"/>
    <w:rsid w:val="00015FC2"/>
    <w:rsid w:val="00016BF7"/>
    <w:rsid w:val="00020D4C"/>
    <w:rsid w:val="00021E44"/>
    <w:rsid w:val="000224CE"/>
    <w:rsid w:val="00023D22"/>
    <w:rsid w:val="00024BBD"/>
    <w:rsid w:val="00026965"/>
    <w:rsid w:val="00031824"/>
    <w:rsid w:val="00032FE0"/>
    <w:rsid w:val="00034E31"/>
    <w:rsid w:val="00035F96"/>
    <w:rsid w:val="00037736"/>
    <w:rsid w:val="00040424"/>
    <w:rsid w:val="00042EE9"/>
    <w:rsid w:val="00050355"/>
    <w:rsid w:val="0005244B"/>
    <w:rsid w:val="000654C8"/>
    <w:rsid w:val="00073DD1"/>
    <w:rsid w:val="00074A01"/>
    <w:rsid w:val="00074F1D"/>
    <w:rsid w:val="00083421"/>
    <w:rsid w:val="0008551C"/>
    <w:rsid w:val="000878D8"/>
    <w:rsid w:val="00087F59"/>
    <w:rsid w:val="000906CB"/>
    <w:rsid w:val="00092E90"/>
    <w:rsid w:val="00093ECA"/>
    <w:rsid w:val="00094409"/>
    <w:rsid w:val="000A28DC"/>
    <w:rsid w:val="000A2DA0"/>
    <w:rsid w:val="000A6547"/>
    <w:rsid w:val="000A7035"/>
    <w:rsid w:val="000B1DF9"/>
    <w:rsid w:val="000B2F50"/>
    <w:rsid w:val="000B3CD8"/>
    <w:rsid w:val="000B3EC5"/>
    <w:rsid w:val="000B447D"/>
    <w:rsid w:val="000B4484"/>
    <w:rsid w:val="000C0C5F"/>
    <w:rsid w:val="000C20A7"/>
    <w:rsid w:val="000C3023"/>
    <w:rsid w:val="000C3BA3"/>
    <w:rsid w:val="000C41DD"/>
    <w:rsid w:val="000C660E"/>
    <w:rsid w:val="000C7A55"/>
    <w:rsid w:val="000D32C1"/>
    <w:rsid w:val="000D7E0C"/>
    <w:rsid w:val="000E22EE"/>
    <w:rsid w:val="000E473A"/>
    <w:rsid w:val="00105F51"/>
    <w:rsid w:val="00112F31"/>
    <w:rsid w:val="0011317C"/>
    <w:rsid w:val="00116C22"/>
    <w:rsid w:val="001200A0"/>
    <w:rsid w:val="00120A3D"/>
    <w:rsid w:val="0013099F"/>
    <w:rsid w:val="0013358B"/>
    <w:rsid w:val="00137930"/>
    <w:rsid w:val="00142B9B"/>
    <w:rsid w:val="001454AF"/>
    <w:rsid w:val="00150497"/>
    <w:rsid w:val="001537E7"/>
    <w:rsid w:val="0015459B"/>
    <w:rsid w:val="00155545"/>
    <w:rsid w:val="001561BE"/>
    <w:rsid w:val="001566EB"/>
    <w:rsid w:val="00160435"/>
    <w:rsid w:val="001613E4"/>
    <w:rsid w:val="0016347D"/>
    <w:rsid w:val="00176C19"/>
    <w:rsid w:val="00186471"/>
    <w:rsid w:val="00190A3C"/>
    <w:rsid w:val="00193434"/>
    <w:rsid w:val="001948E0"/>
    <w:rsid w:val="00195912"/>
    <w:rsid w:val="001970D5"/>
    <w:rsid w:val="001A2DAB"/>
    <w:rsid w:val="001A6DBE"/>
    <w:rsid w:val="001C0324"/>
    <w:rsid w:val="001C1D19"/>
    <w:rsid w:val="001C4A40"/>
    <w:rsid w:val="001C6D5B"/>
    <w:rsid w:val="001C6DC8"/>
    <w:rsid w:val="001D008B"/>
    <w:rsid w:val="001D20D4"/>
    <w:rsid w:val="001D4071"/>
    <w:rsid w:val="001E1DE1"/>
    <w:rsid w:val="001F469C"/>
    <w:rsid w:val="0020337D"/>
    <w:rsid w:val="0020439C"/>
    <w:rsid w:val="00204965"/>
    <w:rsid w:val="00204FF1"/>
    <w:rsid w:val="00207F77"/>
    <w:rsid w:val="002137BE"/>
    <w:rsid w:val="00214AA1"/>
    <w:rsid w:val="00214DAC"/>
    <w:rsid w:val="002228A9"/>
    <w:rsid w:val="00232BF0"/>
    <w:rsid w:val="00234C54"/>
    <w:rsid w:val="00242716"/>
    <w:rsid w:val="00243796"/>
    <w:rsid w:val="002443B7"/>
    <w:rsid w:val="00250CF0"/>
    <w:rsid w:val="00251521"/>
    <w:rsid w:val="00251D26"/>
    <w:rsid w:val="00251F9E"/>
    <w:rsid w:val="00251FD2"/>
    <w:rsid w:val="00253FEA"/>
    <w:rsid w:val="0025773C"/>
    <w:rsid w:val="00264316"/>
    <w:rsid w:val="002672BD"/>
    <w:rsid w:val="00270689"/>
    <w:rsid w:val="002725F3"/>
    <w:rsid w:val="00273AE8"/>
    <w:rsid w:val="00281FE2"/>
    <w:rsid w:val="00282479"/>
    <w:rsid w:val="00282506"/>
    <w:rsid w:val="002853E3"/>
    <w:rsid w:val="00291755"/>
    <w:rsid w:val="00292677"/>
    <w:rsid w:val="00292FD1"/>
    <w:rsid w:val="002A01E1"/>
    <w:rsid w:val="002A1059"/>
    <w:rsid w:val="002A214E"/>
    <w:rsid w:val="002A27AA"/>
    <w:rsid w:val="002A437F"/>
    <w:rsid w:val="002B1C7D"/>
    <w:rsid w:val="002B46AF"/>
    <w:rsid w:val="002B4F01"/>
    <w:rsid w:val="002B50CC"/>
    <w:rsid w:val="002B5B77"/>
    <w:rsid w:val="002C0415"/>
    <w:rsid w:val="002C08FB"/>
    <w:rsid w:val="002C0BAA"/>
    <w:rsid w:val="002C78C7"/>
    <w:rsid w:val="002D0888"/>
    <w:rsid w:val="002D60EB"/>
    <w:rsid w:val="002D7470"/>
    <w:rsid w:val="002E04AC"/>
    <w:rsid w:val="002E2011"/>
    <w:rsid w:val="002E419D"/>
    <w:rsid w:val="002F069A"/>
    <w:rsid w:val="002F669A"/>
    <w:rsid w:val="00300524"/>
    <w:rsid w:val="00305A0D"/>
    <w:rsid w:val="00305C60"/>
    <w:rsid w:val="00307234"/>
    <w:rsid w:val="00307BBE"/>
    <w:rsid w:val="003132D2"/>
    <w:rsid w:val="00315B69"/>
    <w:rsid w:val="00324AB4"/>
    <w:rsid w:val="0032606E"/>
    <w:rsid w:val="003271E4"/>
    <w:rsid w:val="00331601"/>
    <w:rsid w:val="003341B3"/>
    <w:rsid w:val="00337BE5"/>
    <w:rsid w:val="00341CAE"/>
    <w:rsid w:val="00356BF5"/>
    <w:rsid w:val="00365AAF"/>
    <w:rsid w:val="0037133F"/>
    <w:rsid w:val="003720AA"/>
    <w:rsid w:val="00375358"/>
    <w:rsid w:val="00380210"/>
    <w:rsid w:val="003812A3"/>
    <w:rsid w:val="003815FC"/>
    <w:rsid w:val="003837C1"/>
    <w:rsid w:val="0038642B"/>
    <w:rsid w:val="00387892"/>
    <w:rsid w:val="0039140C"/>
    <w:rsid w:val="003964DC"/>
    <w:rsid w:val="00396C13"/>
    <w:rsid w:val="003A0885"/>
    <w:rsid w:val="003A0ED8"/>
    <w:rsid w:val="003A5D15"/>
    <w:rsid w:val="003B312C"/>
    <w:rsid w:val="003B4712"/>
    <w:rsid w:val="003B4EED"/>
    <w:rsid w:val="003B5072"/>
    <w:rsid w:val="003B7656"/>
    <w:rsid w:val="003C06FA"/>
    <w:rsid w:val="003C0BD9"/>
    <w:rsid w:val="003C4100"/>
    <w:rsid w:val="003C7532"/>
    <w:rsid w:val="003D035E"/>
    <w:rsid w:val="003D2F10"/>
    <w:rsid w:val="003D6417"/>
    <w:rsid w:val="003E0A07"/>
    <w:rsid w:val="003E0A95"/>
    <w:rsid w:val="003E3DC5"/>
    <w:rsid w:val="003E4FAF"/>
    <w:rsid w:val="003E5DCB"/>
    <w:rsid w:val="003F223F"/>
    <w:rsid w:val="003F4C04"/>
    <w:rsid w:val="003F6D25"/>
    <w:rsid w:val="0040025C"/>
    <w:rsid w:val="00401FD5"/>
    <w:rsid w:val="00404ED7"/>
    <w:rsid w:val="00411B80"/>
    <w:rsid w:val="004137FC"/>
    <w:rsid w:val="00416FED"/>
    <w:rsid w:val="004203F5"/>
    <w:rsid w:val="004208F6"/>
    <w:rsid w:val="00422BF2"/>
    <w:rsid w:val="0042364D"/>
    <w:rsid w:val="004261E4"/>
    <w:rsid w:val="004301B9"/>
    <w:rsid w:val="00437775"/>
    <w:rsid w:val="00440FE0"/>
    <w:rsid w:val="00441E69"/>
    <w:rsid w:val="00441F70"/>
    <w:rsid w:val="00443DA8"/>
    <w:rsid w:val="0044592D"/>
    <w:rsid w:val="00446C7F"/>
    <w:rsid w:val="004475A0"/>
    <w:rsid w:val="00450AD2"/>
    <w:rsid w:val="00454863"/>
    <w:rsid w:val="004641BE"/>
    <w:rsid w:val="00467158"/>
    <w:rsid w:val="00472CD0"/>
    <w:rsid w:val="0047517D"/>
    <w:rsid w:val="004756D6"/>
    <w:rsid w:val="00475AD7"/>
    <w:rsid w:val="004810A1"/>
    <w:rsid w:val="00482363"/>
    <w:rsid w:val="00483011"/>
    <w:rsid w:val="004848C9"/>
    <w:rsid w:val="00493A8C"/>
    <w:rsid w:val="00496C2E"/>
    <w:rsid w:val="004A6DB1"/>
    <w:rsid w:val="004B31E9"/>
    <w:rsid w:val="004B6883"/>
    <w:rsid w:val="004C008E"/>
    <w:rsid w:val="004C1739"/>
    <w:rsid w:val="004C293C"/>
    <w:rsid w:val="004C3385"/>
    <w:rsid w:val="004C5087"/>
    <w:rsid w:val="004E1450"/>
    <w:rsid w:val="004E5730"/>
    <w:rsid w:val="004E7178"/>
    <w:rsid w:val="004F1373"/>
    <w:rsid w:val="004F36F3"/>
    <w:rsid w:val="004F5371"/>
    <w:rsid w:val="005020AE"/>
    <w:rsid w:val="005020D0"/>
    <w:rsid w:val="00503227"/>
    <w:rsid w:val="00505907"/>
    <w:rsid w:val="00510A66"/>
    <w:rsid w:val="00510AE4"/>
    <w:rsid w:val="00510CD3"/>
    <w:rsid w:val="00512435"/>
    <w:rsid w:val="00514242"/>
    <w:rsid w:val="00515788"/>
    <w:rsid w:val="00516D73"/>
    <w:rsid w:val="00517B48"/>
    <w:rsid w:val="00523617"/>
    <w:rsid w:val="005246DB"/>
    <w:rsid w:val="00524D53"/>
    <w:rsid w:val="00526DEC"/>
    <w:rsid w:val="0053437E"/>
    <w:rsid w:val="00536C11"/>
    <w:rsid w:val="00541030"/>
    <w:rsid w:val="00541599"/>
    <w:rsid w:val="0054274A"/>
    <w:rsid w:val="0054384C"/>
    <w:rsid w:val="00544DD7"/>
    <w:rsid w:val="0054669D"/>
    <w:rsid w:val="00546913"/>
    <w:rsid w:val="005536A1"/>
    <w:rsid w:val="005541CC"/>
    <w:rsid w:val="00554933"/>
    <w:rsid w:val="00555D62"/>
    <w:rsid w:val="005563A4"/>
    <w:rsid w:val="0055675E"/>
    <w:rsid w:val="00556DA1"/>
    <w:rsid w:val="0056309B"/>
    <w:rsid w:val="00563A21"/>
    <w:rsid w:val="00573DC4"/>
    <w:rsid w:val="0057449A"/>
    <w:rsid w:val="00574D3F"/>
    <w:rsid w:val="00575438"/>
    <w:rsid w:val="0057582B"/>
    <w:rsid w:val="00582563"/>
    <w:rsid w:val="005936CF"/>
    <w:rsid w:val="00594209"/>
    <w:rsid w:val="005A18FB"/>
    <w:rsid w:val="005A40B3"/>
    <w:rsid w:val="005B0395"/>
    <w:rsid w:val="005B0464"/>
    <w:rsid w:val="005B0DFD"/>
    <w:rsid w:val="005B2E2A"/>
    <w:rsid w:val="005B4BAA"/>
    <w:rsid w:val="005C2F66"/>
    <w:rsid w:val="005C6F3F"/>
    <w:rsid w:val="005C763D"/>
    <w:rsid w:val="005D0B4B"/>
    <w:rsid w:val="005E1476"/>
    <w:rsid w:val="005E1DC0"/>
    <w:rsid w:val="005E37C8"/>
    <w:rsid w:val="005E7B8E"/>
    <w:rsid w:val="005F430F"/>
    <w:rsid w:val="005F4A89"/>
    <w:rsid w:val="005F768E"/>
    <w:rsid w:val="005F7C00"/>
    <w:rsid w:val="006011E9"/>
    <w:rsid w:val="006018F4"/>
    <w:rsid w:val="00616ACA"/>
    <w:rsid w:val="006172BD"/>
    <w:rsid w:val="0062076C"/>
    <w:rsid w:val="0062286E"/>
    <w:rsid w:val="006234EE"/>
    <w:rsid w:val="006368A1"/>
    <w:rsid w:val="006534B9"/>
    <w:rsid w:val="0065387B"/>
    <w:rsid w:val="00663B30"/>
    <w:rsid w:val="0066688B"/>
    <w:rsid w:val="0066734A"/>
    <w:rsid w:val="0067259C"/>
    <w:rsid w:val="006752D5"/>
    <w:rsid w:val="0067533C"/>
    <w:rsid w:val="0069230A"/>
    <w:rsid w:val="0069623B"/>
    <w:rsid w:val="00696753"/>
    <w:rsid w:val="00697338"/>
    <w:rsid w:val="00697D52"/>
    <w:rsid w:val="006A3317"/>
    <w:rsid w:val="006A40D1"/>
    <w:rsid w:val="006A7088"/>
    <w:rsid w:val="006A70E2"/>
    <w:rsid w:val="006B33D4"/>
    <w:rsid w:val="006B67BE"/>
    <w:rsid w:val="006B70E0"/>
    <w:rsid w:val="006C18C8"/>
    <w:rsid w:val="006C443D"/>
    <w:rsid w:val="006D1182"/>
    <w:rsid w:val="006D2751"/>
    <w:rsid w:val="006D2A23"/>
    <w:rsid w:val="006E2945"/>
    <w:rsid w:val="006E306C"/>
    <w:rsid w:val="006E359D"/>
    <w:rsid w:val="006E3FAA"/>
    <w:rsid w:val="006F4CFE"/>
    <w:rsid w:val="006F55BA"/>
    <w:rsid w:val="006F7328"/>
    <w:rsid w:val="00701DE0"/>
    <w:rsid w:val="00701FE0"/>
    <w:rsid w:val="007022CC"/>
    <w:rsid w:val="007023D2"/>
    <w:rsid w:val="00712763"/>
    <w:rsid w:val="00712991"/>
    <w:rsid w:val="00715F67"/>
    <w:rsid w:val="00716174"/>
    <w:rsid w:val="00717B00"/>
    <w:rsid w:val="00720671"/>
    <w:rsid w:val="00721F12"/>
    <w:rsid w:val="007232AC"/>
    <w:rsid w:val="00723DEC"/>
    <w:rsid w:val="007250B0"/>
    <w:rsid w:val="007309BA"/>
    <w:rsid w:val="0073239C"/>
    <w:rsid w:val="00745AC2"/>
    <w:rsid w:val="00747ADC"/>
    <w:rsid w:val="00752649"/>
    <w:rsid w:val="00753BE4"/>
    <w:rsid w:val="00755A1E"/>
    <w:rsid w:val="0076187B"/>
    <w:rsid w:val="00762E15"/>
    <w:rsid w:val="007753D3"/>
    <w:rsid w:val="007834D2"/>
    <w:rsid w:val="007844AD"/>
    <w:rsid w:val="00784FA4"/>
    <w:rsid w:val="0078560A"/>
    <w:rsid w:val="007866EB"/>
    <w:rsid w:val="007868F3"/>
    <w:rsid w:val="00787F8F"/>
    <w:rsid w:val="007955E2"/>
    <w:rsid w:val="007A7751"/>
    <w:rsid w:val="007A7DC6"/>
    <w:rsid w:val="007C1280"/>
    <w:rsid w:val="007C2032"/>
    <w:rsid w:val="007C617C"/>
    <w:rsid w:val="007D1162"/>
    <w:rsid w:val="007D3F25"/>
    <w:rsid w:val="007D61F9"/>
    <w:rsid w:val="007D7C9D"/>
    <w:rsid w:val="007E30B1"/>
    <w:rsid w:val="007E4BD7"/>
    <w:rsid w:val="007E5DA3"/>
    <w:rsid w:val="007F4207"/>
    <w:rsid w:val="007F5F4B"/>
    <w:rsid w:val="007F7F99"/>
    <w:rsid w:val="00800EE6"/>
    <w:rsid w:val="008024E3"/>
    <w:rsid w:val="008036D5"/>
    <w:rsid w:val="0080462F"/>
    <w:rsid w:val="00805326"/>
    <w:rsid w:val="00805DF4"/>
    <w:rsid w:val="008075CE"/>
    <w:rsid w:val="00810743"/>
    <w:rsid w:val="008108AB"/>
    <w:rsid w:val="00812CCB"/>
    <w:rsid w:val="0081512A"/>
    <w:rsid w:val="0081541B"/>
    <w:rsid w:val="00816F1B"/>
    <w:rsid w:val="00820C9B"/>
    <w:rsid w:val="008236F4"/>
    <w:rsid w:val="008255C6"/>
    <w:rsid w:val="00826703"/>
    <w:rsid w:val="00826AA5"/>
    <w:rsid w:val="0083666F"/>
    <w:rsid w:val="008366A1"/>
    <w:rsid w:val="008438D6"/>
    <w:rsid w:val="008446D7"/>
    <w:rsid w:val="00851548"/>
    <w:rsid w:val="00855A21"/>
    <w:rsid w:val="00862374"/>
    <w:rsid w:val="00863168"/>
    <w:rsid w:val="008713EC"/>
    <w:rsid w:val="008732F0"/>
    <w:rsid w:val="0087521C"/>
    <w:rsid w:val="0087584C"/>
    <w:rsid w:val="008770A0"/>
    <w:rsid w:val="00880524"/>
    <w:rsid w:val="00880925"/>
    <w:rsid w:val="008821AF"/>
    <w:rsid w:val="00890C8D"/>
    <w:rsid w:val="00891804"/>
    <w:rsid w:val="008975E5"/>
    <w:rsid w:val="008A10A6"/>
    <w:rsid w:val="008A5D56"/>
    <w:rsid w:val="008A5D7E"/>
    <w:rsid w:val="008A5EF7"/>
    <w:rsid w:val="008A7C73"/>
    <w:rsid w:val="008B4F7C"/>
    <w:rsid w:val="008B51C5"/>
    <w:rsid w:val="008B75C8"/>
    <w:rsid w:val="008C0E1F"/>
    <w:rsid w:val="008C0F7F"/>
    <w:rsid w:val="008C1B4C"/>
    <w:rsid w:val="008C2471"/>
    <w:rsid w:val="008C2A08"/>
    <w:rsid w:val="008D2603"/>
    <w:rsid w:val="008D5C06"/>
    <w:rsid w:val="008D76B5"/>
    <w:rsid w:val="008E0268"/>
    <w:rsid w:val="008E5ACF"/>
    <w:rsid w:val="008F3C86"/>
    <w:rsid w:val="00905B1F"/>
    <w:rsid w:val="00906252"/>
    <w:rsid w:val="00906627"/>
    <w:rsid w:val="009134B9"/>
    <w:rsid w:val="0091461D"/>
    <w:rsid w:val="0092056F"/>
    <w:rsid w:val="009233F1"/>
    <w:rsid w:val="009364A4"/>
    <w:rsid w:val="009412AB"/>
    <w:rsid w:val="00945E72"/>
    <w:rsid w:val="0095307C"/>
    <w:rsid w:val="009535F7"/>
    <w:rsid w:val="0095557D"/>
    <w:rsid w:val="00955A2D"/>
    <w:rsid w:val="0096052A"/>
    <w:rsid w:val="00961C48"/>
    <w:rsid w:val="00964EFA"/>
    <w:rsid w:val="009729C0"/>
    <w:rsid w:val="00972C46"/>
    <w:rsid w:val="00983B48"/>
    <w:rsid w:val="00987229"/>
    <w:rsid w:val="00991389"/>
    <w:rsid w:val="00996DAB"/>
    <w:rsid w:val="009A5752"/>
    <w:rsid w:val="009A66F7"/>
    <w:rsid w:val="009B6731"/>
    <w:rsid w:val="009B6BC1"/>
    <w:rsid w:val="009C1CB9"/>
    <w:rsid w:val="009C2CC6"/>
    <w:rsid w:val="009C339D"/>
    <w:rsid w:val="009C4C95"/>
    <w:rsid w:val="009C5814"/>
    <w:rsid w:val="009D5055"/>
    <w:rsid w:val="009D766B"/>
    <w:rsid w:val="009D7DCC"/>
    <w:rsid w:val="009E426E"/>
    <w:rsid w:val="009E6843"/>
    <w:rsid w:val="009F1277"/>
    <w:rsid w:val="009F6475"/>
    <w:rsid w:val="009F673E"/>
    <w:rsid w:val="00A0268E"/>
    <w:rsid w:val="00A0389A"/>
    <w:rsid w:val="00A04790"/>
    <w:rsid w:val="00A065F3"/>
    <w:rsid w:val="00A15C5A"/>
    <w:rsid w:val="00A23D70"/>
    <w:rsid w:val="00A25FE3"/>
    <w:rsid w:val="00A272C4"/>
    <w:rsid w:val="00A27D68"/>
    <w:rsid w:val="00A31B3A"/>
    <w:rsid w:val="00A32081"/>
    <w:rsid w:val="00A33029"/>
    <w:rsid w:val="00A442E2"/>
    <w:rsid w:val="00A50752"/>
    <w:rsid w:val="00A530A6"/>
    <w:rsid w:val="00A536A4"/>
    <w:rsid w:val="00A53EF7"/>
    <w:rsid w:val="00A5459D"/>
    <w:rsid w:val="00A557D1"/>
    <w:rsid w:val="00A5768F"/>
    <w:rsid w:val="00A6048B"/>
    <w:rsid w:val="00A6447F"/>
    <w:rsid w:val="00A730BB"/>
    <w:rsid w:val="00A74862"/>
    <w:rsid w:val="00A81FE7"/>
    <w:rsid w:val="00A87925"/>
    <w:rsid w:val="00A87FD2"/>
    <w:rsid w:val="00A939E3"/>
    <w:rsid w:val="00A968E1"/>
    <w:rsid w:val="00AA0BC9"/>
    <w:rsid w:val="00AA5608"/>
    <w:rsid w:val="00AA7AB0"/>
    <w:rsid w:val="00AB073D"/>
    <w:rsid w:val="00AB189C"/>
    <w:rsid w:val="00AB29B7"/>
    <w:rsid w:val="00AB505B"/>
    <w:rsid w:val="00AC679F"/>
    <w:rsid w:val="00AD77AC"/>
    <w:rsid w:val="00AD7E91"/>
    <w:rsid w:val="00AF2386"/>
    <w:rsid w:val="00AF61E8"/>
    <w:rsid w:val="00AF6F8C"/>
    <w:rsid w:val="00AF79A0"/>
    <w:rsid w:val="00AF7EAD"/>
    <w:rsid w:val="00B03E73"/>
    <w:rsid w:val="00B048E2"/>
    <w:rsid w:val="00B12690"/>
    <w:rsid w:val="00B159BA"/>
    <w:rsid w:val="00B169FB"/>
    <w:rsid w:val="00B2011F"/>
    <w:rsid w:val="00B21A0A"/>
    <w:rsid w:val="00B227CE"/>
    <w:rsid w:val="00B2523F"/>
    <w:rsid w:val="00B259BE"/>
    <w:rsid w:val="00B3382A"/>
    <w:rsid w:val="00B36D56"/>
    <w:rsid w:val="00B43091"/>
    <w:rsid w:val="00B476A1"/>
    <w:rsid w:val="00B63A2F"/>
    <w:rsid w:val="00B64125"/>
    <w:rsid w:val="00B64B2D"/>
    <w:rsid w:val="00B70DA4"/>
    <w:rsid w:val="00B71059"/>
    <w:rsid w:val="00B72791"/>
    <w:rsid w:val="00B75492"/>
    <w:rsid w:val="00B7735E"/>
    <w:rsid w:val="00B83DFC"/>
    <w:rsid w:val="00B8446B"/>
    <w:rsid w:val="00B968FD"/>
    <w:rsid w:val="00B97725"/>
    <w:rsid w:val="00BA14A4"/>
    <w:rsid w:val="00BB1752"/>
    <w:rsid w:val="00BB1FA3"/>
    <w:rsid w:val="00BB62C6"/>
    <w:rsid w:val="00BC071C"/>
    <w:rsid w:val="00BD0890"/>
    <w:rsid w:val="00BD0BF7"/>
    <w:rsid w:val="00BD1B03"/>
    <w:rsid w:val="00BD57D7"/>
    <w:rsid w:val="00BD7387"/>
    <w:rsid w:val="00BE2E23"/>
    <w:rsid w:val="00BF1542"/>
    <w:rsid w:val="00BF1B50"/>
    <w:rsid w:val="00C01417"/>
    <w:rsid w:val="00C03ED6"/>
    <w:rsid w:val="00C07F1E"/>
    <w:rsid w:val="00C15684"/>
    <w:rsid w:val="00C24648"/>
    <w:rsid w:val="00C2582E"/>
    <w:rsid w:val="00C313FA"/>
    <w:rsid w:val="00C336E0"/>
    <w:rsid w:val="00C34D4C"/>
    <w:rsid w:val="00C37DDC"/>
    <w:rsid w:val="00C403A2"/>
    <w:rsid w:val="00C450A8"/>
    <w:rsid w:val="00C46B27"/>
    <w:rsid w:val="00C50CF0"/>
    <w:rsid w:val="00C54DBE"/>
    <w:rsid w:val="00C5515B"/>
    <w:rsid w:val="00C6308A"/>
    <w:rsid w:val="00C6595C"/>
    <w:rsid w:val="00C70C3A"/>
    <w:rsid w:val="00C72154"/>
    <w:rsid w:val="00C72649"/>
    <w:rsid w:val="00C74003"/>
    <w:rsid w:val="00C745AF"/>
    <w:rsid w:val="00C75474"/>
    <w:rsid w:val="00C84D87"/>
    <w:rsid w:val="00C8651B"/>
    <w:rsid w:val="00C92FB2"/>
    <w:rsid w:val="00C94FAF"/>
    <w:rsid w:val="00C96357"/>
    <w:rsid w:val="00CA0BE0"/>
    <w:rsid w:val="00CA2F0D"/>
    <w:rsid w:val="00CA3D2B"/>
    <w:rsid w:val="00CA5DED"/>
    <w:rsid w:val="00CB085B"/>
    <w:rsid w:val="00CB296C"/>
    <w:rsid w:val="00CB6A71"/>
    <w:rsid w:val="00CD1674"/>
    <w:rsid w:val="00CD5B21"/>
    <w:rsid w:val="00CE2692"/>
    <w:rsid w:val="00CE5DFC"/>
    <w:rsid w:val="00CE6938"/>
    <w:rsid w:val="00CF078B"/>
    <w:rsid w:val="00CF142C"/>
    <w:rsid w:val="00CF4D14"/>
    <w:rsid w:val="00CF69DD"/>
    <w:rsid w:val="00D01383"/>
    <w:rsid w:val="00D066BB"/>
    <w:rsid w:val="00D073C3"/>
    <w:rsid w:val="00D07E57"/>
    <w:rsid w:val="00D105B7"/>
    <w:rsid w:val="00D1087E"/>
    <w:rsid w:val="00D11FA5"/>
    <w:rsid w:val="00D1215D"/>
    <w:rsid w:val="00D223F7"/>
    <w:rsid w:val="00D25052"/>
    <w:rsid w:val="00D251AD"/>
    <w:rsid w:val="00D25DB3"/>
    <w:rsid w:val="00D36F5C"/>
    <w:rsid w:val="00D3764E"/>
    <w:rsid w:val="00D422F4"/>
    <w:rsid w:val="00D4418D"/>
    <w:rsid w:val="00D454B6"/>
    <w:rsid w:val="00D46040"/>
    <w:rsid w:val="00D54A0B"/>
    <w:rsid w:val="00D62E19"/>
    <w:rsid w:val="00D64E13"/>
    <w:rsid w:val="00D67685"/>
    <w:rsid w:val="00D72A47"/>
    <w:rsid w:val="00D826BC"/>
    <w:rsid w:val="00D87ED9"/>
    <w:rsid w:val="00D90777"/>
    <w:rsid w:val="00D97A16"/>
    <w:rsid w:val="00DA58EE"/>
    <w:rsid w:val="00DA7A45"/>
    <w:rsid w:val="00DB11CB"/>
    <w:rsid w:val="00DB14E9"/>
    <w:rsid w:val="00DB1F68"/>
    <w:rsid w:val="00DB37BE"/>
    <w:rsid w:val="00DC4844"/>
    <w:rsid w:val="00DC4DEE"/>
    <w:rsid w:val="00DD6C5E"/>
    <w:rsid w:val="00DE054E"/>
    <w:rsid w:val="00DE191A"/>
    <w:rsid w:val="00DF2303"/>
    <w:rsid w:val="00DF7F1D"/>
    <w:rsid w:val="00E00355"/>
    <w:rsid w:val="00E02AB9"/>
    <w:rsid w:val="00E04EF8"/>
    <w:rsid w:val="00E07074"/>
    <w:rsid w:val="00E130AB"/>
    <w:rsid w:val="00E13789"/>
    <w:rsid w:val="00E1382C"/>
    <w:rsid w:val="00E14320"/>
    <w:rsid w:val="00E16E02"/>
    <w:rsid w:val="00E210E9"/>
    <w:rsid w:val="00E26643"/>
    <w:rsid w:val="00E4052B"/>
    <w:rsid w:val="00E4525F"/>
    <w:rsid w:val="00E45ECA"/>
    <w:rsid w:val="00E472F3"/>
    <w:rsid w:val="00E47661"/>
    <w:rsid w:val="00E51900"/>
    <w:rsid w:val="00E52A75"/>
    <w:rsid w:val="00E629D1"/>
    <w:rsid w:val="00E66491"/>
    <w:rsid w:val="00E71053"/>
    <w:rsid w:val="00E7204D"/>
    <w:rsid w:val="00E737CB"/>
    <w:rsid w:val="00E756B5"/>
    <w:rsid w:val="00E75D58"/>
    <w:rsid w:val="00E83625"/>
    <w:rsid w:val="00E8626E"/>
    <w:rsid w:val="00E863DD"/>
    <w:rsid w:val="00E873EA"/>
    <w:rsid w:val="00E87D4A"/>
    <w:rsid w:val="00E9015F"/>
    <w:rsid w:val="00E9196F"/>
    <w:rsid w:val="00E94933"/>
    <w:rsid w:val="00E954A5"/>
    <w:rsid w:val="00E9591B"/>
    <w:rsid w:val="00E9656E"/>
    <w:rsid w:val="00EA08B5"/>
    <w:rsid w:val="00EA0F18"/>
    <w:rsid w:val="00EA1C52"/>
    <w:rsid w:val="00EA5FCA"/>
    <w:rsid w:val="00EB16CB"/>
    <w:rsid w:val="00EC144A"/>
    <w:rsid w:val="00ED1FF3"/>
    <w:rsid w:val="00ED2A1B"/>
    <w:rsid w:val="00ED2E4D"/>
    <w:rsid w:val="00ED4906"/>
    <w:rsid w:val="00ED73F2"/>
    <w:rsid w:val="00ED7B98"/>
    <w:rsid w:val="00EE1248"/>
    <w:rsid w:val="00EE3DE5"/>
    <w:rsid w:val="00EF092E"/>
    <w:rsid w:val="00EF5D56"/>
    <w:rsid w:val="00EF790C"/>
    <w:rsid w:val="00F01484"/>
    <w:rsid w:val="00F024D6"/>
    <w:rsid w:val="00F03B60"/>
    <w:rsid w:val="00F0506E"/>
    <w:rsid w:val="00F05CF8"/>
    <w:rsid w:val="00F1193B"/>
    <w:rsid w:val="00F13FF0"/>
    <w:rsid w:val="00F15B08"/>
    <w:rsid w:val="00F15FBA"/>
    <w:rsid w:val="00F161F2"/>
    <w:rsid w:val="00F25AAD"/>
    <w:rsid w:val="00F25D74"/>
    <w:rsid w:val="00F27C8A"/>
    <w:rsid w:val="00F34670"/>
    <w:rsid w:val="00F34EF4"/>
    <w:rsid w:val="00F361A9"/>
    <w:rsid w:val="00F426D0"/>
    <w:rsid w:val="00F4307C"/>
    <w:rsid w:val="00F43B8C"/>
    <w:rsid w:val="00F50F07"/>
    <w:rsid w:val="00F55A99"/>
    <w:rsid w:val="00F57110"/>
    <w:rsid w:val="00F65CDD"/>
    <w:rsid w:val="00F700F2"/>
    <w:rsid w:val="00F84278"/>
    <w:rsid w:val="00F85A11"/>
    <w:rsid w:val="00F85B42"/>
    <w:rsid w:val="00F86E9C"/>
    <w:rsid w:val="00F92CA4"/>
    <w:rsid w:val="00FA18A9"/>
    <w:rsid w:val="00FB039C"/>
    <w:rsid w:val="00FB04F5"/>
    <w:rsid w:val="00FB1009"/>
    <w:rsid w:val="00FB302F"/>
    <w:rsid w:val="00FB705F"/>
    <w:rsid w:val="00FC06C0"/>
    <w:rsid w:val="00FC4A6E"/>
    <w:rsid w:val="00FC7790"/>
    <w:rsid w:val="00FD290D"/>
    <w:rsid w:val="00FD37DE"/>
    <w:rsid w:val="00FD5B46"/>
    <w:rsid w:val="00FD5C5A"/>
    <w:rsid w:val="00FD6A5A"/>
    <w:rsid w:val="00FE4376"/>
    <w:rsid w:val="00FF1096"/>
    <w:rsid w:val="00FF4B4F"/>
    <w:rsid w:val="00FF6302"/>
    <w:rsid w:val="00FF6D6C"/>
    <w:rsid w:val="00FF7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F819"/>
  <w15:chartTrackingRefBased/>
  <w15:docId w15:val="{33E83E37-0B06-4FA4-A5D2-EC0DBF26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0B0"/>
    <w:pPr>
      <w:spacing w:after="0" w:line="240" w:lineRule="auto"/>
    </w:pPr>
    <w:rPr>
      <w:rFonts w:ascii="Times New Roman" w:eastAsia="Times New Roman" w:hAnsi="Times New Roman" w:cs="Times New Roman"/>
      <w:sz w:val="24"/>
      <w:szCs w:val="24"/>
      <w:lang w:val="es-MX" w:eastAsia="es-ES"/>
    </w:rPr>
  </w:style>
  <w:style w:type="paragraph" w:styleId="Ttulo1">
    <w:name w:val="heading 1"/>
    <w:basedOn w:val="Normal"/>
    <w:next w:val="Normal"/>
    <w:link w:val="Ttulo1Car"/>
    <w:qFormat/>
    <w:rsid w:val="00282506"/>
    <w:pPr>
      <w:keepNext/>
      <w:tabs>
        <w:tab w:val="left" w:pos="5580"/>
      </w:tabs>
      <w:jc w:val="center"/>
      <w:outlineLvl w:val="0"/>
    </w:pPr>
    <w:rPr>
      <w:b/>
      <w:lang w:val="en-US"/>
    </w:rPr>
  </w:style>
  <w:style w:type="paragraph" w:styleId="Ttulo2">
    <w:name w:val="heading 2"/>
    <w:basedOn w:val="Normal"/>
    <w:next w:val="Normal"/>
    <w:link w:val="Ttulo2Car"/>
    <w:qFormat/>
    <w:rsid w:val="00282506"/>
    <w:pPr>
      <w:keepNext/>
      <w:numPr>
        <w:numId w:val="1"/>
      </w:numPr>
      <w:tabs>
        <w:tab w:val="clear" w:pos="1080"/>
      </w:tabs>
      <w:ind w:left="0" w:firstLine="0"/>
      <w:outlineLvl w:val="1"/>
    </w:pPr>
    <w:rPr>
      <w:b/>
      <w:bCs/>
    </w:rPr>
  </w:style>
  <w:style w:type="paragraph" w:styleId="Ttulo3">
    <w:name w:val="heading 3"/>
    <w:basedOn w:val="Normal"/>
    <w:next w:val="Normal"/>
    <w:link w:val="Ttulo3Car"/>
    <w:qFormat/>
    <w:rsid w:val="00282506"/>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282506"/>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282506"/>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282506"/>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282506"/>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282506"/>
    <w:pPr>
      <w:keepNext/>
      <w:jc w:val="both"/>
      <w:outlineLvl w:val="7"/>
    </w:pPr>
    <w:rPr>
      <w:rFonts w:ascii="Arial" w:hAnsi="Arial" w:cs="Arial"/>
      <w:b/>
      <w:bCs/>
      <w:color w:val="FF0000"/>
    </w:rPr>
  </w:style>
  <w:style w:type="paragraph" w:styleId="Ttulo9">
    <w:name w:val="heading 9"/>
    <w:basedOn w:val="Normal"/>
    <w:next w:val="Normal"/>
    <w:link w:val="Ttulo9Car"/>
    <w:qFormat/>
    <w:rsid w:val="00282506"/>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2506"/>
    <w:rPr>
      <w:rFonts w:ascii="Times New Roman" w:eastAsia="Times New Roman" w:hAnsi="Times New Roman" w:cs="Times New Roman"/>
      <w:b/>
      <w:sz w:val="24"/>
      <w:szCs w:val="24"/>
      <w:lang w:eastAsia="es-ES"/>
    </w:rPr>
  </w:style>
  <w:style w:type="character" w:customStyle="1" w:styleId="Ttulo2Car">
    <w:name w:val="Título 2 Car"/>
    <w:basedOn w:val="Fuentedeprrafopredeter"/>
    <w:link w:val="Ttulo2"/>
    <w:rsid w:val="00282506"/>
    <w:rPr>
      <w:rFonts w:ascii="Times New Roman" w:eastAsia="Times New Roman" w:hAnsi="Times New Roman" w:cs="Times New Roman"/>
      <w:b/>
      <w:bCs/>
      <w:sz w:val="24"/>
      <w:szCs w:val="24"/>
      <w:lang w:val="es-MX" w:eastAsia="es-ES"/>
    </w:rPr>
  </w:style>
  <w:style w:type="character" w:customStyle="1" w:styleId="Ttulo3Car">
    <w:name w:val="Título 3 Car"/>
    <w:basedOn w:val="Fuentedeprrafopredeter"/>
    <w:link w:val="Ttulo3"/>
    <w:rsid w:val="00282506"/>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282506"/>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282506"/>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282506"/>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282506"/>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282506"/>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282506"/>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282506"/>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282506"/>
    <w:rPr>
      <w:rFonts w:ascii="Arial" w:eastAsia="Times New Roman" w:hAnsi="Arial" w:cs="Arial"/>
      <w:b/>
      <w:bCs/>
      <w:sz w:val="20"/>
      <w:szCs w:val="24"/>
      <w:lang w:val="es-ES" w:eastAsia="es-ES"/>
    </w:rPr>
  </w:style>
  <w:style w:type="paragraph" w:styleId="Textoindependiente3">
    <w:name w:val="Body Text 3"/>
    <w:basedOn w:val="Normal"/>
    <w:link w:val="Textoindependiente3Car"/>
    <w:rsid w:val="00282506"/>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rsid w:val="00282506"/>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282506"/>
    <w:rPr>
      <w:rFonts w:ascii="Tahoma" w:hAnsi="Tahoma" w:cs="Tahoma"/>
      <w:sz w:val="28"/>
    </w:rPr>
  </w:style>
  <w:style w:type="character" w:customStyle="1" w:styleId="Textoindependiente2Car">
    <w:name w:val="Texto independiente 2 Car"/>
    <w:basedOn w:val="Fuentedeprrafopredeter"/>
    <w:link w:val="Textoindependiente2"/>
    <w:rsid w:val="00282506"/>
    <w:rPr>
      <w:rFonts w:ascii="Tahoma" w:eastAsia="Times New Roman" w:hAnsi="Tahoma" w:cs="Tahoma"/>
      <w:sz w:val="28"/>
      <w:szCs w:val="24"/>
      <w:lang w:val="es-MX" w:eastAsia="es-ES"/>
    </w:rPr>
  </w:style>
  <w:style w:type="paragraph" w:customStyle="1" w:styleId="PRIMERAPLANA">
    <w:name w:val="PRIMERA PLANA"/>
    <w:basedOn w:val="Normal"/>
    <w:rsid w:val="00282506"/>
    <w:pPr>
      <w:jc w:val="both"/>
    </w:pPr>
    <w:rPr>
      <w:rFonts w:ascii="Arial" w:hAnsi="Arial"/>
      <w:sz w:val="20"/>
      <w:szCs w:val="20"/>
      <w:lang w:val="es-ES_tradnl"/>
    </w:rPr>
  </w:style>
  <w:style w:type="paragraph" w:styleId="NormalWeb">
    <w:name w:val="Normal (Web)"/>
    <w:basedOn w:val="Normal"/>
    <w:uiPriority w:val="99"/>
    <w:rsid w:val="00282506"/>
    <w:pPr>
      <w:spacing w:before="100" w:beforeAutospacing="1" w:after="100" w:afterAutospacing="1"/>
    </w:pPr>
  </w:style>
  <w:style w:type="paragraph" w:customStyle="1" w:styleId="Default">
    <w:name w:val="Default"/>
    <w:rsid w:val="0028250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282506"/>
    <w:pPr>
      <w:tabs>
        <w:tab w:val="center" w:pos="4419"/>
        <w:tab w:val="right" w:pos="8838"/>
      </w:tabs>
    </w:pPr>
  </w:style>
  <w:style w:type="character" w:customStyle="1" w:styleId="PiedepginaCar">
    <w:name w:val="Pie de página Car"/>
    <w:basedOn w:val="Fuentedeprrafopredeter"/>
    <w:link w:val="Piedepgina"/>
    <w:rsid w:val="0028250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82506"/>
  </w:style>
  <w:style w:type="paragraph" w:styleId="Encabezado">
    <w:name w:val="header"/>
    <w:basedOn w:val="Normal"/>
    <w:link w:val="EncabezadoCar"/>
    <w:rsid w:val="00282506"/>
    <w:pPr>
      <w:tabs>
        <w:tab w:val="center" w:pos="4419"/>
        <w:tab w:val="right" w:pos="8838"/>
      </w:tabs>
    </w:pPr>
  </w:style>
  <w:style w:type="character" w:customStyle="1" w:styleId="EncabezadoCar">
    <w:name w:val="Encabezado Car"/>
    <w:basedOn w:val="Fuentedeprrafopredeter"/>
    <w:link w:val="Encabezado"/>
    <w:rsid w:val="00282506"/>
    <w:rPr>
      <w:rFonts w:ascii="Times New Roman" w:eastAsia="Times New Roman" w:hAnsi="Times New Roman" w:cs="Times New Roman"/>
      <w:sz w:val="24"/>
      <w:szCs w:val="24"/>
      <w:lang w:val="es-ES" w:eastAsia="es-ES"/>
    </w:rPr>
  </w:style>
  <w:style w:type="character" w:styleId="Hipervnculo">
    <w:name w:val="Hyperlink"/>
    <w:uiPriority w:val="99"/>
    <w:unhideWhenUsed/>
    <w:rsid w:val="00282506"/>
    <w:rPr>
      <w:color w:val="0000FF"/>
      <w:u w:val="single"/>
    </w:rPr>
  </w:style>
  <w:style w:type="paragraph" w:styleId="Prrafodelista">
    <w:name w:val="List Paragraph"/>
    <w:basedOn w:val="Normal"/>
    <w:uiPriority w:val="34"/>
    <w:qFormat/>
    <w:rsid w:val="00282506"/>
    <w:pPr>
      <w:ind w:left="708"/>
    </w:pPr>
  </w:style>
  <w:style w:type="paragraph" w:styleId="Sangra2detindependiente">
    <w:name w:val="Body Text Indent 2"/>
    <w:basedOn w:val="Normal"/>
    <w:link w:val="Sangra2detindependienteCar"/>
    <w:uiPriority w:val="99"/>
    <w:semiHidden/>
    <w:unhideWhenUsed/>
    <w:rsid w:val="0028250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250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8250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282506"/>
    <w:rPr>
      <w:rFonts w:cs="Univers LT"/>
      <w:b/>
      <w:bCs/>
      <w:color w:val="000000"/>
      <w:sz w:val="97"/>
      <w:szCs w:val="97"/>
    </w:rPr>
  </w:style>
  <w:style w:type="paragraph" w:styleId="Textodeglobo">
    <w:name w:val="Balloon Text"/>
    <w:basedOn w:val="Normal"/>
    <w:link w:val="TextodegloboCar"/>
    <w:uiPriority w:val="99"/>
    <w:semiHidden/>
    <w:unhideWhenUsed/>
    <w:rsid w:val="00282506"/>
    <w:rPr>
      <w:rFonts w:ascii="Tahoma" w:hAnsi="Tahoma"/>
      <w:sz w:val="16"/>
      <w:szCs w:val="16"/>
    </w:rPr>
  </w:style>
  <w:style w:type="character" w:customStyle="1" w:styleId="TextodegloboCar">
    <w:name w:val="Texto de globo Car"/>
    <w:basedOn w:val="Fuentedeprrafopredeter"/>
    <w:link w:val="Textodeglobo"/>
    <w:uiPriority w:val="99"/>
    <w:semiHidden/>
    <w:rsid w:val="00282506"/>
    <w:rPr>
      <w:rFonts w:ascii="Tahoma" w:eastAsia="Times New Roman" w:hAnsi="Tahoma" w:cs="Times New Roman"/>
      <w:sz w:val="16"/>
      <w:szCs w:val="16"/>
      <w:lang w:val="es-ES" w:eastAsia="es-ES"/>
    </w:rPr>
  </w:style>
  <w:style w:type="character" w:styleId="nfasis">
    <w:name w:val="Emphasis"/>
    <w:uiPriority w:val="20"/>
    <w:qFormat/>
    <w:rsid w:val="00282506"/>
    <w:rPr>
      <w:i/>
      <w:iCs/>
    </w:rPr>
  </w:style>
  <w:style w:type="paragraph" w:styleId="Citadestacada">
    <w:name w:val="Intense Quote"/>
    <w:basedOn w:val="Normal"/>
    <w:next w:val="Normal"/>
    <w:link w:val="CitadestacadaCar"/>
    <w:uiPriority w:val="30"/>
    <w:qFormat/>
    <w:rsid w:val="00282506"/>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282506"/>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282506"/>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282506"/>
    <w:rPr>
      <w:rFonts w:ascii="Calibri" w:eastAsia="Calibri" w:hAnsi="Calibri" w:cs="Times New Roman"/>
      <w:sz w:val="20"/>
      <w:szCs w:val="20"/>
      <w:lang w:val="es-ES"/>
    </w:rPr>
  </w:style>
  <w:style w:type="character" w:styleId="Refdenotaalpie">
    <w:name w:val="footnote reference"/>
    <w:uiPriority w:val="99"/>
    <w:semiHidden/>
    <w:unhideWhenUsed/>
    <w:rsid w:val="00282506"/>
    <w:rPr>
      <w:vertAlign w:val="superscript"/>
    </w:rPr>
  </w:style>
  <w:style w:type="character" w:customStyle="1" w:styleId="apple-converted-space">
    <w:name w:val="apple-converted-space"/>
    <w:basedOn w:val="Fuentedeprrafopredeter"/>
    <w:rsid w:val="00282506"/>
  </w:style>
  <w:style w:type="character" w:styleId="Textoennegrita">
    <w:name w:val="Strong"/>
    <w:uiPriority w:val="22"/>
    <w:qFormat/>
    <w:rsid w:val="00282506"/>
    <w:rPr>
      <w:b/>
      <w:bCs/>
    </w:rPr>
  </w:style>
  <w:style w:type="character" w:styleId="Hipervnculovisitado">
    <w:name w:val="FollowedHyperlink"/>
    <w:basedOn w:val="Fuentedeprrafopredeter"/>
    <w:uiPriority w:val="99"/>
    <w:semiHidden/>
    <w:unhideWhenUsed/>
    <w:rsid w:val="00282506"/>
    <w:rPr>
      <w:color w:val="954F72"/>
      <w:u w:val="single"/>
    </w:rPr>
  </w:style>
  <w:style w:type="paragraph" w:customStyle="1" w:styleId="xl63">
    <w:name w:val="xl63"/>
    <w:basedOn w:val="Normal"/>
    <w:rsid w:val="002825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eastAsia="es-MX"/>
    </w:rPr>
  </w:style>
  <w:style w:type="paragraph" w:customStyle="1" w:styleId="xl64">
    <w:name w:val="xl64"/>
    <w:basedOn w:val="Normal"/>
    <w:rsid w:val="0028250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5">
    <w:name w:val="xl65"/>
    <w:basedOn w:val="Normal"/>
    <w:rsid w:val="002825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6">
    <w:name w:val="xl66"/>
    <w:basedOn w:val="Normal"/>
    <w:rsid w:val="002825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7">
    <w:name w:val="xl67"/>
    <w:basedOn w:val="Normal"/>
    <w:rsid w:val="0028250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8">
    <w:name w:val="xl68"/>
    <w:basedOn w:val="Normal"/>
    <w:rsid w:val="002825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9">
    <w:name w:val="xl69"/>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eastAsia="es-MX"/>
    </w:rPr>
  </w:style>
  <w:style w:type="paragraph" w:customStyle="1" w:styleId="xl70">
    <w:name w:val="xl70"/>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71">
    <w:name w:val="xl71"/>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72">
    <w:name w:val="xl72"/>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s-MX"/>
    </w:rPr>
  </w:style>
  <w:style w:type="paragraph" w:customStyle="1" w:styleId="xl73">
    <w:name w:val="xl73"/>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74">
    <w:name w:val="xl74"/>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es-MX"/>
    </w:rPr>
  </w:style>
  <w:style w:type="paragraph" w:customStyle="1" w:styleId="xl75">
    <w:name w:val="xl75"/>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MX"/>
    </w:rPr>
  </w:style>
  <w:style w:type="paragraph" w:customStyle="1" w:styleId="xl76">
    <w:name w:val="xl76"/>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eastAsia="es-MX"/>
    </w:rPr>
  </w:style>
  <w:style w:type="paragraph" w:customStyle="1" w:styleId="xl77">
    <w:name w:val="xl77"/>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eastAsia="es-MX"/>
    </w:rPr>
  </w:style>
  <w:style w:type="paragraph" w:customStyle="1" w:styleId="xl78">
    <w:name w:val="xl78"/>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s-MX"/>
    </w:rPr>
  </w:style>
  <w:style w:type="paragraph" w:customStyle="1" w:styleId="xl79">
    <w:name w:val="xl79"/>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es-MX"/>
    </w:rPr>
  </w:style>
  <w:style w:type="paragraph" w:customStyle="1" w:styleId="xl80">
    <w:name w:val="xl80"/>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MX"/>
    </w:rPr>
  </w:style>
  <w:style w:type="paragraph" w:customStyle="1" w:styleId="xl81">
    <w:name w:val="xl81"/>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MX"/>
    </w:rPr>
  </w:style>
  <w:style w:type="paragraph" w:customStyle="1" w:styleId="xl82">
    <w:name w:val="xl82"/>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83">
    <w:name w:val="xl83"/>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84">
    <w:name w:val="xl84"/>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MX"/>
    </w:rPr>
  </w:style>
  <w:style w:type="paragraph" w:customStyle="1" w:styleId="xl85">
    <w:name w:val="xl85"/>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86">
    <w:name w:val="xl86"/>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87">
    <w:name w:val="xl87"/>
    <w:basedOn w:val="Normal"/>
    <w:rsid w:val="00282506"/>
    <w:pPr>
      <w:pBdr>
        <w:top w:val="single" w:sz="4" w:space="0" w:color="auto"/>
        <w:left w:val="single" w:sz="4" w:space="0" w:color="auto"/>
        <w:bottom w:val="single" w:sz="4" w:space="0" w:color="auto"/>
      </w:pBdr>
      <w:spacing w:before="100" w:beforeAutospacing="1" w:after="100" w:afterAutospacing="1"/>
      <w:jc w:val="center"/>
    </w:pPr>
    <w:rPr>
      <w:b/>
      <w:bCs/>
      <w:sz w:val="16"/>
      <w:szCs w:val="16"/>
      <w:lang w:eastAsia="es-MX"/>
    </w:rPr>
  </w:style>
  <w:style w:type="paragraph" w:customStyle="1" w:styleId="xl88">
    <w:name w:val="xl88"/>
    <w:basedOn w:val="Normal"/>
    <w:rsid w:val="00282506"/>
    <w:pPr>
      <w:pBdr>
        <w:top w:val="single" w:sz="4" w:space="0" w:color="auto"/>
        <w:bottom w:val="single" w:sz="4" w:space="0" w:color="auto"/>
      </w:pBdr>
      <w:spacing w:before="100" w:beforeAutospacing="1" w:after="100" w:afterAutospacing="1"/>
      <w:jc w:val="center"/>
    </w:pPr>
    <w:rPr>
      <w:b/>
      <w:bCs/>
      <w:sz w:val="16"/>
      <w:szCs w:val="16"/>
      <w:lang w:eastAsia="es-MX"/>
    </w:rPr>
  </w:style>
  <w:style w:type="paragraph" w:customStyle="1" w:styleId="xl89">
    <w:name w:val="xl89"/>
    <w:basedOn w:val="Normal"/>
    <w:rsid w:val="00282506"/>
    <w:pPr>
      <w:pBdr>
        <w:top w:val="single" w:sz="4" w:space="0" w:color="auto"/>
        <w:bottom w:val="single" w:sz="4" w:space="0" w:color="auto"/>
        <w:right w:val="single" w:sz="4" w:space="0" w:color="auto"/>
      </w:pBdr>
      <w:spacing w:before="100" w:beforeAutospacing="1" w:after="100" w:afterAutospacing="1"/>
      <w:jc w:val="center"/>
    </w:pPr>
    <w:rPr>
      <w:b/>
      <w:bCs/>
      <w:sz w:val="16"/>
      <w:szCs w:val="16"/>
      <w:lang w:eastAsia="es-MX"/>
    </w:rPr>
  </w:style>
  <w:style w:type="paragraph" w:customStyle="1" w:styleId="xl90">
    <w:name w:val="xl90"/>
    <w:basedOn w:val="Normal"/>
    <w:rsid w:val="00282506"/>
    <w:pPr>
      <w:spacing w:before="100" w:beforeAutospacing="1" w:after="100" w:afterAutospacing="1"/>
    </w:pPr>
    <w:rPr>
      <w:sz w:val="16"/>
      <w:szCs w:val="16"/>
      <w:lang w:eastAsia="es-MX"/>
    </w:rPr>
  </w:style>
  <w:style w:type="paragraph" w:customStyle="1" w:styleId="xl91">
    <w:name w:val="xl91"/>
    <w:basedOn w:val="Normal"/>
    <w:rsid w:val="00282506"/>
    <w:pPr>
      <w:spacing w:before="100" w:beforeAutospacing="1" w:after="100" w:afterAutospacing="1"/>
    </w:pPr>
    <w:rPr>
      <w:sz w:val="16"/>
      <w:szCs w:val="16"/>
      <w:lang w:eastAsia="es-MX"/>
    </w:rPr>
  </w:style>
  <w:style w:type="paragraph" w:customStyle="1" w:styleId="xl92">
    <w:name w:val="xl92"/>
    <w:basedOn w:val="Normal"/>
    <w:rsid w:val="00282506"/>
    <w:pPr>
      <w:spacing w:before="100" w:beforeAutospacing="1" w:after="100" w:afterAutospacing="1"/>
      <w:textAlignment w:val="center"/>
    </w:pPr>
    <w:rPr>
      <w:sz w:val="16"/>
      <w:szCs w:val="16"/>
      <w:lang w:eastAsia="es-MX"/>
    </w:rPr>
  </w:style>
  <w:style w:type="paragraph" w:customStyle="1" w:styleId="xl93">
    <w:name w:val="xl93"/>
    <w:basedOn w:val="Normal"/>
    <w:rsid w:val="00282506"/>
    <w:pPr>
      <w:shd w:val="clear" w:color="000000" w:fill="FFFFFF"/>
      <w:spacing w:before="100" w:beforeAutospacing="1" w:after="100" w:afterAutospacing="1"/>
      <w:textAlignment w:val="center"/>
    </w:pPr>
    <w:rPr>
      <w:sz w:val="16"/>
      <w:szCs w:val="16"/>
      <w:lang w:eastAsia="es-MX"/>
    </w:rPr>
  </w:style>
  <w:style w:type="paragraph" w:customStyle="1" w:styleId="xl94">
    <w:name w:val="xl94"/>
    <w:basedOn w:val="Normal"/>
    <w:rsid w:val="00282506"/>
    <w:pPr>
      <w:shd w:val="clear" w:color="000000" w:fill="FFFFFF"/>
      <w:spacing w:before="100" w:beforeAutospacing="1" w:after="100" w:afterAutospacing="1"/>
      <w:textAlignment w:val="center"/>
    </w:pPr>
    <w:rPr>
      <w:b/>
      <w:bCs/>
      <w:sz w:val="16"/>
      <w:szCs w:val="16"/>
      <w:lang w:eastAsia="es-MX"/>
    </w:rPr>
  </w:style>
  <w:style w:type="paragraph" w:customStyle="1" w:styleId="xl95">
    <w:name w:val="xl95"/>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96">
    <w:name w:val="xl96"/>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97">
    <w:name w:val="xl97"/>
    <w:basedOn w:val="Normal"/>
    <w:rsid w:val="00282506"/>
    <w:pPr>
      <w:spacing w:before="100" w:beforeAutospacing="1" w:after="100" w:afterAutospacing="1"/>
    </w:pPr>
    <w:rPr>
      <w:sz w:val="16"/>
      <w:szCs w:val="16"/>
      <w:lang w:eastAsia="es-MX"/>
    </w:rPr>
  </w:style>
  <w:style w:type="character" w:styleId="Refdecomentario">
    <w:name w:val="annotation reference"/>
    <w:basedOn w:val="Fuentedeprrafopredeter"/>
    <w:semiHidden/>
    <w:unhideWhenUsed/>
    <w:rsid w:val="00282506"/>
    <w:rPr>
      <w:sz w:val="16"/>
      <w:szCs w:val="16"/>
    </w:rPr>
  </w:style>
  <w:style w:type="paragraph" w:styleId="Textocomentario">
    <w:name w:val="annotation text"/>
    <w:basedOn w:val="Normal"/>
    <w:link w:val="TextocomentarioCar"/>
    <w:uiPriority w:val="99"/>
    <w:semiHidden/>
    <w:unhideWhenUsed/>
    <w:rsid w:val="00282506"/>
    <w:rPr>
      <w:sz w:val="20"/>
      <w:szCs w:val="20"/>
    </w:rPr>
  </w:style>
  <w:style w:type="character" w:customStyle="1" w:styleId="TextocomentarioCar">
    <w:name w:val="Texto comentario Car"/>
    <w:basedOn w:val="Fuentedeprrafopredeter"/>
    <w:link w:val="Textocomentario"/>
    <w:uiPriority w:val="99"/>
    <w:semiHidden/>
    <w:rsid w:val="0028250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82506"/>
    <w:rPr>
      <w:b/>
      <w:bCs/>
    </w:rPr>
  </w:style>
  <w:style w:type="character" w:customStyle="1" w:styleId="AsuntodelcomentarioCar">
    <w:name w:val="Asunto del comentario Car"/>
    <w:basedOn w:val="TextocomentarioCar"/>
    <w:link w:val="Asuntodelcomentario"/>
    <w:uiPriority w:val="99"/>
    <w:semiHidden/>
    <w:rsid w:val="00282506"/>
    <w:rPr>
      <w:rFonts w:ascii="Times New Roman" w:eastAsia="Times New Roman" w:hAnsi="Times New Roman" w:cs="Times New Roman"/>
      <w:b/>
      <w:bCs/>
      <w:sz w:val="20"/>
      <w:szCs w:val="20"/>
      <w:lang w:val="es-ES" w:eastAsia="es-ES"/>
    </w:rPr>
  </w:style>
  <w:style w:type="paragraph" w:customStyle="1" w:styleId="Texto">
    <w:name w:val="Texto"/>
    <w:basedOn w:val="Normal"/>
    <w:link w:val="TextoCar"/>
    <w:qFormat/>
    <w:rsid w:val="00282506"/>
    <w:pPr>
      <w:spacing w:after="101" w:line="216" w:lineRule="exact"/>
      <w:ind w:firstLine="288"/>
      <w:jc w:val="both"/>
    </w:pPr>
    <w:rPr>
      <w:rFonts w:ascii="Arial" w:hAnsi="Arial" w:cs="Arial"/>
      <w:sz w:val="18"/>
      <w:szCs w:val="20"/>
    </w:rPr>
  </w:style>
  <w:style w:type="character" w:customStyle="1" w:styleId="TextoCar">
    <w:name w:val="Texto Car"/>
    <w:link w:val="Texto"/>
    <w:locked/>
    <w:rsid w:val="00282506"/>
    <w:rPr>
      <w:rFonts w:ascii="Arial" w:eastAsia="Times New Roman" w:hAnsi="Arial" w:cs="Arial"/>
      <w:sz w:val="18"/>
      <w:szCs w:val="20"/>
      <w:lang w:val="es-ES" w:eastAsia="es-ES"/>
    </w:rPr>
  </w:style>
  <w:style w:type="paragraph" w:styleId="Textosinformato">
    <w:name w:val="Plain Text"/>
    <w:basedOn w:val="Normal"/>
    <w:link w:val="TextosinformatoCar"/>
    <w:rsid w:val="00282506"/>
    <w:rPr>
      <w:rFonts w:ascii="Courier New" w:hAnsi="Courier New" w:cs="Courier New"/>
      <w:sz w:val="20"/>
      <w:szCs w:val="20"/>
    </w:rPr>
  </w:style>
  <w:style w:type="character" w:customStyle="1" w:styleId="TextosinformatoCar">
    <w:name w:val="Texto sin formato Car"/>
    <w:basedOn w:val="Fuentedeprrafopredeter"/>
    <w:link w:val="Textosinformato"/>
    <w:rsid w:val="00282506"/>
    <w:rPr>
      <w:rFonts w:ascii="Courier New" w:eastAsia="Times New Roman" w:hAnsi="Courier New" w:cs="Courier New"/>
      <w:sz w:val="20"/>
      <w:szCs w:val="20"/>
      <w:lang w:val="es-ES" w:eastAsia="es-ES"/>
    </w:rPr>
  </w:style>
  <w:style w:type="paragraph" w:styleId="Revisin">
    <w:name w:val="Revision"/>
    <w:hidden/>
    <w:uiPriority w:val="99"/>
    <w:semiHidden/>
    <w:rsid w:val="00282506"/>
    <w:pPr>
      <w:spacing w:after="0" w:line="240" w:lineRule="auto"/>
    </w:pPr>
    <w:rPr>
      <w:rFonts w:ascii="Times New Roman" w:eastAsia="Times New Roman" w:hAnsi="Times New Roman" w:cs="Times New Roman"/>
      <w:sz w:val="24"/>
      <w:szCs w:val="24"/>
      <w:lang w:val="es-ES" w:eastAsia="es-ES"/>
    </w:rPr>
  </w:style>
  <w:style w:type="table" w:customStyle="1" w:styleId="TableGrid">
    <w:name w:val="TableGrid"/>
    <w:rsid w:val="00282506"/>
    <w:pPr>
      <w:spacing w:after="0" w:line="240" w:lineRule="auto"/>
    </w:pPr>
    <w:rPr>
      <w:rFonts w:eastAsiaTheme="minorEastAsia"/>
      <w:lang w:val="es-US" w:eastAsia="es-MX"/>
    </w:rPr>
    <w:tblPr>
      <w:tblCellMar>
        <w:top w:w="0" w:type="dxa"/>
        <w:left w:w="0" w:type="dxa"/>
        <w:bottom w:w="0" w:type="dxa"/>
        <w:right w:w="0" w:type="dxa"/>
      </w:tblCellMar>
    </w:tblPr>
  </w:style>
  <w:style w:type="paragraph" w:customStyle="1" w:styleId="msonormal0">
    <w:name w:val="msonormal"/>
    <w:basedOn w:val="Normal"/>
    <w:rsid w:val="00D826BC"/>
    <w:pPr>
      <w:spacing w:before="100" w:beforeAutospacing="1" w:after="100" w:afterAutospacing="1"/>
    </w:pPr>
  </w:style>
  <w:style w:type="character" w:styleId="Mencinsinresolver">
    <w:name w:val="Unresolved Mention"/>
    <w:basedOn w:val="Fuentedeprrafopredeter"/>
    <w:uiPriority w:val="99"/>
    <w:semiHidden/>
    <w:unhideWhenUsed/>
    <w:rsid w:val="00826AA5"/>
    <w:rPr>
      <w:color w:val="605E5C"/>
      <w:shd w:val="clear" w:color="auto" w:fill="E1DFDD"/>
    </w:rPr>
  </w:style>
  <w:style w:type="table" w:customStyle="1" w:styleId="TableNormal">
    <w:name w:val="Table Normal"/>
    <w:uiPriority w:val="2"/>
    <w:semiHidden/>
    <w:unhideWhenUsed/>
    <w:qFormat/>
    <w:rsid w:val="003812A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12A3"/>
    <w:pPr>
      <w:widowControl w:val="0"/>
      <w:autoSpaceDE w:val="0"/>
      <w:autoSpaceDN w:val="0"/>
    </w:pPr>
    <w:rPr>
      <w:rFonts w:ascii="Calibri Light" w:eastAsia="Calibri Light" w:hAnsi="Calibri Light" w:cs="Calibri Light"/>
      <w:sz w:val="22"/>
      <w:szCs w:val="22"/>
      <w:lang w:val="es-ES" w:eastAsia="en-US"/>
    </w:rPr>
  </w:style>
  <w:style w:type="paragraph" w:customStyle="1" w:styleId="p01">
    <w:name w:val="p01"/>
    <w:basedOn w:val="Normal"/>
    <w:next w:val="Normal"/>
    <w:rsid w:val="00510A66"/>
    <w:pPr>
      <w:keepLines/>
      <w:spacing w:before="240"/>
      <w:jc w:val="both"/>
    </w:pPr>
    <w:rPr>
      <w:rFonts w:ascii="Univers" w:hAnsi="Univers"/>
      <w:color w:val="0000FF"/>
      <w:szCs w:val="20"/>
      <w:lang w:val="es-ES_tradnl"/>
    </w:rPr>
  </w:style>
  <w:style w:type="paragraph" w:customStyle="1" w:styleId="p0">
    <w:name w:val="p0"/>
    <w:basedOn w:val="Normal"/>
    <w:rsid w:val="00510A66"/>
    <w:pPr>
      <w:keepLines/>
      <w:widowControl w:val="0"/>
      <w:spacing w:before="240"/>
      <w:jc w:val="both"/>
    </w:pPr>
    <w:rPr>
      <w:rFonts w:ascii="Helvetica" w:hAnsi="Helvetica" w:cs="Arial"/>
      <w:snapToGrid w:val="0"/>
      <w:color w:val="0000FF"/>
      <w:lang w:val="es-ES_tradnl"/>
    </w:rPr>
  </w:style>
  <w:style w:type="paragraph" w:customStyle="1" w:styleId="p02">
    <w:name w:val="p02"/>
    <w:basedOn w:val="Normal"/>
    <w:next w:val="p0"/>
    <w:rsid w:val="00510A66"/>
    <w:pPr>
      <w:keepLines/>
      <w:spacing w:before="240"/>
      <w:ind w:right="11"/>
      <w:jc w:val="both"/>
    </w:pPr>
    <w:rPr>
      <w:rFonts w:ascii="Univers" w:hAnsi="Univers"/>
      <w:color w:val="0000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5328">
      <w:bodyDiv w:val="1"/>
      <w:marLeft w:val="0"/>
      <w:marRight w:val="0"/>
      <w:marTop w:val="0"/>
      <w:marBottom w:val="0"/>
      <w:divBdr>
        <w:top w:val="none" w:sz="0" w:space="0" w:color="auto"/>
        <w:left w:val="none" w:sz="0" w:space="0" w:color="auto"/>
        <w:bottom w:val="none" w:sz="0" w:space="0" w:color="auto"/>
        <w:right w:val="none" w:sz="0" w:space="0" w:color="auto"/>
      </w:divBdr>
    </w:div>
    <w:div w:id="164130405">
      <w:bodyDiv w:val="1"/>
      <w:marLeft w:val="0"/>
      <w:marRight w:val="0"/>
      <w:marTop w:val="0"/>
      <w:marBottom w:val="0"/>
      <w:divBdr>
        <w:top w:val="none" w:sz="0" w:space="0" w:color="auto"/>
        <w:left w:val="none" w:sz="0" w:space="0" w:color="auto"/>
        <w:bottom w:val="none" w:sz="0" w:space="0" w:color="auto"/>
        <w:right w:val="none" w:sz="0" w:space="0" w:color="auto"/>
      </w:divBdr>
    </w:div>
    <w:div w:id="450174212">
      <w:bodyDiv w:val="1"/>
      <w:marLeft w:val="0"/>
      <w:marRight w:val="0"/>
      <w:marTop w:val="0"/>
      <w:marBottom w:val="0"/>
      <w:divBdr>
        <w:top w:val="none" w:sz="0" w:space="0" w:color="auto"/>
        <w:left w:val="none" w:sz="0" w:space="0" w:color="auto"/>
        <w:bottom w:val="none" w:sz="0" w:space="0" w:color="auto"/>
        <w:right w:val="none" w:sz="0" w:space="0" w:color="auto"/>
      </w:divBdr>
    </w:div>
    <w:div w:id="613943158">
      <w:bodyDiv w:val="1"/>
      <w:marLeft w:val="0"/>
      <w:marRight w:val="0"/>
      <w:marTop w:val="0"/>
      <w:marBottom w:val="0"/>
      <w:divBdr>
        <w:top w:val="none" w:sz="0" w:space="0" w:color="auto"/>
        <w:left w:val="none" w:sz="0" w:space="0" w:color="auto"/>
        <w:bottom w:val="none" w:sz="0" w:space="0" w:color="auto"/>
        <w:right w:val="none" w:sz="0" w:space="0" w:color="auto"/>
      </w:divBdr>
    </w:div>
    <w:div w:id="642198351">
      <w:bodyDiv w:val="1"/>
      <w:marLeft w:val="0"/>
      <w:marRight w:val="0"/>
      <w:marTop w:val="0"/>
      <w:marBottom w:val="0"/>
      <w:divBdr>
        <w:top w:val="none" w:sz="0" w:space="0" w:color="auto"/>
        <w:left w:val="none" w:sz="0" w:space="0" w:color="auto"/>
        <w:bottom w:val="none" w:sz="0" w:space="0" w:color="auto"/>
        <w:right w:val="none" w:sz="0" w:space="0" w:color="auto"/>
      </w:divBdr>
    </w:div>
    <w:div w:id="695160540">
      <w:bodyDiv w:val="1"/>
      <w:marLeft w:val="0"/>
      <w:marRight w:val="0"/>
      <w:marTop w:val="0"/>
      <w:marBottom w:val="0"/>
      <w:divBdr>
        <w:top w:val="none" w:sz="0" w:space="0" w:color="auto"/>
        <w:left w:val="none" w:sz="0" w:space="0" w:color="auto"/>
        <w:bottom w:val="none" w:sz="0" w:space="0" w:color="auto"/>
        <w:right w:val="none" w:sz="0" w:space="0" w:color="auto"/>
      </w:divBdr>
    </w:div>
    <w:div w:id="730202263">
      <w:bodyDiv w:val="1"/>
      <w:marLeft w:val="0"/>
      <w:marRight w:val="0"/>
      <w:marTop w:val="0"/>
      <w:marBottom w:val="0"/>
      <w:divBdr>
        <w:top w:val="none" w:sz="0" w:space="0" w:color="auto"/>
        <w:left w:val="none" w:sz="0" w:space="0" w:color="auto"/>
        <w:bottom w:val="none" w:sz="0" w:space="0" w:color="auto"/>
        <w:right w:val="none" w:sz="0" w:space="0" w:color="auto"/>
      </w:divBdr>
    </w:div>
    <w:div w:id="851719714">
      <w:bodyDiv w:val="1"/>
      <w:marLeft w:val="0"/>
      <w:marRight w:val="0"/>
      <w:marTop w:val="0"/>
      <w:marBottom w:val="0"/>
      <w:divBdr>
        <w:top w:val="none" w:sz="0" w:space="0" w:color="auto"/>
        <w:left w:val="none" w:sz="0" w:space="0" w:color="auto"/>
        <w:bottom w:val="none" w:sz="0" w:space="0" w:color="auto"/>
        <w:right w:val="none" w:sz="0" w:space="0" w:color="auto"/>
      </w:divBdr>
    </w:div>
    <w:div w:id="859052150">
      <w:bodyDiv w:val="1"/>
      <w:marLeft w:val="0"/>
      <w:marRight w:val="0"/>
      <w:marTop w:val="0"/>
      <w:marBottom w:val="0"/>
      <w:divBdr>
        <w:top w:val="none" w:sz="0" w:space="0" w:color="auto"/>
        <w:left w:val="none" w:sz="0" w:space="0" w:color="auto"/>
        <w:bottom w:val="none" w:sz="0" w:space="0" w:color="auto"/>
        <w:right w:val="none" w:sz="0" w:space="0" w:color="auto"/>
      </w:divBdr>
    </w:div>
    <w:div w:id="931090367">
      <w:bodyDiv w:val="1"/>
      <w:marLeft w:val="0"/>
      <w:marRight w:val="0"/>
      <w:marTop w:val="0"/>
      <w:marBottom w:val="0"/>
      <w:divBdr>
        <w:top w:val="none" w:sz="0" w:space="0" w:color="auto"/>
        <w:left w:val="none" w:sz="0" w:space="0" w:color="auto"/>
        <w:bottom w:val="none" w:sz="0" w:space="0" w:color="auto"/>
        <w:right w:val="none" w:sz="0" w:space="0" w:color="auto"/>
      </w:divBdr>
    </w:div>
    <w:div w:id="1182475259">
      <w:bodyDiv w:val="1"/>
      <w:marLeft w:val="0"/>
      <w:marRight w:val="0"/>
      <w:marTop w:val="0"/>
      <w:marBottom w:val="0"/>
      <w:divBdr>
        <w:top w:val="none" w:sz="0" w:space="0" w:color="auto"/>
        <w:left w:val="none" w:sz="0" w:space="0" w:color="auto"/>
        <w:bottom w:val="none" w:sz="0" w:space="0" w:color="auto"/>
        <w:right w:val="none" w:sz="0" w:space="0" w:color="auto"/>
      </w:divBdr>
    </w:div>
    <w:div w:id="1190415110">
      <w:bodyDiv w:val="1"/>
      <w:marLeft w:val="0"/>
      <w:marRight w:val="0"/>
      <w:marTop w:val="0"/>
      <w:marBottom w:val="0"/>
      <w:divBdr>
        <w:top w:val="none" w:sz="0" w:space="0" w:color="auto"/>
        <w:left w:val="none" w:sz="0" w:space="0" w:color="auto"/>
        <w:bottom w:val="none" w:sz="0" w:space="0" w:color="auto"/>
        <w:right w:val="none" w:sz="0" w:space="0" w:color="auto"/>
      </w:divBdr>
    </w:div>
    <w:div w:id="1215459532">
      <w:bodyDiv w:val="1"/>
      <w:marLeft w:val="0"/>
      <w:marRight w:val="0"/>
      <w:marTop w:val="0"/>
      <w:marBottom w:val="0"/>
      <w:divBdr>
        <w:top w:val="none" w:sz="0" w:space="0" w:color="auto"/>
        <w:left w:val="none" w:sz="0" w:space="0" w:color="auto"/>
        <w:bottom w:val="none" w:sz="0" w:space="0" w:color="auto"/>
        <w:right w:val="none" w:sz="0" w:space="0" w:color="auto"/>
      </w:divBdr>
    </w:div>
    <w:div w:id="1236623259">
      <w:bodyDiv w:val="1"/>
      <w:marLeft w:val="0"/>
      <w:marRight w:val="0"/>
      <w:marTop w:val="0"/>
      <w:marBottom w:val="0"/>
      <w:divBdr>
        <w:top w:val="none" w:sz="0" w:space="0" w:color="auto"/>
        <w:left w:val="none" w:sz="0" w:space="0" w:color="auto"/>
        <w:bottom w:val="none" w:sz="0" w:space="0" w:color="auto"/>
        <w:right w:val="none" w:sz="0" w:space="0" w:color="auto"/>
      </w:divBdr>
    </w:div>
    <w:div w:id="1445806044">
      <w:bodyDiv w:val="1"/>
      <w:marLeft w:val="0"/>
      <w:marRight w:val="0"/>
      <w:marTop w:val="0"/>
      <w:marBottom w:val="0"/>
      <w:divBdr>
        <w:top w:val="none" w:sz="0" w:space="0" w:color="auto"/>
        <w:left w:val="none" w:sz="0" w:space="0" w:color="auto"/>
        <w:bottom w:val="none" w:sz="0" w:space="0" w:color="auto"/>
        <w:right w:val="none" w:sz="0" w:space="0" w:color="auto"/>
      </w:divBdr>
    </w:div>
    <w:div w:id="1584950499">
      <w:bodyDiv w:val="1"/>
      <w:marLeft w:val="0"/>
      <w:marRight w:val="0"/>
      <w:marTop w:val="0"/>
      <w:marBottom w:val="0"/>
      <w:divBdr>
        <w:top w:val="none" w:sz="0" w:space="0" w:color="auto"/>
        <w:left w:val="none" w:sz="0" w:space="0" w:color="auto"/>
        <w:bottom w:val="none" w:sz="0" w:space="0" w:color="auto"/>
        <w:right w:val="none" w:sz="0" w:space="0" w:color="auto"/>
      </w:divBdr>
    </w:div>
    <w:div w:id="2030448744">
      <w:bodyDiv w:val="1"/>
      <w:marLeft w:val="0"/>
      <w:marRight w:val="0"/>
      <w:marTop w:val="0"/>
      <w:marBottom w:val="0"/>
      <w:divBdr>
        <w:top w:val="none" w:sz="0" w:space="0" w:color="auto"/>
        <w:left w:val="none" w:sz="0" w:space="0" w:color="auto"/>
        <w:bottom w:val="none" w:sz="0" w:space="0" w:color="auto"/>
        <w:right w:val="none" w:sz="0" w:space="0" w:color="auto"/>
      </w:divBdr>
    </w:div>
    <w:div w:id="21045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9.xml"/><Relationship Id="rId32" Type="http://schemas.openxmlformats.org/officeDocument/2006/relationships/image" Target="media/image16.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Notas%20Trabajo%202021\ITAEE\2025\1er%20trim-2025\Gr&#225;ficas_ITAE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otas%20Trabajo%202021\ITAEE\2025\1er%20trim-2025\Bolet&#237;n\Gr&#225;ficas_ITAE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otas%20Trabajo%202021\ITAEE\2025\1er%20trim-2025\Bolet&#237;n\Gr&#225;ficas_ITAE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otas%20Trabajo%202021\ITAEE\2025\1er%20trim-2025\Gr&#225;ficas_ITAE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otas%20Trabajo%202021\ITAEE\2025\1er%20trim-2025\Gr&#225;ficas_ITAE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Notas%20Trabajo%202021\ITAEE\2025\1er%20trim-2025\Bolet&#237;n\Gr&#225;ficas_ITAE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ONTABILIDAD%2003\Documents\COORDINACION%20HACENDARIA%202025\PAQUETE%20ECONOMICO%202026\INFORMACION%202026%20GIL\Ingresos%202014-2026%20GRAFICOS%20GIL%20PARA%20ILIET%20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8165295815295813"/>
          <c:y val="2.2825999999999999E-2"/>
          <c:w val="0.55954329004329006"/>
          <c:h val="0.93574444444444449"/>
        </c:manualLayout>
      </c:layout>
      <c:barChart>
        <c:barDir val="bar"/>
        <c:grouping val="clustered"/>
        <c:varyColors val="0"/>
        <c:ser>
          <c:idx val="0"/>
          <c:order val="0"/>
          <c:spPr>
            <a:solidFill>
              <a:srgbClr val="08989C"/>
            </a:solidFill>
            <a:ln>
              <a:noFill/>
            </a:ln>
            <a:effectLst/>
          </c:spPr>
          <c:invertIfNegative val="0"/>
          <c:dPt>
            <c:idx val="10"/>
            <c:invertIfNegative val="0"/>
            <c:bubble3D val="0"/>
            <c:spPr>
              <a:solidFill>
                <a:srgbClr val="C0C0C0"/>
              </a:solidFill>
              <a:ln>
                <a:noFill/>
              </a:ln>
              <a:effectLst/>
              <a:sp3d/>
            </c:spPr>
            <c:extLst>
              <c:ext xmlns:c16="http://schemas.microsoft.com/office/drawing/2014/chart" uri="{C3380CC4-5D6E-409C-BE32-E72D297353CC}">
                <c16:uniqueId val="{00000001-A262-4943-AED7-4FBCD5328DCB}"/>
              </c:ext>
            </c:extLst>
          </c:dPt>
          <c:dPt>
            <c:idx val="11"/>
            <c:invertIfNegative val="0"/>
            <c:bubble3D val="0"/>
            <c:spPr>
              <a:solidFill>
                <a:srgbClr val="08989C"/>
              </a:solidFill>
              <a:ln>
                <a:noFill/>
              </a:ln>
              <a:effectLst/>
              <a:sp3d/>
            </c:spPr>
            <c:extLst>
              <c:ext xmlns:c16="http://schemas.microsoft.com/office/drawing/2014/chart" uri="{C3380CC4-5D6E-409C-BE32-E72D297353CC}">
                <c16:uniqueId val="{00000003-A262-4943-AED7-4FBCD5328DCB}"/>
              </c:ext>
            </c:extLst>
          </c:dPt>
          <c:dPt>
            <c:idx val="12"/>
            <c:invertIfNegative val="0"/>
            <c:bubble3D val="0"/>
            <c:spPr>
              <a:solidFill>
                <a:srgbClr val="08989C"/>
              </a:solidFill>
              <a:ln>
                <a:noFill/>
              </a:ln>
              <a:effectLst/>
              <a:sp3d/>
            </c:spPr>
            <c:extLst>
              <c:ext xmlns:c16="http://schemas.microsoft.com/office/drawing/2014/chart" uri="{C3380CC4-5D6E-409C-BE32-E72D297353CC}">
                <c16:uniqueId val="{00000005-A262-4943-AED7-4FBCD5328DCB}"/>
              </c:ext>
            </c:extLst>
          </c:dPt>
          <c:dPt>
            <c:idx val="13"/>
            <c:invertIfNegative val="0"/>
            <c:bubble3D val="0"/>
            <c:spPr>
              <a:solidFill>
                <a:srgbClr val="08989C"/>
              </a:solidFill>
              <a:ln>
                <a:noFill/>
              </a:ln>
              <a:effectLst/>
              <a:sp3d/>
            </c:spPr>
            <c:extLst>
              <c:ext xmlns:c16="http://schemas.microsoft.com/office/drawing/2014/chart" uri="{C3380CC4-5D6E-409C-BE32-E72D297353CC}">
                <c16:uniqueId val="{00000007-A262-4943-AED7-4FBCD5328DCB}"/>
              </c:ext>
            </c:extLst>
          </c:dPt>
          <c:dPt>
            <c:idx val="14"/>
            <c:invertIfNegative val="0"/>
            <c:bubble3D val="0"/>
            <c:spPr>
              <a:solidFill>
                <a:srgbClr val="08989C"/>
              </a:solidFill>
              <a:ln>
                <a:noFill/>
              </a:ln>
              <a:effectLst/>
              <a:sp3d/>
            </c:spPr>
            <c:extLst>
              <c:ext xmlns:c16="http://schemas.microsoft.com/office/drawing/2014/chart" uri="{C3380CC4-5D6E-409C-BE32-E72D297353CC}">
                <c16:uniqueId val="{00000009-A262-4943-AED7-4FBCD5328DCB}"/>
              </c:ext>
            </c:extLst>
          </c:dPt>
          <c:dPt>
            <c:idx val="15"/>
            <c:invertIfNegative val="0"/>
            <c:bubble3D val="0"/>
            <c:spPr>
              <a:solidFill>
                <a:srgbClr val="08989C"/>
              </a:solidFill>
              <a:ln>
                <a:noFill/>
              </a:ln>
              <a:effectLst/>
              <a:sp3d/>
            </c:spPr>
            <c:extLst>
              <c:ext xmlns:c16="http://schemas.microsoft.com/office/drawing/2014/chart" uri="{C3380CC4-5D6E-409C-BE32-E72D297353CC}">
                <c16:uniqueId val="{0000000B-A262-4943-AED7-4FBCD5328DCB}"/>
              </c:ext>
            </c:extLst>
          </c:dPt>
          <c:dPt>
            <c:idx val="16"/>
            <c:invertIfNegative val="0"/>
            <c:bubble3D val="0"/>
            <c:spPr>
              <a:solidFill>
                <a:srgbClr val="08989C"/>
              </a:solidFill>
              <a:ln>
                <a:noFill/>
              </a:ln>
              <a:effectLst>
                <a:outerShdw blurRad="50800" dist="50800" dir="5400000" algn="ctr" rotWithShape="0">
                  <a:schemeClr val="accent5">
                    <a:lumMod val="20000"/>
                    <a:lumOff val="80000"/>
                  </a:schemeClr>
                </a:outerShdw>
              </a:effectLst>
              <a:sp3d/>
            </c:spPr>
            <c:extLst>
              <c:ext xmlns:c16="http://schemas.microsoft.com/office/drawing/2014/chart" uri="{C3380CC4-5D6E-409C-BE32-E72D297353CC}">
                <c16:uniqueId val="{0000000D-A262-4943-AED7-4FBCD5328DCB}"/>
              </c:ext>
            </c:extLst>
          </c:dPt>
          <c:dPt>
            <c:idx val="17"/>
            <c:invertIfNegative val="0"/>
            <c:bubble3D val="0"/>
            <c:spPr>
              <a:solidFill>
                <a:srgbClr val="08989C"/>
              </a:solidFill>
              <a:ln>
                <a:noFill/>
              </a:ln>
              <a:effectLst/>
              <a:sp3d/>
            </c:spPr>
            <c:extLst>
              <c:ext xmlns:c16="http://schemas.microsoft.com/office/drawing/2014/chart" uri="{C3380CC4-5D6E-409C-BE32-E72D297353CC}">
                <c16:uniqueId val="{0000000F-A262-4943-AED7-4FBCD5328DCB}"/>
              </c:ext>
            </c:extLst>
          </c:dPt>
          <c:dPt>
            <c:idx val="18"/>
            <c:invertIfNegative val="0"/>
            <c:bubble3D val="0"/>
            <c:spPr>
              <a:solidFill>
                <a:srgbClr val="08989C"/>
              </a:solidFill>
              <a:ln>
                <a:noFill/>
              </a:ln>
              <a:effectLst/>
              <a:sp3d>
                <a:contourClr>
                  <a:schemeClr val="tx2">
                    <a:lumMod val="60000"/>
                    <a:lumOff val="40000"/>
                  </a:schemeClr>
                </a:contourClr>
              </a:sp3d>
            </c:spPr>
            <c:extLst>
              <c:ext xmlns:c16="http://schemas.microsoft.com/office/drawing/2014/chart" uri="{C3380CC4-5D6E-409C-BE32-E72D297353CC}">
                <c16:uniqueId val="{00000011-A262-4943-AED7-4FBCD5328DCB}"/>
              </c:ext>
            </c:extLst>
          </c:dPt>
          <c:dPt>
            <c:idx val="19"/>
            <c:invertIfNegative val="0"/>
            <c:bubble3D val="0"/>
            <c:spPr>
              <a:solidFill>
                <a:srgbClr val="08989C"/>
              </a:solidFill>
              <a:ln>
                <a:noFill/>
              </a:ln>
              <a:effectLst/>
              <a:sp3d/>
            </c:spPr>
            <c:extLst>
              <c:ext xmlns:c16="http://schemas.microsoft.com/office/drawing/2014/chart" uri="{C3380CC4-5D6E-409C-BE32-E72D297353CC}">
                <c16:uniqueId val="{00000013-A262-4943-AED7-4FBCD5328DCB}"/>
              </c:ext>
            </c:extLst>
          </c:dPt>
          <c:dPt>
            <c:idx val="20"/>
            <c:invertIfNegative val="0"/>
            <c:bubble3D val="0"/>
            <c:spPr>
              <a:solidFill>
                <a:srgbClr val="08989C"/>
              </a:solidFill>
              <a:ln>
                <a:noFill/>
              </a:ln>
              <a:effectLst/>
            </c:spPr>
            <c:extLst>
              <c:ext xmlns:c16="http://schemas.microsoft.com/office/drawing/2014/chart" uri="{C3380CC4-5D6E-409C-BE32-E72D297353CC}">
                <c16:uniqueId val="{00000015-A262-4943-AED7-4FBCD5328DCB}"/>
              </c:ext>
            </c:extLst>
          </c:dPt>
          <c:dPt>
            <c:idx val="21"/>
            <c:invertIfNegative val="0"/>
            <c:bubble3D val="0"/>
            <c:spPr>
              <a:solidFill>
                <a:srgbClr val="08989C"/>
              </a:solidFill>
              <a:ln>
                <a:noFill/>
              </a:ln>
              <a:effectLst/>
              <a:sp3d/>
            </c:spPr>
            <c:extLst>
              <c:ext xmlns:c16="http://schemas.microsoft.com/office/drawing/2014/chart" uri="{C3380CC4-5D6E-409C-BE32-E72D297353CC}">
                <c16:uniqueId val="{00000017-A262-4943-AED7-4FBCD5328DCB}"/>
              </c:ext>
            </c:extLst>
          </c:dPt>
          <c:dPt>
            <c:idx val="32"/>
            <c:invertIfNegative val="0"/>
            <c:bubble3D val="0"/>
            <c:spPr>
              <a:solidFill>
                <a:srgbClr val="08989C"/>
              </a:solidFill>
              <a:ln>
                <a:noFill/>
              </a:ln>
              <a:effectLst/>
              <a:sp3d/>
            </c:spPr>
            <c:extLst>
              <c:ext xmlns:c16="http://schemas.microsoft.com/office/drawing/2014/chart" uri="{C3380CC4-5D6E-409C-BE32-E72D297353CC}">
                <c16:uniqueId val="{00000019-A262-4943-AED7-4FBCD5328DCB}"/>
              </c:ext>
            </c:extLst>
          </c:dPt>
          <c:dLbls>
            <c:dLbl>
              <c:idx val="0"/>
              <c:layout>
                <c:manualLayout>
                  <c:x val="-2.5079120464834719E-2"/>
                  <c:y val="-2.3518518518518519E-3"/>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365392692146157"/>
                      <c:h val="2.9056111111111112E-2"/>
                    </c:manualLayout>
                  </c15:layout>
                </c:ext>
                <c:ext xmlns:c16="http://schemas.microsoft.com/office/drawing/2014/chart" uri="{C3380CC4-5D6E-409C-BE32-E72D297353CC}">
                  <c16:uniqueId val="{0000001A-A262-4943-AED7-4FBCD5328DCB}"/>
                </c:ext>
              </c:extLst>
            </c:dLbl>
            <c:dLbl>
              <c:idx val="1"/>
              <c:layout>
                <c:manualLayout>
                  <c:x val="-1.6186377059860379E-2"/>
                  <c:y val="0"/>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973960520789582"/>
                      <c:h val="2.6691481481481483E-2"/>
                    </c:manualLayout>
                  </c15:layout>
                </c:ext>
                <c:ext xmlns:c16="http://schemas.microsoft.com/office/drawing/2014/chart" uri="{C3380CC4-5D6E-409C-BE32-E72D297353CC}">
                  <c16:uniqueId val="{0000001B-A262-4943-AED7-4FBCD5328DCB}"/>
                </c:ext>
              </c:extLst>
            </c:dLbl>
            <c:dLbl>
              <c:idx val="2"/>
              <c:layout>
                <c:manualLayout>
                  <c:x val="-1.4046073409240399E-2"/>
                  <c:y val="-1.1757407407407407E-3"/>
                </c:manualLayout>
              </c:layout>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2393952120957578"/>
                      <c:h val="3.3740925925925924E-2"/>
                    </c:manualLayout>
                  </c15:layout>
                </c:ext>
                <c:ext xmlns:c16="http://schemas.microsoft.com/office/drawing/2014/chart" uri="{C3380CC4-5D6E-409C-BE32-E72D297353CC}">
                  <c16:uniqueId val="{0000001C-A262-4943-AED7-4FBCD5328DCB}"/>
                </c:ext>
              </c:extLst>
            </c:dLbl>
            <c:dLbl>
              <c:idx val="30"/>
              <c:layout>
                <c:manualLayout>
                  <c:x val="-4.1999160016799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262-4943-AED7-4FBCD5328DCB}"/>
                </c:ext>
              </c:extLst>
            </c:dLbl>
            <c:dLbl>
              <c:idx val="31"/>
              <c:tx>
                <c:rich>
                  <a:bodyPr/>
                  <a:lstStyle/>
                  <a:p>
                    <a:fld id="{93C8FBB5-B982-4A47-BC11-5EF908290B75}" type="VALUE">
                      <a:rPr lang="en-US">
                        <a:solidFill>
                          <a:srgbClr val="4D565E"/>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A262-4943-AED7-4FBCD5328DCB}"/>
                </c:ext>
              </c:extLst>
            </c:dLbl>
            <c:dLbl>
              <c:idx val="32"/>
              <c:layout>
                <c:manualLayout>
                  <c:x val="-7.6484769517208085E-3"/>
                  <c:y val="0"/>
                </c:manualLayout>
              </c:layout>
              <c:spPr>
                <a:noFill/>
                <a:ln>
                  <a:noFill/>
                </a:ln>
                <a:effectLst/>
              </c:spPr>
              <c:txPr>
                <a:bodyPr rot="0" spcFirstLastPara="1" vertOverflow="ellipsis" vert="horz" wrap="square" anchor="ctr" anchorCtr="1"/>
                <a:lstStyle/>
                <a:p>
                  <a:pPr algn="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6175993015572762"/>
                      <c:h val="2.668537037037037E-2"/>
                    </c:manualLayout>
                  </c15:layout>
                </c:ext>
                <c:ext xmlns:c16="http://schemas.microsoft.com/office/drawing/2014/chart" uri="{C3380CC4-5D6E-409C-BE32-E72D297353CC}">
                  <c16:uniqueId val="{00000019-A262-4943-AED7-4FBCD5328DC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EF'!$B$6:$B$38</c:f>
              <c:strCache>
                <c:ptCount val="33"/>
                <c:pt idx="0">
                  <c:v>Campeche</c:v>
                </c:pt>
                <c:pt idx="1">
                  <c:v>Tabasco</c:v>
                </c:pt>
                <c:pt idx="2">
                  <c:v>Quintana Roo</c:v>
                </c:pt>
                <c:pt idx="3">
                  <c:v>Durango</c:v>
                </c:pt>
                <c:pt idx="4">
                  <c:v>Chihuahua</c:v>
                </c:pt>
                <c:pt idx="5">
                  <c:v>Chiapas</c:v>
                </c:pt>
                <c:pt idx="6">
                  <c:v>Puebla</c:v>
                </c:pt>
                <c:pt idx="7">
                  <c:v>Sonora</c:v>
                </c:pt>
                <c:pt idx="8">
                  <c:v>Veracruz</c:v>
                </c:pt>
                <c:pt idx="9">
                  <c:v>Coahuila</c:v>
                </c:pt>
                <c:pt idx="10">
                  <c:v>Nacional</c:v>
                </c:pt>
                <c:pt idx="11">
                  <c:v>Hidalgo</c:v>
                </c:pt>
                <c:pt idx="12">
                  <c:v>Jalisco</c:v>
                </c:pt>
                <c:pt idx="13">
                  <c:v>Tlaxcala</c:v>
                </c:pt>
                <c:pt idx="14">
                  <c:v>Baja California</c:v>
                </c:pt>
                <c:pt idx="15">
                  <c:v>Michoacán</c:v>
                </c:pt>
                <c:pt idx="16">
                  <c:v>Morelos</c:v>
                </c:pt>
                <c:pt idx="17">
                  <c:v>Querétaro</c:v>
                </c:pt>
                <c:pt idx="18">
                  <c:v>Sinaloa</c:v>
                </c:pt>
                <c:pt idx="19">
                  <c:v>México</c:v>
                </c:pt>
                <c:pt idx="20">
                  <c:v>Aguascalientes</c:v>
                </c:pt>
                <c:pt idx="21">
                  <c:v>Yucatán</c:v>
                </c:pt>
                <c:pt idx="22">
                  <c:v>Nuevo León</c:v>
                </c:pt>
                <c:pt idx="23">
                  <c:v>Zacatecas</c:v>
                </c:pt>
                <c:pt idx="24">
                  <c:v>Tamaulipas</c:v>
                </c:pt>
                <c:pt idx="25">
                  <c:v>Colima</c:v>
                </c:pt>
                <c:pt idx="26">
                  <c:v>Ciudad de México</c:v>
                </c:pt>
                <c:pt idx="27">
                  <c:v>San Luis Potosí</c:v>
                </c:pt>
                <c:pt idx="28">
                  <c:v>Guanajuato</c:v>
                </c:pt>
                <c:pt idx="29">
                  <c:v>Baja California Sur</c:v>
                </c:pt>
                <c:pt idx="30">
                  <c:v>Nayarit</c:v>
                </c:pt>
                <c:pt idx="31">
                  <c:v>Oaxaca</c:v>
                </c:pt>
                <c:pt idx="32">
                  <c:v>Guerrero</c:v>
                </c:pt>
              </c:strCache>
            </c:strRef>
          </c:cat>
          <c:val>
            <c:numRef>
              <c:f>'Variaciones por EF'!$C$6:$C$38</c:f>
              <c:numCache>
                <c:formatCode>0.0</c:formatCode>
                <c:ptCount val="33"/>
                <c:pt idx="0">
                  <c:v>-16.679304384988853</c:v>
                </c:pt>
                <c:pt idx="1">
                  <c:v>-12.781620349523763</c:v>
                </c:pt>
                <c:pt idx="2">
                  <c:v>-9.4354381673375372</c:v>
                </c:pt>
                <c:pt idx="3">
                  <c:v>-0.86781932585884647</c:v>
                </c:pt>
                <c:pt idx="4">
                  <c:v>-0.54291079334790027</c:v>
                </c:pt>
                <c:pt idx="5">
                  <c:v>-0.49092488095099895</c:v>
                </c:pt>
                <c:pt idx="6">
                  <c:v>-0.14425372002824588</c:v>
                </c:pt>
                <c:pt idx="7">
                  <c:v>0.24599114616296447</c:v>
                </c:pt>
                <c:pt idx="8">
                  <c:v>0.35647325389824402</c:v>
                </c:pt>
                <c:pt idx="9">
                  <c:v>0.57004213332673714</c:v>
                </c:pt>
                <c:pt idx="10">
                  <c:v>0.79692409362999705</c:v>
                </c:pt>
                <c:pt idx="11">
                  <c:v>0.85064158737671391</c:v>
                </c:pt>
                <c:pt idx="12">
                  <c:v>0.99910333444506705</c:v>
                </c:pt>
                <c:pt idx="13">
                  <c:v>1.1477431455932532</c:v>
                </c:pt>
                <c:pt idx="14">
                  <c:v>1.2055102076039361</c:v>
                </c:pt>
                <c:pt idx="15">
                  <c:v>1.252154998979421</c:v>
                </c:pt>
                <c:pt idx="16">
                  <c:v>1.3107576828294611</c:v>
                </c:pt>
                <c:pt idx="17">
                  <c:v>1.4543259670532365</c:v>
                </c:pt>
                <c:pt idx="18">
                  <c:v>1.5180405962027237</c:v>
                </c:pt>
                <c:pt idx="19">
                  <c:v>1.5702630077030193</c:v>
                </c:pt>
                <c:pt idx="20">
                  <c:v>1.6433240915855833</c:v>
                </c:pt>
                <c:pt idx="21">
                  <c:v>1.7719801305322562</c:v>
                </c:pt>
                <c:pt idx="22">
                  <c:v>2.009794731194134</c:v>
                </c:pt>
                <c:pt idx="23">
                  <c:v>2.6684113132714913</c:v>
                </c:pt>
                <c:pt idx="24">
                  <c:v>2.6769997550805158</c:v>
                </c:pt>
                <c:pt idx="25">
                  <c:v>2.7344360724499381</c:v>
                </c:pt>
                <c:pt idx="26">
                  <c:v>2.9751025396099919</c:v>
                </c:pt>
                <c:pt idx="27">
                  <c:v>3.1173447842846542</c:v>
                </c:pt>
                <c:pt idx="28">
                  <c:v>3.1597118676708362</c:v>
                </c:pt>
                <c:pt idx="29">
                  <c:v>3.9710557133958275</c:v>
                </c:pt>
                <c:pt idx="30">
                  <c:v>4.6992978016786537</c:v>
                </c:pt>
                <c:pt idx="31">
                  <c:v>5.5898000794779108</c:v>
                </c:pt>
                <c:pt idx="32">
                  <c:v>6.8229758946258841</c:v>
                </c:pt>
              </c:numCache>
            </c:numRef>
          </c:val>
          <c:extLst>
            <c:ext xmlns:c15="http://schemas.microsoft.com/office/drawing/2012/chart" uri="{02D57815-91ED-43cb-92C2-25804820EDAC}">
              <c15:filteredSeriesTitle>
                <c15:tx>
                  <c:v>Total</c:v>
                </c15:tx>
              </c15:filteredSeriesTitle>
            </c:ext>
            <c:ext xmlns:c16="http://schemas.microsoft.com/office/drawing/2014/chart" uri="{C3380CC4-5D6E-409C-BE32-E72D297353CC}">
              <c16:uniqueId val="{0000001F-A262-4943-AED7-4FBCD5328DCB}"/>
            </c:ext>
          </c:extLst>
        </c:ser>
        <c:dLbls>
          <c:showLegendKey val="0"/>
          <c:showVal val="0"/>
          <c:showCatName val="0"/>
          <c:showSerName val="0"/>
          <c:showPercent val="0"/>
          <c:showBubbleSize val="0"/>
        </c:dLbls>
        <c:gapWidth val="20"/>
        <c:axId val="499231128"/>
        <c:axId val="499231520"/>
      </c:barChart>
      <c:catAx>
        <c:axId val="499231128"/>
        <c:scaling>
          <c:orientation val="minMax"/>
        </c:scaling>
        <c:delete val="0"/>
        <c:axPos val="l"/>
        <c:numFmt formatCode="General" sourceLinked="0"/>
        <c:majorTickMark val="cross"/>
        <c:minorTickMark val="none"/>
        <c:tickLblPos val="low"/>
        <c:spPr>
          <a:noFill/>
          <a:ln w="6350" cap="flat" cmpd="sng" algn="ctr">
            <a:solidFill>
              <a:srgbClr val="C0C0C0"/>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520"/>
        <c:crossesAt val="0"/>
        <c:auto val="1"/>
        <c:lblAlgn val="ctr"/>
        <c:lblOffset val="100"/>
        <c:noMultiLvlLbl val="0"/>
      </c:catAx>
      <c:valAx>
        <c:axId val="499231520"/>
        <c:scaling>
          <c:orientation val="minMax"/>
          <c:max val="8"/>
          <c:min val="-24"/>
        </c:scaling>
        <c:delete val="0"/>
        <c:axPos val="b"/>
        <c:numFmt formatCode="#,##0.0" sourceLinked="0"/>
        <c:majorTickMark val="out"/>
        <c:minorTickMark val="none"/>
        <c:tickLblPos val="nextTo"/>
        <c:spPr>
          <a:noFill/>
          <a:ln w="9525" cap="flat" cmpd="sng" algn="ctr">
            <a:solidFill>
              <a:srgbClr val="D8551E"/>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128"/>
        <c:crosses val="autoZero"/>
        <c:crossBetween val="between"/>
        <c:majorUnit val="8"/>
        <c:minorUnit val="1"/>
      </c:valAx>
      <c:spPr>
        <a:noFill/>
        <a:ln>
          <a:noFill/>
        </a:ln>
        <a:effectLst/>
      </c:spPr>
    </c:plotArea>
    <c:plotVisOnly val="1"/>
    <c:dispBlanksAs val="gap"/>
    <c:showDLblsOverMax val="0"/>
  </c:chart>
  <c:spPr>
    <a:noFill/>
    <a:ln w="6350" cap="flat" cmpd="sng" algn="ctr">
      <a:solidFill>
        <a:srgbClr val="C0C0C0"/>
      </a:solidFill>
      <a:prstDash val="solid"/>
      <a:round/>
    </a:ln>
    <a:effectLst/>
  </c:spPr>
  <c:txPr>
    <a:bodyPr/>
    <a:lstStyle/>
    <a:p>
      <a:pPr>
        <a:defRPr sz="7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9775990876047"/>
          <c:y val="2.2274306150399905E-2"/>
          <c:w val="0.64540548013063836"/>
          <c:h val="0.93805666666666665"/>
        </c:manualLayout>
      </c:layout>
      <c:barChart>
        <c:barDir val="bar"/>
        <c:grouping val="clustered"/>
        <c:varyColors val="0"/>
        <c:ser>
          <c:idx val="0"/>
          <c:order val="0"/>
          <c:tx>
            <c:strRef>
              <c:f>Contribuciones!$A$5</c:f>
              <c:strCache>
                <c:ptCount val="1"/>
                <c:pt idx="0">
                  <c:v>Total</c:v>
                </c:pt>
              </c:strCache>
            </c:strRef>
          </c:tx>
          <c:spPr>
            <a:solidFill>
              <a:srgbClr val="08989C"/>
            </a:solidFill>
            <a:ln>
              <a:noFill/>
            </a:ln>
          </c:spPr>
          <c:invertIfNegative val="0"/>
          <c:dLbls>
            <c:dLbl>
              <c:idx val="0"/>
              <c:layout>
                <c:manualLayout>
                  <c:x val="-3.7704497878546288E-2"/>
                  <c:y val="1.1760555098200634E-3"/>
                </c:manualLayout>
              </c:layout>
              <c:numFmt formatCode="#,##0.00" sourceLinked="0"/>
              <c:spPr>
                <a:noFill/>
                <a:ln>
                  <a:noFill/>
                </a:ln>
                <a:effectLst/>
              </c:spPr>
              <c:txPr>
                <a:bodyPr rot="0"/>
                <a:lstStyle/>
                <a:p>
                  <a:pPr algn="l">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9695494225752652E-2"/>
                    </c:manualLayout>
                  </c15:layout>
                </c:ext>
                <c:ext xmlns:c16="http://schemas.microsoft.com/office/drawing/2014/chart" uri="{C3380CC4-5D6E-409C-BE32-E72D297353CC}">
                  <c16:uniqueId val="{00000000-23E3-48A4-A841-AB327A10D6A1}"/>
                </c:ext>
              </c:extLst>
            </c:dLbl>
            <c:dLbl>
              <c:idx val="1"/>
              <c:layout>
                <c:manualLayout>
                  <c:x val="-1.6405797868294603E-2"/>
                  <c:y val="-1.7248614886556546E-16"/>
                </c:manualLayout>
              </c:layout>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6997225409822516E-2"/>
                      <c:h val="3.2047605245392782E-2"/>
                    </c:manualLayout>
                  </c15:layout>
                </c:ext>
                <c:ext xmlns:c16="http://schemas.microsoft.com/office/drawing/2014/chart" uri="{C3380CC4-5D6E-409C-BE32-E72D297353CC}">
                  <c16:uniqueId val="{00000001-23E3-48A4-A841-AB327A10D6A1}"/>
                </c:ext>
              </c:extLst>
            </c:dLbl>
            <c:dLbl>
              <c:idx val="2"/>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0340193196136065E-2"/>
                      <c:h val="2.9036903140253412E-2"/>
                    </c:manualLayout>
                  </c15:layout>
                </c:ext>
                <c:ext xmlns:c16="http://schemas.microsoft.com/office/drawing/2014/chart" uri="{C3380CC4-5D6E-409C-BE32-E72D297353CC}">
                  <c16:uniqueId val="{00000002-23E3-48A4-A841-AB327A10D6A1}"/>
                </c:ext>
              </c:extLst>
            </c:dLbl>
            <c:dLbl>
              <c:idx val="3"/>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E3-48A4-A841-AB327A10D6A1}"/>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E3-48A4-A841-AB327A10D6A1}"/>
                </c:ext>
              </c:extLst>
            </c:dLbl>
            <c:dLbl>
              <c:idx val="5"/>
              <c:layout>
                <c:manualLayout>
                  <c:x val="-1.3438408397186311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5-23E3-48A4-A841-AB327A10D6A1}"/>
                </c:ext>
              </c:extLst>
            </c:dLbl>
            <c:dLbl>
              <c:idx val="6"/>
              <c:layout>
                <c:manualLayout>
                  <c:x val="1.3228081895055012E-6"/>
                  <c:y val="-4.2341702465364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E3-48A4-A841-AB327A10D6A1}"/>
                </c:ext>
              </c:extLst>
            </c:dLbl>
            <c:dLbl>
              <c:idx val="7"/>
              <c:layout>
                <c:manualLayout>
                  <c:x val="9.9210614220612339E-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E3-48A4-A841-AB327A10D6A1}"/>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E3-48A4-A841-AB327A10D6A1}"/>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E3-48A4-A841-AB327A10D6A1}"/>
                </c:ext>
              </c:extLst>
            </c:dLbl>
            <c:dLbl>
              <c:idx val="29"/>
              <c:layout>
                <c:manualLayout>
                  <c:x val="-8.3965249828861694E-4"/>
                  <c:y val="-2.3521110196401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E3-48A4-A841-AB327A10D6A1}"/>
                </c:ext>
              </c:extLst>
            </c:dLbl>
            <c:dLbl>
              <c:idx val="30"/>
              <c:layout>
                <c:manualLayout>
                  <c:x val="-5.4292347223921664E-2"/>
                  <c:y val="1.1760555098200634E-3"/>
                </c:manualLayout>
              </c:layout>
              <c:numFmt formatCode="#,##0.00" sourceLinked="0"/>
              <c:spPr>
                <a:noFill/>
                <a:ln>
                  <a:noFill/>
                </a:ln>
                <a:effectLst/>
              </c:spPr>
              <c:txPr>
                <a:bodyPr rot="0"/>
                <a:lstStyle/>
                <a:p>
                  <a:pPr algn="r">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16047316848938"/>
                      <c:h val="2.8294413921533947E-2"/>
                    </c:manualLayout>
                  </c15:layout>
                </c:ext>
                <c:ext xmlns:c16="http://schemas.microsoft.com/office/drawing/2014/chart" uri="{C3380CC4-5D6E-409C-BE32-E72D297353CC}">
                  <c16:uniqueId val="{0000000B-23E3-48A4-A841-AB327A10D6A1}"/>
                </c:ext>
              </c:extLst>
            </c:dLbl>
            <c:dLbl>
              <c:idx val="31"/>
              <c:layout>
                <c:manualLayout>
                  <c:x val="-8.3998320033599333E-3"/>
                  <c:y val="0"/>
                </c:manualLayout>
              </c:layout>
              <c:tx>
                <c:rich>
                  <a:bodyPr rot="0"/>
                  <a:lstStyle/>
                  <a:p>
                    <a:pPr algn="r">
                      <a:defRPr sz="700">
                        <a:latin typeface="+mn-lt"/>
                      </a:defRPr>
                    </a:pPr>
                    <a:r>
                      <a:rPr lang="en-US" sz="700">
                        <a:latin typeface="+mn-lt"/>
                      </a:rPr>
                      <a:t>0.45</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8007189462509969E-2"/>
                      <c:h val="3.2047605245392782E-2"/>
                    </c:manualLayout>
                  </c15:layout>
                  <c15:showDataLabelsRange val="0"/>
                </c:ext>
                <c:ext xmlns:c16="http://schemas.microsoft.com/office/drawing/2014/chart" uri="{C3380CC4-5D6E-409C-BE32-E72D297353CC}">
                  <c16:uniqueId val="{0000000C-23E3-48A4-A841-AB327A10D6A1}"/>
                </c:ext>
              </c:extLst>
            </c:dLbl>
            <c:numFmt formatCode="#,##0.00" sourceLinked="0"/>
            <c:spPr>
              <a:noFill/>
              <a:ln>
                <a:noFill/>
              </a:ln>
              <a:effectLst/>
            </c:spPr>
            <c:txPr>
              <a:bodyPr rot="0"/>
              <a:lstStyle/>
              <a:p>
                <a:pPr>
                  <a:defRPr sz="700">
                    <a:latin typeface="+mn-lt"/>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Contribuciones!$A$7:$A$38</c:f>
              <c:strCache>
                <c:ptCount val="32"/>
                <c:pt idx="0">
                  <c:v>Campeche</c:v>
                </c:pt>
                <c:pt idx="1">
                  <c:v>Tabasco</c:v>
                </c:pt>
                <c:pt idx="2">
                  <c:v>Quintana Roo</c:v>
                </c:pt>
                <c:pt idx="3">
                  <c:v>Chihuahua</c:v>
                </c:pt>
                <c:pt idx="4">
                  <c:v>Durango</c:v>
                </c:pt>
                <c:pt idx="5">
                  <c:v>Chiapas</c:v>
                </c:pt>
                <c:pt idx="6">
                  <c:v>Puebla</c:v>
                </c:pt>
                <c:pt idx="7">
                  <c:v>Tlaxcala</c:v>
                </c:pt>
                <c:pt idx="8">
                  <c:v>Sonora</c:v>
                </c:pt>
                <c:pt idx="9">
                  <c:v>Morelos</c:v>
                </c:pt>
                <c:pt idx="10">
                  <c:v>Hidalgo</c:v>
                </c:pt>
                <c:pt idx="11">
                  <c:v>Veracruz</c:v>
                </c:pt>
                <c:pt idx="12">
                  <c:v>Colima</c:v>
                </c:pt>
                <c:pt idx="13">
                  <c:v>Coahuila</c:v>
                </c:pt>
                <c:pt idx="14">
                  <c:v>Aguascalientes</c:v>
                </c:pt>
                <c:pt idx="15">
                  <c:v>Zacatecas</c:v>
                </c:pt>
                <c:pt idx="16">
                  <c:v>Yucatán</c:v>
                </c:pt>
                <c:pt idx="17">
                  <c:v>Baja California Sur</c:v>
                </c:pt>
                <c:pt idx="18">
                  <c:v>Nayarit</c:v>
                </c:pt>
                <c:pt idx="19">
                  <c:v>Sinaloa</c:v>
                </c:pt>
                <c:pt idx="20">
                  <c:v>Michoacán</c:v>
                </c:pt>
                <c:pt idx="21">
                  <c:v>Querétaro</c:v>
                </c:pt>
                <c:pt idx="22">
                  <c:v>Baja California</c:v>
                </c:pt>
                <c:pt idx="23">
                  <c:v>San Luis Potosí</c:v>
                </c:pt>
                <c:pt idx="24">
                  <c:v>Jalisco</c:v>
                </c:pt>
                <c:pt idx="25">
                  <c:v>Tamaulipas</c:v>
                </c:pt>
                <c:pt idx="26">
                  <c:v>Guerrero</c:v>
                </c:pt>
                <c:pt idx="27">
                  <c:v>Oaxaca</c:v>
                </c:pt>
                <c:pt idx="28">
                  <c:v>México</c:v>
                </c:pt>
                <c:pt idx="29">
                  <c:v>Guanajuato</c:v>
                </c:pt>
                <c:pt idx="30">
                  <c:v>Nuevo León</c:v>
                </c:pt>
                <c:pt idx="31">
                  <c:v>Ciudad de México</c:v>
                </c:pt>
              </c:strCache>
            </c:strRef>
          </c:cat>
          <c:val>
            <c:numRef>
              <c:f>Contribuciones!$B$7:$B$38</c:f>
              <c:numCache>
                <c:formatCode>0.00</c:formatCode>
                <c:ptCount val="32"/>
                <c:pt idx="0">
                  <c:v>-0.35770942738585293</c:v>
                </c:pt>
                <c:pt idx="1">
                  <c:v>-0.33907757242313269</c:v>
                </c:pt>
                <c:pt idx="2">
                  <c:v>-0.14468041157526346</c:v>
                </c:pt>
                <c:pt idx="3">
                  <c:v>-1.9553563353478708E-2</c:v>
                </c:pt>
                <c:pt idx="4">
                  <c:v>-1.1106593989815772E-2</c:v>
                </c:pt>
                <c:pt idx="5">
                  <c:v>-7.9497955388017193E-3</c:v>
                </c:pt>
                <c:pt idx="6">
                  <c:v>4.9235477070394803E-3</c:v>
                </c:pt>
                <c:pt idx="7">
                  <c:v>6.5862722859677337E-3</c:v>
                </c:pt>
                <c:pt idx="8">
                  <c:v>8.1574521791382571E-3</c:v>
                </c:pt>
                <c:pt idx="9">
                  <c:v>1.4138046741604078E-2</c:v>
                </c:pt>
                <c:pt idx="10">
                  <c:v>1.5270301622077369E-2</c:v>
                </c:pt>
                <c:pt idx="11">
                  <c:v>1.6095419205528601E-2</c:v>
                </c:pt>
                <c:pt idx="12">
                  <c:v>1.7718304010856334E-2</c:v>
                </c:pt>
                <c:pt idx="13">
                  <c:v>2.0104424063690535E-2</c:v>
                </c:pt>
                <c:pt idx="14">
                  <c:v>2.1457561823622871E-2</c:v>
                </c:pt>
                <c:pt idx="15">
                  <c:v>2.3166653576134896E-2</c:v>
                </c:pt>
                <c:pt idx="16">
                  <c:v>2.7925188577172744E-2</c:v>
                </c:pt>
                <c:pt idx="17">
                  <c:v>2.8502677453400842E-2</c:v>
                </c:pt>
                <c:pt idx="18">
                  <c:v>2.931377282730108E-2</c:v>
                </c:pt>
                <c:pt idx="19">
                  <c:v>3.2893383840225221E-2</c:v>
                </c:pt>
                <c:pt idx="20">
                  <c:v>3.3699706251786372E-2</c:v>
                </c:pt>
                <c:pt idx="21">
                  <c:v>3.5253557313336063E-2</c:v>
                </c:pt>
                <c:pt idx="22">
                  <c:v>4.4256781331090143E-2</c:v>
                </c:pt>
                <c:pt idx="23">
                  <c:v>7.1419334684540273E-2</c:v>
                </c:pt>
                <c:pt idx="24">
                  <c:v>7.2679765188697662E-2</c:v>
                </c:pt>
                <c:pt idx="25">
                  <c:v>8.0769768214542251E-2</c:v>
                </c:pt>
                <c:pt idx="26">
                  <c:v>8.6462808181198003E-2</c:v>
                </c:pt>
                <c:pt idx="27">
                  <c:v>0.10261899312261905</c:v>
                </c:pt>
                <c:pt idx="28">
                  <c:v>0.14039799697002975</c:v>
                </c:pt>
                <c:pt idx="29">
                  <c:v>0.14278045121078398</c:v>
                </c:pt>
                <c:pt idx="30">
                  <c:v>0.16098490284226449</c:v>
                </c:pt>
                <c:pt idx="31">
                  <c:v>0.44927148208574574</c:v>
                </c:pt>
              </c:numCache>
            </c:numRef>
          </c:val>
          <c:extLst>
            <c:ext xmlns:c16="http://schemas.microsoft.com/office/drawing/2014/chart" uri="{C3380CC4-5D6E-409C-BE32-E72D297353CC}">
              <c16:uniqueId val="{0000000D-23E3-48A4-A841-AB327A10D6A1}"/>
            </c:ext>
          </c:extLst>
        </c:ser>
        <c:dLbls>
          <c:showLegendKey val="0"/>
          <c:showVal val="0"/>
          <c:showCatName val="0"/>
          <c:showSerName val="0"/>
          <c:showPercent val="0"/>
          <c:showBubbleSize val="0"/>
        </c:dLbls>
        <c:gapWidth val="3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latin typeface="+mn-lt"/>
              </a:defRPr>
            </a:pPr>
            <a:endParaRPr lang="es-MX"/>
          </a:p>
        </c:txPr>
        <c:crossAx val="417157920"/>
        <c:crosses val="autoZero"/>
        <c:auto val="1"/>
        <c:lblAlgn val="ctr"/>
        <c:lblOffset val="100"/>
        <c:noMultiLvlLbl val="0"/>
      </c:catAx>
      <c:valAx>
        <c:axId val="417157920"/>
        <c:scaling>
          <c:orientation val="minMax"/>
          <c:min val="-0.5"/>
        </c:scaling>
        <c:delete val="0"/>
        <c:axPos val="b"/>
        <c:numFmt formatCode="#,##0.00" sourceLinked="0"/>
        <c:majorTickMark val="out"/>
        <c:minorTickMark val="none"/>
        <c:tickLblPos val="nextTo"/>
        <c:spPr>
          <a:ln w="9525">
            <a:solidFill>
              <a:srgbClr val="D8551E"/>
            </a:solidFill>
          </a:ln>
        </c:spPr>
        <c:txPr>
          <a:bodyPr/>
          <a:lstStyle/>
          <a:p>
            <a:pPr>
              <a:defRPr sz="700">
                <a:latin typeface="+mn-lt"/>
                <a:cs typeface="Times New Roman" panose="02020603050405020304" pitchFamily="18" charset="0"/>
              </a:defRPr>
            </a:pPr>
            <a:endParaRPr lang="es-MX"/>
          </a:p>
        </c:txPr>
        <c:crossAx val="417157528"/>
        <c:crosses val="autoZero"/>
        <c:crossBetween val="between"/>
        <c:majorUnit val="0.25"/>
      </c:valAx>
      <c:spPr>
        <a:noFill/>
        <a:ln>
          <a:noFill/>
        </a:ln>
      </c:spPr>
    </c:plotArea>
    <c:plotVisOnly val="1"/>
    <c:dispBlanksAs val="gap"/>
    <c:showDLblsOverMax val="0"/>
  </c:chart>
  <c:spPr>
    <a:noFill/>
    <a:ln w="6350">
      <a:solidFill>
        <a:srgbClr val="C0C0C0"/>
      </a:solidFill>
    </a:ln>
    <a:effectLst/>
  </c:spPr>
  <c:txPr>
    <a:bodyPr/>
    <a:lstStyle/>
    <a:p>
      <a:pPr>
        <a:defRPr sz="600">
          <a:latin typeface="Arial" panose="020B06040202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50189036869749"/>
          <c:y val="1.9088888888888891E-2"/>
          <c:w val="0.59686450845372885"/>
          <c:h val="0.95115832207437667"/>
        </c:manualLayout>
      </c:layout>
      <c:barChart>
        <c:barDir val="bar"/>
        <c:grouping val="clustered"/>
        <c:varyColors val="0"/>
        <c:ser>
          <c:idx val="0"/>
          <c:order val="0"/>
          <c:tx>
            <c:strRef>
              <c:f>'Variaciones por EF'!$P$4</c:f>
              <c:strCache>
                <c:ptCount val="1"/>
                <c:pt idx="0">
                  <c:v>Terciarias</c:v>
                </c:pt>
              </c:strCache>
            </c:strRef>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6904-4A5C-BD75-DE292B499272}"/>
              </c:ext>
            </c:extLst>
          </c:dPt>
          <c:dPt>
            <c:idx val="11"/>
            <c:invertIfNegative val="0"/>
            <c:bubble3D val="0"/>
            <c:extLst>
              <c:ext xmlns:c16="http://schemas.microsoft.com/office/drawing/2014/chart" uri="{C3380CC4-5D6E-409C-BE32-E72D297353CC}">
                <c16:uniqueId val="{00000001-6904-4A5C-BD75-DE292B499272}"/>
              </c:ext>
            </c:extLst>
          </c:dPt>
          <c:dPt>
            <c:idx val="13"/>
            <c:invertIfNegative val="0"/>
            <c:bubble3D val="0"/>
            <c:extLst>
              <c:ext xmlns:c16="http://schemas.microsoft.com/office/drawing/2014/chart" uri="{C3380CC4-5D6E-409C-BE32-E72D297353CC}">
                <c16:uniqueId val="{00000002-6904-4A5C-BD75-DE292B499272}"/>
              </c:ext>
            </c:extLst>
          </c:dPt>
          <c:dPt>
            <c:idx val="14"/>
            <c:invertIfNegative val="0"/>
            <c:bubble3D val="0"/>
            <c:extLst>
              <c:ext xmlns:c16="http://schemas.microsoft.com/office/drawing/2014/chart" uri="{C3380CC4-5D6E-409C-BE32-E72D297353CC}">
                <c16:uniqueId val="{00000003-6904-4A5C-BD75-DE292B499272}"/>
              </c:ext>
            </c:extLst>
          </c:dPt>
          <c:dPt>
            <c:idx val="15"/>
            <c:invertIfNegative val="0"/>
            <c:bubble3D val="0"/>
            <c:extLst>
              <c:ext xmlns:c16="http://schemas.microsoft.com/office/drawing/2014/chart" uri="{C3380CC4-5D6E-409C-BE32-E72D297353CC}">
                <c16:uniqueId val="{00000004-6904-4A5C-BD75-DE292B499272}"/>
              </c:ext>
            </c:extLst>
          </c:dPt>
          <c:dPt>
            <c:idx val="16"/>
            <c:invertIfNegative val="0"/>
            <c:bubble3D val="0"/>
            <c:extLst>
              <c:ext xmlns:c16="http://schemas.microsoft.com/office/drawing/2014/chart" uri="{C3380CC4-5D6E-409C-BE32-E72D297353CC}">
                <c16:uniqueId val="{00000005-6904-4A5C-BD75-DE292B499272}"/>
              </c:ext>
            </c:extLst>
          </c:dPt>
          <c:dPt>
            <c:idx val="17"/>
            <c:invertIfNegative val="0"/>
            <c:bubble3D val="0"/>
            <c:extLst>
              <c:ext xmlns:c16="http://schemas.microsoft.com/office/drawing/2014/chart" uri="{C3380CC4-5D6E-409C-BE32-E72D297353CC}">
                <c16:uniqueId val="{00000006-6904-4A5C-BD75-DE292B499272}"/>
              </c:ext>
            </c:extLst>
          </c:dPt>
          <c:dPt>
            <c:idx val="18"/>
            <c:invertIfNegative val="0"/>
            <c:bubble3D val="0"/>
            <c:extLst>
              <c:ext xmlns:c16="http://schemas.microsoft.com/office/drawing/2014/chart" uri="{C3380CC4-5D6E-409C-BE32-E72D297353CC}">
                <c16:uniqueId val="{00000007-6904-4A5C-BD75-DE292B499272}"/>
              </c:ext>
            </c:extLst>
          </c:dPt>
          <c:dPt>
            <c:idx val="19"/>
            <c:invertIfNegative val="0"/>
            <c:bubble3D val="0"/>
            <c:extLst>
              <c:ext xmlns:c16="http://schemas.microsoft.com/office/drawing/2014/chart" uri="{C3380CC4-5D6E-409C-BE32-E72D297353CC}">
                <c16:uniqueId val="{00000008-6904-4A5C-BD75-DE292B499272}"/>
              </c:ext>
            </c:extLst>
          </c:dPt>
          <c:dPt>
            <c:idx val="20"/>
            <c:invertIfNegative val="0"/>
            <c:bubble3D val="0"/>
            <c:spPr>
              <a:solidFill>
                <a:srgbClr val="C0C0C0"/>
              </a:solidFill>
              <a:ln w="0">
                <a:noFill/>
              </a:ln>
              <a:effectLst/>
            </c:spPr>
            <c:extLst>
              <c:ext xmlns:c16="http://schemas.microsoft.com/office/drawing/2014/chart" uri="{C3380CC4-5D6E-409C-BE32-E72D297353CC}">
                <c16:uniqueId val="{0000000A-6904-4A5C-BD75-DE292B499272}"/>
              </c:ext>
            </c:extLst>
          </c:dPt>
          <c:dPt>
            <c:idx val="23"/>
            <c:invertIfNegative val="0"/>
            <c:bubble3D val="0"/>
            <c:extLst>
              <c:ext xmlns:c16="http://schemas.microsoft.com/office/drawing/2014/chart" uri="{C3380CC4-5D6E-409C-BE32-E72D297353CC}">
                <c16:uniqueId val="{0000000B-6904-4A5C-BD75-DE292B499272}"/>
              </c:ext>
            </c:extLst>
          </c:dPt>
          <c:dLbls>
            <c:dLbl>
              <c:idx val="0"/>
              <c:layout>
                <c:manualLayout>
                  <c:x val="-1.6002010668448047E-2"/>
                  <c:y val="-7.439260048497274E-4"/>
                </c:manualLayout>
              </c:layout>
              <c:numFmt formatCode="#,##0.0" sourceLinked="0"/>
              <c:spPr>
                <a:noFill/>
                <a:ln>
                  <a:noFill/>
                </a:ln>
                <a:effectLst/>
              </c:spPr>
              <c:txPr>
                <a:bodyPr wrap="square" lIns="38100" tIns="19050" rIns="38100" bIns="19050" anchor="ctr">
                  <a:noAutofit/>
                </a:bodyPr>
                <a:lstStyle/>
                <a:p>
                  <a:pPr>
                    <a:defRPr sz="70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9.451894426678395E-2"/>
                      <c:h val="2.6684792120613289E-2"/>
                    </c:manualLayout>
                  </c15:layout>
                </c:ext>
                <c:ext xmlns:c16="http://schemas.microsoft.com/office/drawing/2014/chart" uri="{C3380CC4-5D6E-409C-BE32-E72D297353CC}">
                  <c16:uniqueId val="{0000000C-6904-4A5C-BD75-DE292B499272}"/>
                </c:ext>
              </c:extLst>
            </c:dLbl>
            <c:dLbl>
              <c:idx val="1"/>
              <c:layout>
                <c:manualLayout>
                  <c:x val="-7.781746031746032E-3"/>
                  <c:y val="-7.0199999999989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04-4A5C-BD75-DE292B499272}"/>
                </c:ext>
              </c:extLst>
            </c:dLbl>
            <c:dLbl>
              <c:idx val="2"/>
              <c:layout>
                <c:manualLayout>
                  <c:x val="-7.7853174603174603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04-4A5C-BD75-DE292B499272}"/>
                </c:ext>
              </c:extLst>
            </c:dLbl>
            <c:dLbl>
              <c:idx val="3"/>
              <c:layout>
                <c:manualLayout>
                  <c:x val="-1.2821825396825397E-2"/>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04-4A5C-BD75-DE292B499272}"/>
                </c:ext>
              </c:extLst>
            </c:dLbl>
            <c:dLbl>
              <c:idx val="4"/>
              <c:layout>
                <c:manualLayout>
                  <c:x val="-9.9796287538816073E-2"/>
                  <c:y val="-3.0540402136900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04-4A5C-BD75-DE292B499272}"/>
                </c:ext>
              </c:extLst>
            </c:dLbl>
            <c:dLbl>
              <c:idx val="5"/>
              <c:layout>
                <c:manualLayout>
                  <c:x val="-9.9797610347005586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04-4A5C-BD75-DE292B499272}"/>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04-4A5C-BD75-DE292B499272}"/>
                </c:ext>
              </c:extLst>
            </c:dLbl>
            <c:dLbl>
              <c:idx val="7"/>
              <c:layout>
                <c:manualLayout>
                  <c:x val="-1.4297076263199222E-2"/>
                  <c:y val="-2.1131032030381127E-3"/>
                </c:manualLayout>
              </c:layout>
              <c:showLegendKey val="0"/>
              <c:showVal val="1"/>
              <c:showCatName val="0"/>
              <c:showSerName val="0"/>
              <c:showPercent val="0"/>
              <c:showBubbleSize val="0"/>
              <c:extLst>
                <c:ext xmlns:c15="http://schemas.microsoft.com/office/drawing/2012/chart" uri="{CE6537A1-D6FC-4f65-9D91-7224C49458BB}">
                  <c15:layout>
                    <c:manualLayout>
                      <c:w val="9.4540079365079382E-2"/>
                      <c:h val="3.0646444444444445E-2"/>
                    </c:manualLayout>
                  </c15:layout>
                </c:ext>
                <c:ext xmlns:c16="http://schemas.microsoft.com/office/drawing/2014/chart" uri="{C3380CC4-5D6E-409C-BE32-E72D297353CC}">
                  <c16:uniqueId val="{00000013-6904-4A5C-BD75-DE292B499272}"/>
                </c:ext>
              </c:extLst>
            </c:dLbl>
            <c:dLbl>
              <c:idx val="8"/>
              <c:layout>
                <c:manualLayout>
                  <c:x val="-1.9286543402990978E-3"/>
                  <c:y val="-7.020016743874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904-4A5C-BD75-DE292B499272}"/>
                </c:ext>
              </c:extLst>
            </c:dLbl>
            <c:dLbl>
              <c:idx val="9"/>
              <c:layout>
                <c:manualLayout>
                  <c:x val="-1.0761507936507844E-2"/>
                  <c:y val="-7.0200000000000004E-4"/>
                </c:manualLayout>
              </c:layout>
              <c:showLegendKey val="0"/>
              <c:showVal val="1"/>
              <c:showCatName val="0"/>
              <c:showSerName val="0"/>
              <c:showPercent val="0"/>
              <c:showBubbleSize val="0"/>
              <c:extLst>
                <c:ext xmlns:c15="http://schemas.microsoft.com/office/drawing/2012/chart" uri="{CE6537A1-D6FC-4f65-9D91-7224C49458BB}">
                  <c15:layout>
                    <c:manualLayout>
                      <c:w val="9.7442063492063496E-2"/>
                      <c:h val="3.3570444444444444E-2"/>
                    </c:manualLayout>
                  </c15:layout>
                </c:ext>
                <c:ext xmlns:c16="http://schemas.microsoft.com/office/drawing/2014/chart" uri="{C3380CC4-5D6E-409C-BE32-E72D297353CC}">
                  <c16:uniqueId val="{00000015-6904-4A5C-BD75-DE292B499272}"/>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0-6904-4A5C-BD75-DE292B499272}"/>
                </c:ext>
              </c:extLst>
            </c:dLbl>
            <c:dLbl>
              <c:idx val="11"/>
              <c:layout>
                <c:manualLayout>
                  <c:x val="-3.251984126984127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04-4A5C-BD75-DE292B499272}"/>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904-4A5C-BD75-DE292B499272}"/>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4-4A5C-BD75-DE292B499272}"/>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4-4A5C-BD75-DE292B499272}"/>
                </c:ext>
              </c:extLst>
            </c:dLbl>
            <c:dLbl>
              <c:idx val="15"/>
              <c:layout>
                <c:manualLayout>
                  <c:x val="-3.6634920634920636E-3"/>
                  <c:y val="-3.5242222222223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04-4A5C-BD75-DE292B499272}"/>
                </c:ext>
              </c:extLst>
            </c:dLbl>
            <c:dLbl>
              <c:idx val="16"/>
              <c:layout>
                <c:manualLayout>
                  <c:x val="-3.6642857142857141E-3"/>
                  <c:y val="-1.0348028606838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4-4A5C-BD75-DE292B499272}"/>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04-4A5C-BD75-DE292B499272}"/>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04-4A5C-BD75-DE292B499272}"/>
                </c:ext>
              </c:extLst>
            </c:dLbl>
            <c:dLbl>
              <c:idx val="19"/>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04-4A5C-BD75-DE292B499272}"/>
                </c:ext>
              </c:extLst>
            </c:dLbl>
            <c:dLbl>
              <c:idx val="20"/>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04-4A5C-BD75-DE292B499272}"/>
                </c:ext>
              </c:extLst>
            </c:dLbl>
            <c:dLbl>
              <c:idx val="21"/>
              <c:layout>
                <c:manualLayout>
                  <c:x val="-3.66507936507936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904-4A5C-BD75-DE292B499272}"/>
                </c:ext>
              </c:extLst>
            </c:dLbl>
            <c:dLbl>
              <c:idx val="22"/>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904-4A5C-BD75-DE292B499272}"/>
                </c:ext>
              </c:extLst>
            </c:dLbl>
            <c:dLbl>
              <c:idx val="23"/>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04-4A5C-BD75-DE292B499272}"/>
                </c:ext>
              </c:extLst>
            </c:dLbl>
            <c:dLbl>
              <c:idx val="24"/>
              <c:layout>
                <c:manualLayout>
                  <c:x val="-3.6650793650793651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904-4A5C-BD75-DE292B499272}"/>
                </c:ext>
              </c:extLst>
            </c:dLbl>
            <c:dLbl>
              <c:idx val="25"/>
              <c:layout>
                <c:manualLayout>
                  <c:x val="-3.6650793650793651E-3"/>
                  <c:y val="-2.82222222222222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904-4A5C-BD75-DE292B499272}"/>
                </c:ext>
              </c:extLst>
            </c:dLbl>
            <c:dLbl>
              <c:idx val="26"/>
              <c:layout>
                <c:manualLayout>
                  <c:x val="-3.6650793650794575E-3"/>
                  <c:y val="-2.8222222222222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904-4A5C-BD75-DE292B499272}"/>
                </c:ext>
              </c:extLst>
            </c:dLbl>
            <c:dLbl>
              <c:idx val="27"/>
              <c:layout>
                <c:manualLayout>
                  <c:x val="-2.0387698412698413E-2"/>
                  <c:y val="-3.5077777777780362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6904-4A5C-BD75-DE292B499272}"/>
                </c:ext>
              </c:extLst>
            </c:dLbl>
            <c:dLbl>
              <c:idx val="28"/>
              <c:layout>
                <c:manualLayout>
                  <c:x val="-8.7047392910410276E-3"/>
                  <c:y val="-2.15005921722906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904-4A5C-BD75-DE292B499272}"/>
                </c:ext>
              </c:extLst>
            </c:dLbl>
            <c:dLbl>
              <c:idx val="29"/>
              <c:layout>
                <c:manualLayout>
                  <c:x val="-8.7047392910409513E-3"/>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904-4A5C-BD75-DE292B499272}"/>
                </c:ext>
              </c:extLst>
            </c:dLbl>
            <c:dLbl>
              <c:idx val="30"/>
              <c:layout>
                <c:manualLayout>
                  <c:x val="-4.5048232893609846E-3"/>
                  <c:y val="-1.0780384304097841E-17"/>
                </c:manualLayout>
              </c:layout>
              <c:numFmt formatCode="#,##0.0" sourceLinked="0"/>
              <c:spPr>
                <a:noFill/>
                <a:ln>
                  <a:noFill/>
                </a:ln>
                <a:effectLst/>
              </c:spPr>
              <c:txPr>
                <a:bodyPr wrap="square" lIns="38100" tIns="19050" rIns="38100" bIns="19050" anchor="ctr">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904-4A5C-BD75-DE292B499272}"/>
                </c:ext>
              </c:extLst>
            </c:dLbl>
            <c:dLbl>
              <c:idx val="31"/>
              <c:layout>
                <c:manualLayout>
                  <c:x val="-1.9204363944217179E-2"/>
                  <c:y val="2.3521110196401268E-3"/>
                </c:manualLayout>
              </c:layout>
              <c:numFmt formatCode="#,##0.0" sourceLinked="0"/>
              <c:spPr>
                <a:noFill/>
                <a:ln>
                  <a:noFill/>
                </a:ln>
                <a:effectLst/>
              </c:spPr>
              <c:txPr>
                <a:bodyPr wrap="square" lIns="38100" tIns="19050" rIns="38100" bIns="19050" anchor="ctr">
                  <a:no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8.1583202981609648E-2"/>
                      <c:h val="3.2047605245392782E-2"/>
                    </c:manualLayout>
                  </c15:layout>
                </c:ext>
                <c:ext xmlns:c16="http://schemas.microsoft.com/office/drawing/2014/chart" uri="{C3380CC4-5D6E-409C-BE32-E72D297353CC}">
                  <c16:uniqueId val="{00000020-6904-4A5C-BD75-DE292B499272}"/>
                </c:ext>
              </c:extLst>
            </c:dLbl>
            <c:dLbl>
              <c:idx val="32"/>
              <c:layout>
                <c:manualLayout>
                  <c:x val="-1.3763488509757518E-2"/>
                  <c:y val="9.2344340224622072E-8"/>
                </c:manualLayout>
              </c:layout>
              <c:numFmt formatCode="#,##0.0" sourceLinked="0"/>
              <c:spPr>
                <a:noFill/>
                <a:ln>
                  <a:noFill/>
                </a:ln>
                <a:effectLst/>
              </c:spPr>
              <c:txPr>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0296110613220806"/>
                      <c:h val="3.3734495616137131E-2"/>
                    </c:manualLayout>
                  </c15:layout>
                </c:ext>
                <c:ext xmlns:c16="http://schemas.microsoft.com/office/drawing/2014/chart" uri="{C3380CC4-5D6E-409C-BE32-E72D297353CC}">
                  <c16:uniqueId val="{00000021-6904-4A5C-BD75-DE292B499272}"/>
                </c:ext>
              </c:extLst>
            </c:dLbl>
            <c:numFmt formatCode="#,##0.0" sourceLinked="0"/>
            <c:spPr>
              <a:noFill/>
              <a:ln>
                <a:noFill/>
              </a:ln>
              <a:effectLst/>
            </c:spPr>
            <c:txPr>
              <a:bodyPr wrap="square" lIns="38100" tIns="19050" rIns="38100" bIns="1905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EF'!$O$6:$O$38</c:f>
              <c:strCache>
                <c:ptCount val="33"/>
                <c:pt idx="0">
                  <c:v>Chiapas</c:v>
                </c:pt>
                <c:pt idx="1">
                  <c:v>Baja California</c:v>
                </c:pt>
                <c:pt idx="2">
                  <c:v>Oaxaca</c:v>
                </c:pt>
                <c:pt idx="3">
                  <c:v>Sinaloa</c:v>
                </c:pt>
                <c:pt idx="4">
                  <c:v>Querétaro</c:v>
                </c:pt>
                <c:pt idx="5">
                  <c:v>Jalisco</c:v>
                </c:pt>
                <c:pt idx="6">
                  <c:v>Sonora</c:v>
                </c:pt>
                <c:pt idx="7">
                  <c:v>San Luis Potosí</c:v>
                </c:pt>
                <c:pt idx="8">
                  <c:v>Morelos</c:v>
                </c:pt>
                <c:pt idx="9">
                  <c:v>Veracruz </c:v>
                </c:pt>
                <c:pt idx="10">
                  <c:v>Zacatecas</c:v>
                </c:pt>
                <c:pt idx="11">
                  <c:v>Colima</c:v>
                </c:pt>
                <c:pt idx="12">
                  <c:v>Tamaulipas</c:v>
                </c:pt>
                <c:pt idx="13">
                  <c:v>Tabasco</c:v>
                </c:pt>
                <c:pt idx="14">
                  <c:v>Chihuahua</c:v>
                </c:pt>
                <c:pt idx="15">
                  <c:v>Guanajuato</c:v>
                </c:pt>
                <c:pt idx="16">
                  <c:v>Durango</c:v>
                </c:pt>
                <c:pt idx="17">
                  <c:v>Nuevo León</c:v>
                </c:pt>
                <c:pt idx="18">
                  <c:v>Campeche</c:v>
                </c:pt>
                <c:pt idx="19">
                  <c:v>Michoacán </c:v>
                </c:pt>
                <c:pt idx="20">
                  <c:v>Nacional</c:v>
                </c:pt>
                <c:pt idx="21">
                  <c:v>México</c:v>
                </c:pt>
                <c:pt idx="22">
                  <c:v>Tlaxcala</c:v>
                </c:pt>
                <c:pt idx="23">
                  <c:v>Hidalgo</c:v>
                </c:pt>
                <c:pt idx="24">
                  <c:v>Nayarit</c:v>
                </c:pt>
                <c:pt idx="25">
                  <c:v>Aguascalientes</c:v>
                </c:pt>
                <c:pt idx="26">
                  <c:v>Coahuila </c:v>
                </c:pt>
                <c:pt idx="27">
                  <c:v>Puebla</c:v>
                </c:pt>
                <c:pt idx="28">
                  <c:v>Ciudad de México</c:v>
                </c:pt>
                <c:pt idx="29">
                  <c:v>Quintana Roo</c:v>
                </c:pt>
                <c:pt idx="30">
                  <c:v>Yucatán</c:v>
                </c:pt>
                <c:pt idx="31">
                  <c:v>Baja California Sur</c:v>
                </c:pt>
                <c:pt idx="32">
                  <c:v>Guerrero</c:v>
                </c:pt>
              </c:strCache>
            </c:strRef>
          </c:cat>
          <c:val>
            <c:numRef>
              <c:f>'Variaciones por EF'!$P$6:$P$38</c:f>
              <c:numCache>
                <c:formatCode>0.0</c:formatCode>
                <c:ptCount val="33"/>
                <c:pt idx="0">
                  <c:v>-1.8585017064016967</c:v>
                </c:pt>
                <c:pt idx="1">
                  <c:v>-0.63270859807300894</c:v>
                </c:pt>
                <c:pt idx="2">
                  <c:v>-0.35672342851825078</c:v>
                </c:pt>
                <c:pt idx="3">
                  <c:v>-0.12254315288950579</c:v>
                </c:pt>
                <c:pt idx="4">
                  <c:v>-4.7839312870806339E-2</c:v>
                </c:pt>
                <c:pt idx="5">
                  <c:v>-4.3104946442326764E-2</c:v>
                </c:pt>
                <c:pt idx="6">
                  <c:v>5.4820286489842829E-3</c:v>
                </c:pt>
                <c:pt idx="7">
                  <c:v>3.1017833874287248E-2</c:v>
                </c:pt>
                <c:pt idx="8">
                  <c:v>0.35558879027075818</c:v>
                </c:pt>
                <c:pt idx="9">
                  <c:v>0.38905442639909893</c:v>
                </c:pt>
                <c:pt idx="10">
                  <c:v>0.58412850194062571</c:v>
                </c:pt>
                <c:pt idx="11">
                  <c:v>0.63096687288182807</c:v>
                </c:pt>
                <c:pt idx="12">
                  <c:v>0.72781750730838723</c:v>
                </c:pt>
                <c:pt idx="13">
                  <c:v>0.74761376543162328</c:v>
                </c:pt>
                <c:pt idx="14">
                  <c:v>0.77516619949204824</c:v>
                </c:pt>
                <c:pt idx="15">
                  <c:v>0.78308992266941857</c:v>
                </c:pt>
                <c:pt idx="16">
                  <c:v>0.87793834208386556</c:v>
                </c:pt>
                <c:pt idx="17">
                  <c:v>1.0670159175426193</c:v>
                </c:pt>
                <c:pt idx="18">
                  <c:v>1.0969251490718506</c:v>
                </c:pt>
                <c:pt idx="19">
                  <c:v>1.1932059093209944</c:v>
                </c:pt>
                <c:pt idx="20">
                  <c:v>1.2999265896423822</c:v>
                </c:pt>
                <c:pt idx="21">
                  <c:v>1.450310603371463</c:v>
                </c:pt>
                <c:pt idx="22">
                  <c:v>1.5492024577725232</c:v>
                </c:pt>
                <c:pt idx="23">
                  <c:v>1.6988800978602399</c:v>
                </c:pt>
                <c:pt idx="24">
                  <c:v>1.9145081248357769</c:v>
                </c:pt>
                <c:pt idx="25">
                  <c:v>2.0859019605031364</c:v>
                </c:pt>
                <c:pt idx="26">
                  <c:v>2.107568453229149</c:v>
                </c:pt>
                <c:pt idx="27">
                  <c:v>2.1760958676648983</c:v>
                </c:pt>
                <c:pt idx="28">
                  <c:v>2.394109621590772</c:v>
                </c:pt>
                <c:pt idx="29">
                  <c:v>2.5640390038330025</c:v>
                </c:pt>
                <c:pt idx="30">
                  <c:v>2.6671534115114213</c:v>
                </c:pt>
                <c:pt idx="31">
                  <c:v>3.1691800328348165</c:v>
                </c:pt>
                <c:pt idx="32">
                  <c:v>8.7600365943829956</c:v>
                </c:pt>
              </c:numCache>
            </c:numRef>
          </c:val>
          <c:extLst>
            <c:ext xmlns:c16="http://schemas.microsoft.com/office/drawing/2014/chart" uri="{C3380CC4-5D6E-409C-BE32-E72D297353CC}">
              <c16:uniqueId val="{00000022-6904-4A5C-BD75-DE292B499272}"/>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max val="10"/>
          <c:min val="-4"/>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4"/>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548108880342079"/>
          <c:y val="2.2274222222222223E-2"/>
          <c:w val="0.56253873347729899"/>
          <c:h val="0.93805666666666665"/>
        </c:manualLayout>
      </c:layout>
      <c:barChart>
        <c:barDir val="bar"/>
        <c:grouping val="clustered"/>
        <c:varyColors val="0"/>
        <c:ser>
          <c:idx val="0"/>
          <c:order val="0"/>
          <c:spPr>
            <a:solidFill>
              <a:srgbClr val="08989C"/>
            </a:solidFill>
            <a:ln>
              <a:noFill/>
            </a:ln>
          </c:spPr>
          <c:invertIfNegative val="0"/>
          <c:dLbls>
            <c:dLbl>
              <c:idx val="0"/>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8597393406462582E-2"/>
                      <c:h val="2.2639161166832275E-2"/>
                    </c:manualLayout>
                  </c15:layout>
                </c:ext>
                <c:ext xmlns:c16="http://schemas.microsoft.com/office/drawing/2014/chart" uri="{C3380CC4-5D6E-409C-BE32-E72D297353CC}">
                  <c16:uniqueId val="{00000000-7C92-4493-AC00-5FF2722307BC}"/>
                </c:ext>
              </c:extLst>
            </c:dLbl>
            <c:dLbl>
              <c:idx val="3"/>
              <c:layout>
                <c:manualLayout>
                  <c:x val="-9.65980680386392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92-4493-AC00-5FF2722307BC}"/>
                </c:ext>
              </c:extLst>
            </c:dLbl>
            <c:dLbl>
              <c:idx val="4"/>
              <c:layout>
                <c:manualLayout>
                  <c:x val="-0.10079732263622444"/>
                  <c:y val="-1.724861488655654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92-4493-AC00-5FF2722307BC}"/>
                </c:ext>
              </c:extLst>
            </c:dLbl>
            <c:dLbl>
              <c:idx val="5"/>
              <c:layout>
                <c:manualLayout>
                  <c:x val="-0.11843630843918555"/>
                  <c:y val="2.352203622436175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3-7C92-4493-AC00-5FF2722307BC}"/>
                </c:ext>
              </c:extLst>
            </c:dLbl>
            <c:dLbl>
              <c:idx val="6"/>
              <c:layout>
                <c:manualLayout>
                  <c:x val="3.9682539682539683E-7"/>
                  <c:y val="2.82222222222211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92-4493-AC00-5FF2722307BC}"/>
                </c:ext>
              </c:extLst>
            </c:dLbl>
            <c:dLbl>
              <c:idx val="15"/>
              <c:layout>
                <c:manualLayout>
                  <c:x val="4.19991600167988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92-4493-AC00-5FF2722307BC}"/>
                </c:ext>
              </c:extLst>
            </c:dLbl>
            <c:dLbl>
              <c:idx val="1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92-4493-AC00-5FF2722307BC}"/>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92-4493-AC00-5FF2722307BC}"/>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92-4493-AC00-5FF2722307BC}"/>
                </c:ext>
              </c:extLst>
            </c:dLbl>
            <c:dLbl>
              <c:idx val="29"/>
              <c:layout>
                <c:manualLayout>
                  <c:x val="-8.39652498288770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92-4493-AC00-5FF2722307BC}"/>
                </c:ext>
              </c:extLst>
            </c:dLbl>
            <c:dLbl>
              <c:idx val="30"/>
              <c:layout>
                <c:manualLayout>
                  <c:x val="-4.4605918905243944E-2"/>
                  <c:y val="1.1760555098200634E-3"/>
                </c:manualLayout>
              </c:layout>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09605571668094"/>
                      <c:h val="2.8294413921533947E-2"/>
                    </c:manualLayout>
                  </c15:layout>
                </c:ext>
                <c:ext xmlns:c16="http://schemas.microsoft.com/office/drawing/2014/chart" uri="{C3380CC4-5D6E-409C-BE32-E72D297353CC}">
                  <c16:uniqueId val="{0000000A-7C92-4493-AC00-5FF2722307BC}"/>
                </c:ext>
              </c:extLst>
            </c:dLbl>
            <c:dLbl>
              <c:idx val="31"/>
              <c:layout>
                <c:manualLayout>
                  <c:x val="-3.619418162817846E-2"/>
                  <c:y val="-2.3521110196401268E-3"/>
                </c:manualLayout>
              </c:layout>
              <c:tx>
                <c:rich>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0.52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749701541402241"/>
                      <c:h val="2.7343383206112525E-2"/>
                    </c:manualLayout>
                  </c15:layout>
                  <c15:showDataLabelsRange val="0"/>
                </c:ext>
                <c:ext xmlns:c16="http://schemas.microsoft.com/office/drawing/2014/chart" uri="{C3380CC4-5D6E-409C-BE32-E72D297353CC}">
                  <c16:uniqueId val="{0000000B-7C92-4493-AC00-5FF2722307BC}"/>
                </c:ext>
              </c:extLst>
            </c:dLbl>
            <c:numFmt formatCode="#,##0.00" sourceLinked="0"/>
            <c:spPr>
              <a:noFill/>
              <a:ln>
                <a:noFill/>
              </a:ln>
              <a:effectLst/>
            </c:spPr>
            <c:txPr>
              <a:bodyPr rot="0" lIns="0" tIns="0" rIns="0" bIns="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Contribuciones!$J$7:$J$38</c:f>
              <c:strCache>
                <c:ptCount val="32"/>
                <c:pt idx="0">
                  <c:v>Chiapas</c:v>
                </c:pt>
                <c:pt idx="1">
                  <c:v>Baja California</c:v>
                </c:pt>
                <c:pt idx="2">
                  <c:v>Oaxaca</c:v>
                </c:pt>
                <c:pt idx="3">
                  <c:v>Jalisco</c:v>
                </c:pt>
                <c:pt idx="4">
                  <c:v>Sinaloa</c:v>
                </c:pt>
                <c:pt idx="5">
                  <c:v>Querétaro</c:v>
                </c:pt>
                <c:pt idx="6">
                  <c:v>Sonora</c:v>
                </c:pt>
                <c:pt idx="7">
                  <c:v>San Luis Potosí</c:v>
                </c:pt>
                <c:pt idx="8">
                  <c:v>Morelos</c:v>
                </c:pt>
                <c:pt idx="9">
                  <c:v>Zacatecas</c:v>
                </c:pt>
                <c:pt idx="10">
                  <c:v>Colima</c:v>
                </c:pt>
                <c:pt idx="11">
                  <c:v>Campeche</c:v>
                </c:pt>
                <c:pt idx="12">
                  <c:v>Tlaxcala</c:v>
                </c:pt>
                <c:pt idx="13">
                  <c:v>Durango</c:v>
                </c:pt>
                <c:pt idx="14">
                  <c:v>Tabasco</c:v>
                </c:pt>
                <c:pt idx="15">
                  <c:v>Nayarit</c:v>
                </c:pt>
                <c:pt idx="16">
                  <c:v>Veracruz </c:v>
                </c:pt>
                <c:pt idx="17">
                  <c:v>Tamaulipas</c:v>
                </c:pt>
                <c:pt idx="18">
                  <c:v>Aguascalientes</c:v>
                </c:pt>
                <c:pt idx="19">
                  <c:v>Chihuahua</c:v>
                </c:pt>
                <c:pt idx="20">
                  <c:v>Hidalgo</c:v>
                </c:pt>
                <c:pt idx="21">
                  <c:v>Baja California Sur</c:v>
                </c:pt>
                <c:pt idx="22">
                  <c:v>Guanajuato</c:v>
                </c:pt>
                <c:pt idx="23">
                  <c:v>Michoacán</c:v>
                </c:pt>
                <c:pt idx="24">
                  <c:v>Yucatán</c:v>
                </c:pt>
                <c:pt idx="25">
                  <c:v>Quintana Roo</c:v>
                </c:pt>
                <c:pt idx="26">
                  <c:v>Coahuila </c:v>
                </c:pt>
                <c:pt idx="27">
                  <c:v>Puebla</c:v>
                </c:pt>
                <c:pt idx="28">
                  <c:v>Nuevo León</c:v>
                </c:pt>
                <c:pt idx="29">
                  <c:v>Guerrero</c:v>
                </c:pt>
                <c:pt idx="30">
                  <c:v>México</c:v>
                </c:pt>
                <c:pt idx="31">
                  <c:v>Ciudad de México</c:v>
                </c:pt>
              </c:strCache>
            </c:strRef>
          </c:cat>
          <c:val>
            <c:numRef>
              <c:f>Contribuciones!$K$7:$K$38</c:f>
              <c:numCache>
                <c:formatCode>#,##0.00</c:formatCode>
                <c:ptCount val="32"/>
                <c:pt idx="0">
                  <c:v>-3.5377189363130897E-2</c:v>
                </c:pt>
                <c:pt idx="1">
                  <c:v>-1.916677639899814E-2</c:v>
                </c:pt>
                <c:pt idx="2">
                  <c:v>-6.19758443967684E-3</c:v>
                </c:pt>
                <c:pt idx="3">
                  <c:v>-3.1731180434094878E-3</c:v>
                </c:pt>
                <c:pt idx="4">
                  <c:v>-2.8878131080194614E-3</c:v>
                </c:pt>
                <c:pt idx="5">
                  <c:v>-1.0037051878297599E-3</c:v>
                </c:pt>
                <c:pt idx="6">
                  <c:v>1.2776115462122302E-4</c:v>
                </c:pt>
                <c:pt idx="7">
                  <c:v>5.2303329553093512E-4</c:v>
                </c:pt>
                <c:pt idx="8">
                  <c:v>4.0638348446448381E-3</c:v>
                </c:pt>
                <c:pt idx="9">
                  <c:v>4.5231764243875445E-3</c:v>
                </c:pt>
                <c:pt idx="10">
                  <c:v>4.6354203298908771E-3</c:v>
                </c:pt>
                <c:pt idx="11">
                  <c:v>6.9048916367229147E-3</c:v>
                </c:pt>
                <c:pt idx="12">
                  <c:v>8.8201974815731946E-3</c:v>
                </c:pt>
                <c:pt idx="13">
                  <c:v>9.298785567824281E-3</c:v>
                </c:pt>
                <c:pt idx="14">
                  <c:v>1.0778521527526995E-2</c:v>
                </c:pt>
                <c:pt idx="15">
                  <c:v>1.4730998088421463E-2</c:v>
                </c:pt>
                <c:pt idx="16">
                  <c:v>1.7187885744737334E-2</c:v>
                </c:pt>
                <c:pt idx="17">
                  <c:v>1.8991614954500694E-2</c:v>
                </c:pt>
                <c:pt idx="18">
                  <c:v>2.1732295966981788E-2</c:v>
                </c:pt>
                <c:pt idx="19">
                  <c:v>2.1734646398186484E-2</c:v>
                </c:pt>
                <c:pt idx="20">
                  <c:v>2.7531891817262351E-2</c:v>
                </c:pt>
                <c:pt idx="21">
                  <c:v>2.8864365568386008E-2</c:v>
                </c:pt>
                <c:pt idx="22">
                  <c:v>3.1374578370655042E-2</c:v>
                </c:pt>
                <c:pt idx="23">
                  <c:v>3.5048893788027606E-2</c:v>
                </c:pt>
                <c:pt idx="24">
                  <c:v>4.7203652342100146E-2</c:v>
                </c:pt>
                <c:pt idx="25">
                  <c:v>4.8021192107213562E-2</c:v>
                </c:pt>
                <c:pt idx="26">
                  <c:v>5.0177075578197096E-2</c:v>
                </c:pt>
                <c:pt idx="27">
                  <c:v>7.2546753099675218E-2</c:v>
                </c:pt>
                <c:pt idx="28">
                  <c:v>7.7370656356149675E-2</c:v>
                </c:pt>
                <c:pt idx="29">
                  <c:v>0.1382989766958157</c:v>
                </c:pt>
                <c:pt idx="30">
                  <c:v>0.14607113303101618</c:v>
                </c:pt>
                <c:pt idx="31">
                  <c:v>0.52117054401337337</c:v>
                </c:pt>
              </c:numCache>
            </c:numRef>
          </c:val>
          <c:extLst>
            <c:ext xmlns:c16="http://schemas.microsoft.com/office/drawing/2014/chart" uri="{C3380CC4-5D6E-409C-BE32-E72D297353CC}">
              <c16:uniqueId val="{0000000C-7C92-4493-AC00-5FF2722307BC}"/>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7920"/>
        <c:crosses val="autoZero"/>
        <c:auto val="1"/>
        <c:lblAlgn val="ctr"/>
        <c:lblOffset val="100"/>
        <c:noMultiLvlLbl val="0"/>
      </c:catAx>
      <c:valAx>
        <c:axId val="417157920"/>
        <c:scaling>
          <c:orientation val="minMax"/>
          <c:max val="0.60000000000000009"/>
          <c:min val="-0.2"/>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7528"/>
        <c:crosses val="autoZero"/>
        <c:crossBetween val="between"/>
        <c:majorUnit val="0.2"/>
        <c:minorUnit val="0.1"/>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00317460317458"/>
          <c:y val="1.9088888888888891E-2"/>
          <c:w val="0.55954329004329006"/>
          <c:h val="0.95115832207437667"/>
        </c:manualLayout>
      </c:layout>
      <c:barChart>
        <c:barDir val="bar"/>
        <c:grouping val="clustered"/>
        <c:varyColors val="0"/>
        <c:ser>
          <c:idx val="0"/>
          <c:order val="0"/>
          <c:tx>
            <c:v>Primarias</c:v>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E7F6-424F-BA10-AD01C1CD6953}"/>
              </c:ext>
            </c:extLst>
          </c:dPt>
          <c:dPt>
            <c:idx val="11"/>
            <c:invertIfNegative val="0"/>
            <c:bubble3D val="0"/>
            <c:extLst>
              <c:ext xmlns:c16="http://schemas.microsoft.com/office/drawing/2014/chart" uri="{C3380CC4-5D6E-409C-BE32-E72D297353CC}">
                <c16:uniqueId val="{00000001-E7F6-424F-BA10-AD01C1CD6953}"/>
              </c:ext>
            </c:extLst>
          </c:dPt>
          <c:dPt>
            <c:idx val="13"/>
            <c:invertIfNegative val="0"/>
            <c:bubble3D val="0"/>
            <c:extLst>
              <c:ext xmlns:c16="http://schemas.microsoft.com/office/drawing/2014/chart" uri="{C3380CC4-5D6E-409C-BE32-E72D297353CC}">
                <c16:uniqueId val="{00000002-E7F6-424F-BA10-AD01C1CD6953}"/>
              </c:ext>
            </c:extLst>
          </c:dPt>
          <c:dPt>
            <c:idx val="14"/>
            <c:invertIfNegative val="0"/>
            <c:bubble3D val="0"/>
            <c:extLst>
              <c:ext xmlns:c16="http://schemas.microsoft.com/office/drawing/2014/chart" uri="{C3380CC4-5D6E-409C-BE32-E72D297353CC}">
                <c16:uniqueId val="{00000003-E7F6-424F-BA10-AD01C1CD6953}"/>
              </c:ext>
            </c:extLst>
          </c:dPt>
          <c:dPt>
            <c:idx val="15"/>
            <c:invertIfNegative val="0"/>
            <c:bubble3D val="0"/>
            <c:extLst>
              <c:ext xmlns:c16="http://schemas.microsoft.com/office/drawing/2014/chart" uri="{C3380CC4-5D6E-409C-BE32-E72D297353CC}">
                <c16:uniqueId val="{00000004-E7F6-424F-BA10-AD01C1CD6953}"/>
              </c:ext>
            </c:extLst>
          </c:dPt>
          <c:dPt>
            <c:idx val="16"/>
            <c:invertIfNegative val="0"/>
            <c:bubble3D val="0"/>
            <c:extLst>
              <c:ext xmlns:c16="http://schemas.microsoft.com/office/drawing/2014/chart" uri="{C3380CC4-5D6E-409C-BE32-E72D297353CC}">
                <c16:uniqueId val="{00000005-E7F6-424F-BA10-AD01C1CD6953}"/>
              </c:ext>
            </c:extLst>
          </c:dPt>
          <c:dPt>
            <c:idx val="17"/>
            <c:invertIfNegative val="0"/>
            <c:bubble3D val="0"/>
            <c:spPr>
              <a:solidFill>
                <a:srgbClr val="C0C0C0"/>
              </a:solidFill>
              <a:ln w="0">
                <a:noFill/>
              </a:ln>
              <a:effectLst/>
            </c:spPr>
            <c:extLst>
              <c:ext xmlns:c16="http://schemas.microsoft.com/office/drawing/2014/chart" uri="{C3380CC4-5D6E-409C-BE32-E72D297353CC}">
                <c16:uniqueId val="{00000007-E7F6-424F-BA10-AD01C1CD6953}"/>
              </c:ext>
            </c:extLst>
          </c:dPt>
          <c:dPt>
            <c:idx val="18"/>
            <c:invertIfNegative val="0"/>
            <c:bubble3D val="0"/>
            <c:extLst>
              <c:ext xmlns:c16="http://schemas.microsoft.com/office/drawing/2014/chart" uri="{C3380CC4-5D6E-409C-BE32-E72D297353CC}">
                <c16:uniqueId val="{00000008-E7F6-424F-BA10-AD01C1CD6953}"/>
              </c:ext>
            </c:extLst>
          </c:dPt>
          <c:dPt>
            <c:idx val="19"/>
            <c:invertIfNegative val="0"/>
            <c:bubble3D val="0"/>
            <c:extLst>
              <c:ext xmlns:c16="http://schemas.microsoft.com/office/drawing/2014/chart" uri="{C3380CC4-5D6E-409C-BE32-E72D297353CC}">
                <c16:uniqueId val="{00000009-E7F6-424F-BA10-AD01C1CD6953}"/>
              </c:ext>
            </c:extLst>
          </c:dPt>
          <c:dPt>
            <c:idx val="20"/>
            <c:invertIfNegative val="0"/>
            <c:bubble3D val="0"/>
            <c:extLst>
              <c:ext xmlns:c16="http://schemas.microsoft.com/office/drawing/2014/chart" uri="{C3380CC4-5D6E-409C-BE32-E72D297353CC}">
                <c16:uniqueId val="{0000000A-E7F6-424F-BA10-AD01C1CD6953}"/>
              </c:ext>
            </c:extLst>
          </c:dPt>
          <c:dPt>
            <c:idx val="23"/>
            <c:invertIfNegative val="0"/>
            <c:bubble3D val="0"/>
            <c:extLst>
              <c:ext xmlns:c16="http://schemas.microsoft.com/office/drawing/2014/chart" uri="{C3380CC4-5D6E-409C-BE32-E72D297353CC}">
                <c16:uniqueId val="{0000000B-E7F6-424F-BA10-AD01C1CD6953}"/>
              </c:ext>
            </c:extLst>
          </c:dPt>
          <c:dLbls>
            <c:dLbl>
              <c:idx val="0"/>
              <c:layout>
                <c:manualLayout>
                  <c:x val="-1.6673997228716844E-2"/>
                  <c:y val="-2.3455462417054005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E7F6-424F-BA10-AD01C1CD6953}"/>
                </c:ext>
              </c:extLst>
            </c:dLbl>
            <c:dLbl>
              <c:idx val="1"/>
              <c:layout>
                <c:manualLayout>
                  <c:x val="-1.2446632957104638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E7F6-424F-BA10-AD01C1CD6953}"/>
                </c:ext>
              </c:extLst>
            </c:dLbl>
            <c:dLbl>
              <c:idx val="2"/>
              <c:layout>
                <c:manualLayout>
                  <c:x val="6.1510580812013506E-4"/>
                  <c:y val="-6.9535288189140419E-4"/>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E7F6-424F-BA10-AD01C1CD6953}"/>
                </c:ext>
              </c:extLst>
            </c:dLbl>
            <c:dLbl>
              <c:idx val="3"/>
              <c:layout>
                <c:manualLayout>
                  <c:x val="3.978345629937795E-3"/>
                  <c:y val="-3.0475479160929774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E7F6-424F-BA10-AD01C1CD6953}"/>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F6-424F-BA10-AD01C1CD6953}"/>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F6-424F-BA10-AD01C1CD6953}"/>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F6-424F-BA10-AD01C1CD6953}"/>
                </c:ext>
              </c:extLst>
            </c:dLbl>
            <c:dLbl>
              <c:idx val="7"/>
              <c:layout>
                <c:manualLayout>
                  <c:x val="-1.8496992264879112E-2"/>
                  <c:y val="2.32430704345287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F6-424F-BA10-AD01C1CD6953}"/>
                </c:ext>
              </c:extLst>
            </c:dLbl>
            <c:dLbl>
              <c:idx val="8"/>
              <c:layout>
                <c:manualLayout>
                  <c:x val="2.2719230654756986E-3"/>
                  <c:y val="-7.01929194049998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F6-424F-BA10-AD01C1CD6953}"/>
                </c:ext>
              </c:extLst>
            </c:dLbl>
            <c:dLbl>
              <c:idx val="9"/>
              <c:layout>
                <c:manualLayout>
                  <c:x val="-1.0761375323674629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F6-424F-BA10-AD01C1CD6953}"/>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6-424F-BA10-AD01C1CD6953}"/>
                </c:ext>
              </c:extLst>
            </c:dLbl>
            <c:dLbl>
              <c:idx val="11"/>
              <c:layout>
                <c:manualLayout>
                  <c:x val="-3.2521239338992747E-3"/>
                  <c:y val="1.6435445673177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F6-424F-BA10-AD01C1CD6953}"/>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F6-424F-BA10-AD01C1CD6953}"/>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6-424F-BA10-AD01C1CD6953}"/>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6-424F-BA10-AD01C1CD6953}"/>
                </c:ext>
              </c:extLst>
            </c:dLbl>
            <c:dLbl>
              <c:idx val="15"/>
              <c:layout>
                <c:manualLayout>
                  <c:x val="5.3639872084448078E-4"/>
                  <c:y val="-3.5242294003325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6-424F-BA10-AD01C1CD6953}"/>
                </c:ext>
              </c:extLst>
            </c:dLbl>
            <c:dLbl>
              <c:idx val="16"/>
              <c:layout>
                <c:manualLayout>
                  <c:x val="5.3573731674972801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6-424F-BA10-AD01C1CD6953}"/>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F6-424F-BA10-AD01C1CD6953}"/>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F6-424F-BA10-AD01C1CD6953}"/>
                </c:ext>
              </c:extLst>
            </c:dLbl>
            <c:dLbl>
              <c:idx val="19"/>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F6-424F-BA10-AD01C1CD6953}"/>
                </c:ext>
              </c:extLst>
            </c:dLbl>
            <c:dLbl>
              <c:idx val="20"/>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F6-424F-BA10-AD01C1CD6953}"/>
                </c:ext>
              </c:extLst>
            </c:dLbl>
            <c:dLbl>
              <c:idx val="21"/>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7F6-424F-BA10-AD01C1CD6953}"/>
                </c:ext>
              </c:extLst>
            </c:dLbl>
            <c:dLbl>
              <c:idx val="22"/>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7F6-424F-BA10-AD01C1CD6953}"/>
                </c:ext>
              </c:extLst>
            </c:dLbl>
            <c:dLbl>
              <c:idx val="23"/>
              <c:layout>
                <c:manualLayout>
                  <c:x val="-3.6649140140557718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F6-424F-BA10-AD01C1CD6953}"/>
                </c:ext>
              </c:extLst>
            </c:dLbl>
            <c:dLbl>
              <c:idx val="24"/>
              <c:layout>
                <c:manualLayout>
                  <c:x val="-3.6649140140556794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7F6-424F-BA10-AD01C1CD6953}"/>
                </c:ext>
              </c:extLst>
            </c:dLbl>
            <c:dLbl>
              <c:idx val="25"/>
              <c:layout>
                <c:manualLayout>
                  <c:x val="-3.6650054400488357E-3"/>
                  <c:y val="-2.822162812383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7F6-424F-BA10-AD01C1CD6953}"/>
                </c:ext>
              </c:extLst>
            </c:dLbl>
            <c:dLbl>
              <c:idx val="26"/>
              <c:layout>
                <c:manualLayout>
                  <c:x val="-3.6650054400486818E-3"/>
                  <c:y val="-4.700517927438516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7F6-424F-BA10-AD01C1CD6953}"/>
                </c:ext>
              </c:extLst>
            </c:dLbl>
            <c:dLbl>
              <c:idx val="27"/>
              <c:layout>
                <c:manualLayout>
                  <c:x val="-1.8287988570937243E-2"/>
                  <c:y val="1.994822437532285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C-E7F6-424F-BA10-AD01C1CD6953}"/>
                </c:ext>
              </c:extLst>
            </c:dLbl>
            <c:dLbl>
              <c:idx val="28"/>
              <c:layout>
                <c:manualLayout>
                  <c:x val="-1.4992377317807974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D-E7F6-424F-BA10-AD01C1CD6953}"/>
                </c:ext>
              </c:extLst>
            </c:dLbl>
            <c:dLbl>
              <c:idx val="29"/>
              <c:layout>
                <c:manualLayout>
                  <c:x val="-1.0958804445958325E-2"/>
                  <c:y val="9.2344340224622072E-8"/>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E-E7F6-424F-BA10-AD01C1CD6953}"/>
                </c:ext>
              </c:extLst>
            </c:dLbl>
            <c:dLbl>
              <c:idx val="30"/>
              <c:layout>
                <c:manualLayout>
                  <c:x val="-2.8291560153048908E-3"/>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E7F6-424F-BA10-AD01C1CD6953}"/>
                </c:ext>
              </c:extLst>
            </c:dLbl>
            <c:dLbl>
              <c:idx val="31"/>
              <c:layout>
                <c:manualLayout>
                  <c:x val="-2.8291560153048908E-3"/>
                  <c:y val="-1.172773120852694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E7F6-424F-BA10-AD01C1CD6953}"/>
                </c:ext>
              </c:extLst>
            </c:dLbl>
            <c:dLbl>
              <c:idx val="32"/>
              <c:layout>
                <c:manualLayout>
                  <c:x val="-5.7022954029108397E-3"/>
                  <c:y val="2.3456385860456249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E7F6-424F-BA10-AD01C1CD6953}"/>
                </c:ext>
              </c:extLst>
            </c:dLbl>
            <c:numFmt formatCode="#,##0.0" sourceLinked="0"/>
            <c:spPr>
              <a:noFill/>
              <a:ln>
                <a:noFill/>
              </a:ln>
              <a:effectLst/>
            </c:spPr>
            <c:txPr>
              <a:bodyPr vertOverflow="overflow" horzOverflow="overflow" wrap="none" lIns="36000" tIns="0" rIns="36000" bIns="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'Variaciones por EF'!$F$6:$F$38</c:f>
              <c:strCache>
                <c:ptCount val="33"/>
                <c:pt idx="0">
                  <c:v>Quintana Roo</c:v>
                </c:pt>
                <c:pt idx="1">
                  <c:v>Tabasco</c:v>
                </c:pt>
                <c:pt idx="2">
                  <c:v>Chihuahua</c:v>
                </c:pt>
                <c:pt idx="3">
                  <c:v>Campeche</c:v>
                </c:pt>
                <c:pt idx="4">
                  <c:v>Sonora</c:v>
                </c:pt>
                <c:pt idx="5">
                  <c:v>Puebla</c:v>
                </c:pt>
                <c:pt idx="6">
                  <c:v>Aguascalientes</c:v>
                </c:pt>
                <c:pt idx="7">
                  <c:v>Morelos</c:v>
                </c:pt>
                <c:pt idx="8">
                  <c:v>Guerrero</c:v>
                </c:pt>
                <c:pt idx="9">
                  <c:v>Coahuila</c:v>
                </c:pt>
                <c:pt idx="10">
                  <c:v>Tlaxcala</c:v>
                </c:pt>
                <c:pt idx="11">
                  <c:v>Jalisco</c:v>
                </c:pt>
                <c:pt idx="12">
                  <c:v>Chiapas</c:v>
                </c:pt>
                <c:pt idx="13">
                  <c:v>Querétaro</c:v>
                </c:pt>
                <c:pt idx="14">
                  <c:v>Hidalgo</c:v>
                </c:pt>
                <c:pt idx="15">
                  <c:v>México</c:v>
                </c:pt>
                <c:pt idx="16">
                  <c:v>Durango</c:v>
                </c:pt>
                <c:pt idx="17">
                  <c:v>Nacional</c:v>
                </c:pt>
                <c:pt idx="18">
                  <c:v>Yucatán</c:v>
                </c:pt>
                <c:pt idx="19">
                  <c:v>Michoacán</c:v>
                </c:pt>
                <c:pt idx="20">
                  <c:v>Baja California Sur</c:v>
                </c:pt>
                <c:pt idx="21">
                  <c:v>Oaxaca</c:v>
                </c:pt>
                <c:pt idx="22">
                  <c:v>Guanajuato</c:v>
                </c:pt>
                <c:pt idx="23">
                  <c:v>Ciudad de México</c:v>
                </c:pt>
                <c:pt idx="24">
                  <c:v>Veracruz</c:v>
                </c:pt>
                <c:pt idx="25">
                  <c:v>San Luis Potosí</c:v>
                </c:pt>
                <c:pt idx="26">
                  <c:v>Nuevo León</c:v>
                </c:pt>
                <c:pt idx="27">
                  <c:v>Sinaloa</c:v>
                </c:pt>
                <c:pt idx="28">
                  <c:v>Colima</c:v>
                </c:pt>
                <c:pt idx="29">
                  <c:v>Nayarit</c:v>
                </c:pt>
                <c:pt idx="30">
                  <c:v>Zacatecas</c:v>
                </c:pt>
                <c:pt idx="31">
                  <c:v>Baja California</c:v>
                </c:pt>
                <c:pt idx="32">
                  <c:v>Tamaulipas</c:v>
                </c:pt>
              </c:strCache>
            </c:strRef>
          </c:cat>
          <c:val>
            <c:numRef>
              <c:f>'Variaciones por EF'!$G$6:$G$38</c:f>
              <c:numCache>
                <c:formatCode>0.0</c:formatCode>
                <c:ptCount val="33"/>
                <c:pt idx="0">
                  <c:v>-16.853078722449439</c:v>
                </c:pt>
                <c:pt idx="1">
                  <c:v>-5.0598108116247431</c:v>
                </c:pt>
                <c:pt idx="2">
                  <c:v>-4.9534219312565284</c:v>
                </c:pt>
                <c:pt idx="3">
                  <c:v>-2.8782340804109339</c:v>
                </c:pt>
                <c:pt idx="4">
                  <c:v>-2.7604030429790924</c:v>
                </c:pt>
                <c:pt idx="5">
                  <c:v>-1.5214365871122482</c:v>
                </c:pt>
                <c:pt idx="6">
                  <c:v>-0.62353787946112504</c:v>
                </c:pt>
                <c:pt idx="7">
                  <c:v>3.7966393543783283E-2</c:v>
                </c:pt>
                <c:pt idx="8">
                  <c:v>0.4677847883830708</c:v>
                </c:pt>
                <c:pt idx="9">
                  <c:v>0.76938939302604581</c:v>
                </c:pt>
                <c:pt idx="10">
                  <c:v>1.32677131162136</c:v>
                </c:pt>
                <c:pt idx="11">
                  <c:v>1.6815284385372848</c:v>
                </c:pt>
                <c:pt idx="12">
                  <c:v>3.6425864497256839</c:v>
                </c:pt>
                <c:pt idx="13">
                  <c:v>4.9715698492890539</c:v>
                </c:pt>
                <c:pt idx="14">
                  <c:v>5.9551052856684947</c:v>
                </c:pt>
                <c:pt idx="15">
                  <c:v>6.0619471996713941</c:v>
                </c:pt>
                <c:pt idx="16">
                  <c:v>6.7912444261361458</c:v>
                </c:pt>
                <c:pt idx="17">
                  <c:v>7.1690712240657177</c:v>
                </c:pt>
                <c:pt idx="18">
                  <c:v>7.7587706705568422</c:v>
                </c:pt>
                <c:pt idx="19">
                  <c:v>8.1477679786025448</c:v>
                </c:pt>
                <c:pt idx="20">
                  <c:v>8.8333790626662392</c:v>
                </c:pt>
                <c:pt idx="21">
                  <c:v>8.9168622022962865</c:v>
                </c:pt>
                <c:pt idx="22">
                  <c:v>9.5446920574094491</c:v>
                </c:pt>
                <c:pt idx="23">
                  <c:v>10.113739357910717</c:v>
                </c:pt>
                <c:pt idx="24">
                  <c:v>11.256093860651831</c:v>
                </c:pt>
                <c:pt idx="25">
                  <c:v>12.112657854199142</c:v>
                </c:pt>
                <c:pt idx="26">
                  <c:v>15.149015556823088</c:v>
                </c:pt>
                <c:pt idx="27">
                  <c:v>16.678349672624847</c:v>
                </c:pt>
                <c:pt idx="28">
                  <c:v>17.240653730415346</c:v>
                </c:pt>
                <c:pt idx="29">
                  <c:v>18.736158230367252</c:v>
                </c:pt>
                <c:pt idx="30">
                  <c:v>23.030543821773094</c:v>
                </c:pt>
                <c:pt idx="31">
                  <c:v>23.049564049792863</c:v>
                </c:pt>
                <c:pt idx="32">
                  <c:v>24.335385453181033</c:v>
                </c:pt>
              </c:numCache>
            </c:numRef>
          </c:val>
          <c:extLst>
            <c:ext xmlns:c16="http://schemas.microsoft.com/office/drawing/2014/chart" uri="{C3380CC4-5D6E-409C-BE32-E72D297353CC}">
              <c16:uniqueId val="{00000022-E7F6-424F-BA10-AD01C1CD6953}"/>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crossAx val="499244848"/>
        <c:crosses val="autoZero"/>
        <c:auto val="1"/>
        <c:lblAlgn val="ctr"/>
        <c:lblOffset val="100"/>
        <c:noMultiLvlLbl val="0"/>
      </c:catAx>
      <c:valAx>
        <c:axId val="499244848"/>
        <c:scaling>
          <c:orientation val="minMax"/>
          <c:max val="28"/>
          <c:min val="-24"/>
        </c:scaling>
        <c:delete val="0"/>
        <c:axPos val="b"/>
        <c:numFmt formatCode="#,##0.0" sourceLinked="0"/>
        <c:majorTickMark val="out"/>
        <c:minorTickMark val="none"/>
        <c:tickLblPos val="nextTo"/>
        <c:spPr>
          <a:ln w="9525">
            <a:solidFill>
              <a:srgbClr val="D8551E">
                <a:alpha val="94902"/>
              </a:srgbClr>
            </a:solidFill>
          </a:ln>
        </c:spPr>
        <c:txPr>
          <a:bodyPr/>
          <a:lstStyle/>
          <a:p>
            <a:pPr>
              <a:defRPr sz="700">
                <a:solidFill>
                  <a:srgbClr val="4D565E"/>
                </a:solidFill>
              </a:defRPr>
            </a:pPr>
            <a:endParaRPr lang="es-MX"/>
          </a:p>
        </c:txPr>
        <c:crossAx val="499233088"/>
        <c:crosses val="autoZero"/>
        <c:crossBetween val="between"/>
        <c:majorUnit val="12"/>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6814247967009"/>
          <c:y val="2.2274222222222223E-2"/>
          <c:w val="0.57933839748401883"/>
          <c:h val="0.93805666666666665"/>
        </c:manualLayout>
      </c:layout>
      <c:barChart>
        <c:barDir val="bar"/>
        <c:grouping val="clustered"/>
        <c:varyColors val="0"/>
        <c:ser>
          <c:idx val="0"/>
          <c:order val="0"/>
          <c:tx>
            <c:strRef>
              <c:f>Contribuciones!$D$5</c:f>
              <c:strCache>
                <c:ptCount val="1"/>
                <c:pt idx="0">
                  <c:v>Primarias</c:v>
                </c:pt>
              </c:strCache>
            </c:strRef>
          </c:tx>
          <c:spPr>
            <a:solidFill>
              <a:srgbClr val="08989C"/>
            </a:solidFill>
            <a:ln>
              <a:noFill/>
            </a:ln>
          </c:spPr>
          <c:invertIfNegative val="0"/>
          <c:dLbls>
            <c:dLbl>
              <c:idx val="0"/>
              <c:layout>
                <c:manualLayout>
                  <c:x val="-1.7723149474018356E-2"/>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379688941654235"/>
                      <c:h val="2.9695494225752652E-2"/>
                    </c:manualLayout>
                  </c15:layout>
                </c:ext>
                <c:ext xmlns:c16="http://schemas.microsoft.com/office/drawing/2014/chart" uri="{C3380CC4-5D6E-409C-BE32-E72D297353CC}">
                  <c16:uniqueId val="{00000000-B307-49DC-8251-BDAE33906060}"/>
                </c:ext>
              </c:extLst>
            </c:dLbl>
            <c:dLbl>
              <c:idx val="1"/>
              <c:layout>
                <c:manualLayout>
                  <c:x val="-2.4167209569194444E-2"/>
                  <c:y val="-1.7248614886556546E-16"/>
                </c:manualLayout>
              </c:layout>
              <c:numFmt formatCode="#,##0.00" sourceLinked="0"/>
              <c:spPr>
                <a:noFill/>
                <a:ln>
                  <a:noFill/>
                </a:ln>
                <a:effectLst/>
              </c:spPr>
              <c:txPr>
                <a:bodyPr rot="0" lIns="0" tIns="0" rIns="0" bIns="0" anchor="t"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219672141990229"/>
                      <c:h val="2.2639161166832275E-2"/>
                    </c:manualLayout>
                  </c15:layout>
                </c:ext>
                <c:ext xmlns:c16="http://schemas.microsoft.com/office/drawing/2014/chart" uri="{C3380CC4-5D6E-409C-BE32-E72D297353CC}">
                  <c16:uniqueId val="{00000001-B307-49DC-8251-BDAE33906060}"/>
                </c:ext>
              </c:extLst>
            </c:dLbl>
            <c:dLbl>
              <c:idx val="2"/>
              <c:layout>
                <c:manualLayout>
                  <c:x val="-1.4748649908891548E-2"/>
                  <c:y val="9.2602796048823892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133977320453591"/>
                      <c:h val="2.9036903140253412E-2"/>
                    </c:manualLayout>
                  </c15:layout>
                </c:ext>
                <c:ext xmlns:c16="http://schemas.microsoft.com/office/drawing/2014/chart" uri="{C3380CC4-5D6E-409C-BE32-E72D297353CC}">
                  <c16:uniqueId val="{00000002-B307-49DC-8251-BDAE33906060}"/>
                </c:ext>
              </c:extLst>
            </c:dLbl>
            <c:dLbl>
              <c:idx val="3"/>
              <c:layout>
                <c:manualLayout>
                  <c:x val="3.3070204737637531E-7"/>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307-49DC-8251-BDAE33906060}"/>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07-49DC-8251-BDAE33906060}"/>
                </c:ext>
              </c:extLst>
            </c:dLbl>
            <c:dLbl>
              <c:idx val="5"/>
              <c:layout>
                <c:manualLayout>
                  <c:x val="-7.1382108405313813E-3"/>
                  <c:y val="-1.175934607485167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646300932249072"/>
                      <c:h val="3.0176287942838147E-2"/>
                    </c:manualLayout>
                  </c15:layout>
                </c:ext>
                <c:ext xmlns:c16="http://schemas.microsoft.com/office/drawing/2014/chart" uri="{C3380CC4-5D6E-409C-BE32-E72D297353CC}">
                  <c16:uniqueId val="{00000005-B307-49DC-8251-BDAE33906060}"/>
                </c:ext>
              </c:extLst>
            </c:dLbl>
            <c:dLbl>
              <c:idx val="6"/>
              <c:layout>
                <c:manualLayout>
                  <c:x val="4.2009081078220956E-3"/>
                  <c:y val="4.70051792743743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07-49DC-8251-BDAE33906060}"/>
                </c:ext>
              </c:extLst>
            </c:dLbl>
            <c:dLbl>
              <c:idx val="7"/>
              <c:layout>
                <c:manualLayout>
                  <c:x val="1.6535102368818765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07-49DC-8251-BDAE33906060}"/>
                </c:ext>
              </c:extLst>
            </c:dLbl>
            <c:dLbl>
              <c:idx val="12"/>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07-49DC-8251-BDAE33906060}"/>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07-49DC-8251-BDAE33906060}"/>
                </c:ext>
              </c:extLst>
            </c:dLbl>
            <c:dLbl>
              <c:idx val="26"/>
              <c:layout>
                <c:manualLayout>
                  <c:x val="4.19991600167981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07-49DC-8251-BDAE33906060}"/>
                </c:ext>
              </c:extLst>
            </c:dLbl>
            <c:dLbl>
              <c:idx val="27"/>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07-49DC-8251-BDAE33906060}"/>
                </c:ext>
              </c:extLst>
            </c:dLbl>
            <c:dLbl>
              <c:idx val="28"/>
              <c:layout>
                <c:manualLayout>
                  <c:x val="-1.0344690743980318E-2"/>
                  <c:y val="1.1760555098200419E-3"/>
                </c:manualLayout>
              </c:layout>
              <c:numFmt formatCode="#,##0.00" sourceLinked="0"/>
              <c:spPr>
                <a:noFill/>
                <a:ln>
                  <a:noFill/>
                </a:ln>
                <a:effectLst/>
              </c:spPr>
              <c:txPr>
                <a:bodyPr rot="0" lIns="0" tIns="0" rIns="0" bIns="0"/>
                <a:lstStyle/>
                <a:p>
                  <a:pPr algn="r">
                    <a:defRPr sz="700"/>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718913180791502"/>
                      <c:h val="3.2047605245392782E-2"/>
                    </c:manualLayout>
                  </c15:layout>
                </c:ext>
                <c:ext xmlns:c16="http://schemas.microsoft.com/office/drawing/2014/chart" uri="{C3380CC4-5D6E-409C-BE32-E72D297353CC}">
                  <c16:uniqueId val="{0000000C-B307-49DC-8251-BDAE33906060}"/>
                </c:ext>
              </c:extLst>
            </c:dLbl>
            <c:dLbl>
              <c:idx val="29"/>
              <c:layout>
                <c:manualLayout>
                  <c:x val="-2.2073534907254534E-2"/>
                  <c:y val="2.3521110196401268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4897267408982508E-2"/>
                      <c:h val="2.7343383206112525E-2"/>
                    </c:manualLayout>
                  </c15:layout>
                </c:ext>
                <c:ext xmlns:c16="http://schemas.microsoft.com/office/drawing/2014/chart" uri="{C3380CC4-5D6E-409C-BE32-E72D297353CC}">
                  <c16:uniqueId val="{0000000D-B307-49DC-8251-BDAE33906060}"/>
                </c:ext>
              </c:extLst>
            </c:dLbl>
            <c:dLbl>
              <c:idx val="30"/>
              <c:layout>
                <c:manualLayout>
                  <c:x val="8.0145641181649158E-4"/>
                  <c:y val="-1.1760555098200634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8961397150009743E-2"/>
                      <c:h val="2.8294413921533947E-2"/>
                    </c:manualLayout>
                  </c15:layout>
                </c:ext>
                <c:ext xmlns:c16="http://schemas.microsoft.com/office/drawing/2014/chart" uri="{C3380CC4-5D6E-409C-BE32-E72D297353CC}">
                  <c16:uniqueId val="{0000000E-B307-49DC-8251-BDAE33906060}"/>
                </c:ext>
              </c:extLst>
            </c:dLbl>
            <c:dLbl>
              <c:idx val="31"/>
              <c:layout>
                <c:manualLayout>
                  <c:x val="-2.2532053295942111E-2"/>
                  <c:y val="0"/>
                </c:manualLayout>
              </c:layout>
              <c:tx>
                <c:rich>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1.62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876062793704756"/>
                      <c:h val="3.4399716265032909E-2"/>
                    </c:manualLayout>
                  </c15:layout>
                  <c15:showDataLabelsRange val="0"/>
                </c:ext>
                <c:ext xmlns:c16="http://schemas.microsoft.com/office/drawing/2014/chart" uri="{C3380CC4-5D6E-409C-BE32-E72D297353CC}">
                  <c16:uniqueId val="{0000000F-B307-49DC-8251-BDAE33906060}"/>
                </c:ext>
              </c:extLst>
            </c:dLbl>
            <c:numFmt formatCode="#,##0.00" sourceLinked="0"/>
            <c:spPr>
              <a:noFill/>
              <a:ln>
                <a:noFill/>
              </a:ln>
              <a:effectLst/>
            </c:spPr>
            <c:txPr>
              <a:bodyPr rot="0" lIns="0" tIns="0" rIns="0" bIns="0"/>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Contribuciones!$D$7:$D$38</c:f>
              <c:strCache>
                <c:ptCount val="32"/>
                <c:pt idx="0">
                  <c:v>Sonora</c:v>
                </c:pt>
                <c:pt idx="1">
                  <c:v>Chihuahua</c:v>
                </c:pt>
                <c:pt idx="2">
                  <c:v>Quintana Roo</c:v>
                </c:pt>
                <c:pt idx="3">
                  <c:v>Tabasco</c:v>
                </c:pt>
                <c:pt idx="4">
                  <c:v>Puebla</c:v>
                </c:pt>
                <c:pt idx="5">
                  <c:v>Campeche</c:v>
                </c:pt>
                <c:pt idx="6">
                  <c:v>Aguascalientes</c:v>
                </c:pt>
                <c:pt idx="7">
                  <c:v>Morelos</c:v>
                </c:pt>
                <c:pt idx="8">
                  <c:v>Tlaxcala</c:v>
                </c:pt>
                <c:pt idx="9">
                  <c:v>Ciudad de México</c:v>
                </c:pt>
                <c:pt idx="10">
                  <c:v>Guerrero</c:v>
                </c:pt>
                <c:pt idx="11">
                  <c:v>Coahuila</c:v>
                </c:pt>
                <c:pt idx="12">
                  <c:v>Baja California Sur</c:v>
                </c:pt>
                <c:pt idx="13">
                  <c:v>Hidalgo</c:v>
                </c:pt>
                <c:pt idx="14">
                  <c:v>Querétaro</c:v>
                </c:pt>
                <c:pt idx="15">
                  <c:v>Yucatán</c:v>
                </c:pt>
                <c:pt idx="16">
                  <c:v>Chiapas</c:v>
                </c:pt>
                <c:pt idx="17">
                  <c:v>Nuevo León</c:v>
                </c:pt>
                <c:pt idx="18">
                  <c:v>México</c:v>
                </c:pt>
                <c:pt idx="19">
                  <c:v>Zacatecas</c:v>
                </c:pt>
                <c:pt idx="20">
                  <c:v>Colima</c:v>
                </c:pt>
                <c:pt idx="21">
                  <c:v>Durango</c:v>
                </c:pt>
                <c:pt idx="22">
                  <c:v>Oaxaca</c:v>
                </c:pt>
                <c:pt idx="23">
                  <c:v>Jalisco</c:v>
                </c:pt>
                <c:pt idx="24">
                  <c:v>Nayarit</c:v>
                </c:pt>
                <c:pt idx="25">
                  <c:v>San Luis Potosí</c:v>
                </c:pt>
                <c:pt idx="26">
                  <c:v>Guanajuato</c:v>
                </c:pt>
                <c:pt idx="27">
                  <c:v>Baja California</c:v>
                </c:pt>
                <c:pt idx="28">
                  <c:v>Tamaulipas</c:v>
                </c:pt>
                <c:pt idx="29">
                  <c:v>Michoacán</c:v>
                </c:pt>
                <c:pt idx="30">
                  <c:v>Veracruz</c:v>
                </c:pt>
                <c:pt idx="31">
                  <c:v>Sinaloa</c:v>
                </c:pt>
              </c:strCache>
            </c:strRef>
          </c:cat>
          <c:val>
            <c:numRef>
              <c:f>Contribuciones!$E$7:$E$38</c:f>
              <c:numCache>
                <c:formatCode>0.00</c:formatCode>
                <c:ptCount val="32"/>
                <c:pt idx="0">
                  <c:v>-0.167099651574425</c:v>
                </c:pt>
                <c:pt idx="1">
                  <c:v>-0.14053488766267347</c:v>
                </c:pt>
                <c:pt idx="2">
                  <c:v>-8.1684586919015839E-2</c:v>
                </c:pt>
                <c:pt idx="3">
                  <c:v>-8.0427474442272731E-2</c:v>
                </c:pt>
                <c:pt idx="4">
                  <c:v>-5.8054550747197377E-2</c:v>
                </c:pt>
                <c:pt idx="5">
                  <c:v>-2.6094861017419226E-2</c:v>
                </c:pt>
                <c:pt idx="6">
                  <c:v>-8.4846198098337145E-3</c:v>
                </c:pt>
                <c:pt idx="7">
                  <c:v>4.3616170542101242E-4</c:v>
                </c:pt>
                <c:pt idx="8">
                  <c:v>4.6792926162632191E-3</c:v>
                </c:pt>
                <c:pt idx="9">
                  <c:v>8.5959272362596262E-3</c:v>
                </c:pt>
                <c:pt idx="10">
                  <c:v>9.2155697520925721E-3</c:v>
                </c:pt>
                <c:pt idx="11">
                  <c:v>1.4722960457937717E-2</c:v>
                </c:pt>
                <c:pt idx="12">
                  <c:v>6.3791823799650399E-2</c:v>
                </c:pt>
                <c:pt idx="13">
                  <c:v>6.7200926857794011E-2</c:v>
                </c:pt>
                <c:pt idx="14">
                  <c:v>7.3703889627994665E-2</c:v>
                </c:pt>
                <c:pt idx="15">
                  <c:v>0.12384515206908707</c:v>
                </c:pt>
                <c:pt idx="16">
                  <c:v>0.12897350197533086</c:v>
                </c:pt>
                <c:pt idx="17">
                  <c:v>0.13607844013569786</c:v>
                </c:pt>
                <c:pt idx="18">
                  <c:v>0.14509655877021072</c:v>
                </c:pt>
                <c:pt idx="19">
                  <c:v>0.19589575177629184</c:v>
                </c:pt>
                <c:pt idx="20">
                  <c:v>0.19622401606185519</c:v>
                </c:pt>
                <c:pt idx="21">
                  <c:v>0.19709114254185339</c:v>
                </c:pt>
                <c:pt idx="22">
                  <c:v>0.2050835729372705</c:v>
                </c:pt>
                <c:pt idx="23">
                  <c:v>0.23426347096685055</c:v>
                </c:pt>
                <c:pt idx="24">
                  <c:v>0.25421908608191357</c:v>
                </c:pt>
                <c:pt idx="25">
                  <c:v>0.30521824819695864</c:v>
                </c:pt>
                <c:pt idx="26">
                  <c:v>0.35838673394522791</c:v>
                </c:pt>
                <c:pt idx="27">
                  <c:v>0.43343017696294595</c:v>
                </c:pt>
                <c:pt idx="28">
                  <c:v>0.80583817536887514</c:v>
                </c:pt>
                <c:pt idx="29">
                  <c:v>0.87457559673272034</c:v>
                </c:pt>
                <c:pt idx="30">
                  <c:v>1.2752574994253763</c:v>
                </c:pt>
                <c:pt idx="31">
                  <c:v>1.6196281802366423</c:v>
                </c:pt>
              </c:numCache>
            </c:numRef>
          </c:val>
          <c:extLst>
            <c:ext xmlns:c16="http://schemas.microsoft.com/office/drawing/2014/chart" uri="{C3380CC4-5D6E-409C-BE32-E72D297353CC}">
              <c16:uniqueId val="{00000010-B307-49DC-8251-BDAE33906060}"/>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pPr>
            <a:endParaRPr lang="es-MX"/>
          </a:p>
        </c:txPr>
        <c:crossAx val="417157920"/>
        <c:crosses val="autoZero"/>
        <c:auto val="1"/>
        <c:lblAlgn val="ctr"/>
        <c:lblOffset val="100"/>
        <c:noMultiLvlLbl val="0"/>
      </c:catAx>
      <c:valAx>
        <c:axId val="417157920"/>
        <c:scaling>
          <c:orientation val="minMax"/>
          <c:max val="2"/>
          <c:min val="-0.60000000000000009"/>
        </c:scaling>
        <c:delete val="0"/>
        <c:axPos val="b"/>
        <c:numFmt formatCode="#,##0.00" sourceLinked="0"/>
        <c:majorTickMark val="out"/>
        <c:minorTickMark val="none"/>
        <c:tickLblPos val="nextTo"/>
        <c:spPr>
          <a:ln w="9525">
            <a:solidFill>
              <a:srgbClr val="D8551E"/>
            </a:solidFill>
          </a:ln>
        </c:spPr>
        <c:txPr>
          <a:bodyPr/>
          <a:lstStyle/>
          <a:p>
            <a:pPr>
              <a:defRPr sz="700" baseline="0">
                <a:solidFill>
                  <a:srgbClr val="4D565E"/>
                </a:solidFill>
              </a:defRPr>
            </a:pPr>
            <a:endParaRPr lang="es-MX"/>
          </a:p>
        </c:txPr>
        <c:crossAx val="417157528"/>
        <c:crosses val="autoZero"/>
        <c:crossBetween val="between"/>
        <c:majorUnit val="0.60000000000000009"/>
      </c:valAx>
      <c:spPr>
        <a:noFill/>
        <a:ln>
          <a:noFill/>
        </a:ln>
      </c:spPr>
    </c:plotArea>
    <c:plotVisOnly val="1"/>
    <c:dispBlanksAs val="gap"/>
    <c:showDLblsOverMax val="0"/>
  </c:chart>
  <c:spPr>
    <a:noFill/>
    <a:ln w="6350">
      <a:solidFill>
        <a:srgbClr val="C0C0C0"/>
      </a:solidFill>
    </a:ln>
    <a:effectLst/>
  </c:spPr>
  <c:txPr>
    <a:bodyPr/>
    <a:lstStyle/>
    <a:p>
      <a:pPr>
        <a:defRPr sz="900">
          <a:solidFill>
            <a:srgbClr val="4D565E"/>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516222086244344"/>
          <c:y val="1.9088888888888891E-2"/>
          <c:w val="0.55188041716817848"/>
          <c:h val="0.95115832207437667"/>
        </c:manualLayout>
      </c:layout>
      <c:barChart>
        <c:barDir val="bar"/>
        <c:grouping val="clustered"/>
        <c:varyColors val="0"/>
        <c:ser>
          <c:idx val="0"/>
          <c:order val="0"/>
          <c:tx>
            <c:strRef>
              <c:f>'Variaciones por EF'!$K$4</c:f>
              <c:strCache>
                <c:ptCount val="1"/>
                <c:pt idx="0">
                  <c:v>Secundarias</c:v>
                </c:pt>
              </c:strCache>
            </c:strRef>
          </c:tx>
          <c:spPr>
            <a:solidFill>
              <a:srgbClr val="08989C"/>
            </a:solidFill>
            <a:ln w="0">
              <a:noFill/>
            </a:ln>
            <a:effectLst/>
          </c:spPr>
          <c:invertIfNegative val="0"/>
          <c:dPt>
            <c:idx val="10"/>
            <c:invertIfNegative val="0"/>
            <c:bubble3D val="0"/>
            <c:spPr>
              <a:solidFill>
                <a:srgbClr val="C0C0C0"/>
              </a:solidFill>
              <a:ln w="0">
                <a:noFill/>
              </a:ln>
              <a:effectLst/>
            </c:spPr>
            <c:extLst>
              <c:ext xmlns:c16="http://schemas.microsoft.com/office/drawing/2014/chart" uri="{C3380CC4-5D6E-409C-BE32-E72D297353CC}">
                <c16:uniqueId val="{00000001-4288-4568-84ED-F3B449783069}"/>
              </c:ext>
            </c:extLst>
          </c:dPt>
          <c:dPt>
            <c:idx val="11"/>
            <c:invertIfNegative val="0"/>
            <c:bubble3D val="0"/>
            <c:extLst>
              <c:ext xmlns:c16="http://schemas.microsoft.com/office/drawing/2014/chart" uri="{C3380CC4-5D6E-409C-BE32-E72D297353CC}">
                <c16:uniqueId val="{00000002-4288-4568-84ED-F3B449783069}"/>
              </c:ext>
            </c:extLst>
          </c:dPt>
          <c:dPt>
            <c:idx val="12"/>
            <c:invertIfNegative val="0"/>
            <c:bubble3D val="0"/>
            <c:extLst>
              <c:ext xmlns:c16="http://schemas.microsoft.com/office/drawing/2014/chart" uri="{C3380CC4-5D6E-409C-BE32-E72D297353CC}">
                <c16:uniqueId val="{00000003-4288-4568-84ED-F3B449783069}"/>
              </c:ext>
            </c:extLst>
          </c:dPt>
          <c:dPt>
            <c:idx val="13"/>
            <c:invertIfNegative val="0"/>
            <c:bubble3D val="0"/>
            <c:extLst>
              <c:ext xmlns:c16="http://schemas.microsoft.com/office/drawing/2014/chart" uri="{C3380CC4-5D6E-409C-BE32-E72D297353CC}">
                <c16:uniqueId val="{00000004-4288-4568-84ED-F3B449783069}"/>
              </c:ext>
            </c:extLst>
          </c:dPt>
          <c:dPt>
            <c:idx val="14"/>
            <c:invertIfNegative val="0"/>
            <c:bubble3D val="0"/>
            <c:extLst>
              <c:ext xmlns:c16="http://schemas.microsoft.com/office/drawing/2014/chart" uri="{C3380CC4-5D6E-409C-BE32-E72D297353CC}">
                <c16:uniqueId val="{00000005-4288-4568-84ED-F3B449783069}"/>
              </c:ext>
            </c:extLst>
          </c:dPt>
          <c:dPt>
            <c:idx val="15"/>
            <c:invertIfNegative val="0"/>
            <c:bubble3D val="0"/>
            <c:extLst>
              <c:ext xmlns:c16="http://schemas.microsoft.com/office/drawing/2014/chart" uri="{C3380CC4-5D6E-409C-BE32-E72D297353CC}">
                <c16:uniqueId val="{00000006-4288-4568-84ED-F3B449783069}"/>
              </c:ext>
            </c:extLst>
          </c:dPt>
          <c:dPt>
            <c:idx val="16"/>
            <c:invertIfNegative val="0"/>
            <c:bubble3D val="0"/>
            <c:extLst>
              <c:ext xmlns:c16="http://schemas.microsoft.com/office/drawing/2014/chart" uri="{C3380CC4-5D6E-409C-BE32-E72D297353CC}">
                <c16:uniqueId val="{00000007-4288-4568-84ED-F3B449783069}"/>
              </c:ext>
            </c:extLst>
          </c:dPt>
          <c:dPt>
            <c:idx val="17"/>
            <c:invertIfNegative val="0"/>
            <c:bubble3D val="0"/>
            <c:extLst>
              <c:ext xmlns:c16="http://schemas.microsoft.com/office/drawing/2014/chart" uri="{C3380CC4-5D6E-409C-BE32-E72D297353CC}">
                <c16:uniqueId val="{00000008-4288-4568-84ED-F3B449783069}"/>
              </c:ext>
            </c:extLst>
          </c:dPt>
          <c:dPt>
            <c:idx val="18"/>
            <c:invertIfNegative val="0"/>
            <c:bubble3D val="0"/>
            <c:extLst>
              <c:ext xmlns:c16="http://schemas.microsoft.com/office/drawing/2014/chart" uri="{C3380CC4-5D6E-409C-BE32-E72D297353CC}">
                <c16:uniqueId val="{00000009-4288-4568-84ED-F3B449783069}"/>
              </c:ext>
            </c:extLst>
          </c:dPt>
          <c:dPt>
            <c:idx val="19"/>
            <c:invertIfNegative val="0"/>
            <c:bubble3D val="0"/>
            <c:extLst>
              <c:ext xmlns:c16="http://schemas.microsoft.com/office/drawing/2014/chart" uri="{C3380CC4-5D6E-409C-BE32-E72D297353CC}">
                <c16:uniqueId val="{0000000A-4288-4568-84ED-F3B449783069}"/>
              </c:ext>
            </c:extLst>
          </c:dPt>
          <c:dPt>
            <c:idx val="20"/>
            <c:invertIfNegative val="0"/>
            <c:bubble3D val="0"/>
            <c:extLst>
              <c:ext xmlns:c16="http://schemas.microsoft.com/office/drawing/2014/chart" uri="{C3380CC4-5D6E-409C-BE32-E72D297353CC}">
                <c16:uniqueId val="{0000000B-4288-4568-84ED-F3B449783069}"/>
              </c:ext>
            </c:extLst>
          </c:dPt>
          <c:dPt>
            <c:idx val="23"/>
            <c:invertIfNegative val="0"/>
            <c:bubble3D val="0"/>
            <c:extLst>
              <c:ext xmlns:c16="http://schemas.microsoft.com/office/drawing/2014/chart" uri="{C3380CC4-5D6E-409C-BE32-E72D297353CC}">
                <c16:uniqueId val="{0000000C-4288-4568-84ED-F3B449783069}"/>
              </c:ext>
            </c:extLst>
          </c:dPt>
          <c:dLbls>
            <c:dLbl>
              <c:idx val="0"/>
              <c:layout>
                <c:manualLayout>
                  <c:x val="-2.4922367694378396E-2"/>
                  <c:y val="2.7780838814647169E-7"/>
                </c:manualLayout>
              </c:layout>
              <c:tx>
                <c:rich>
                  <a:bodyPr wrap="square" lIns="38100" tIns="19050" rIns="38100" bIns="19050" anchor="ctr">
                    <a:noAutofit/>
                  </a:bodyPr>
                  <a:lstStyle/>
                  <a:p>
                    <a:pPr>
                      <a:defRPr sz="700">
                        <a:solidFill>
                          <a:srgbClr val="4D565E"/>
                        </a:solidFill>
                      </a:defRPr>
                    </a:pPr>
                    <a:r>
                      <a:rPr lang="en-US" sz="700">
                        <a:solidFill>
                          <a:srgbClr val="4D565E"/>
                        </a:solidFill>
                      </a:rPr>
                      <a:t>-51.4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2606395116192165"/>
                      <c:h val="3.9338134869647649E-2"/>
                    </c:manualLayout>
                  </c15:layout>
                  <c15:showDataLabelsRange val="0"/>
                </c:ext>
                <c:ext xmlns:c16="http://schemas.microsoft.com/office/drawing/2014/chart" uri="{C3380CC4-5D6E-409C-BE32-E72D297353CC}">
                  <c16:uniqueId val="{0000000D-4288-4568-84ED-F3B449783069}"/>
                </c:ext>
              </c:extLst>
            </c:dLbl>
            <c:dLbl>
              <c:idx val="1"/>
              <c:layout>
                <c:manualLayout>
                  <c:x val="-1.5859312735005144E-2"/>
                  <c:y val="1.1729578095331496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2"/>
                      <c:h val="2.9343337549775909E-2"/>
                    </c:manualLayout>
                  </c15:layout>
                </c:ext>
                <c:ext xmlns:c16="http://schemas.microsoft.com/office/drawing/2014/chart" uri="{C3380CC4-5D6E-409C-BE32-E72D297353CC}">
                  <c16:uniqueId val="{0000000E-4288-4568-84ED-F3B449783069}"/>
                </c:ext>
              </c:extLst>
            </c:dLbl>
            <c:dLbl>
              <c:idx val="2"/>
              <c:layout>
                <c:manualLayout>
                  <c:x val="-9.6776647144222478E-3"/>
                  <c:y val="-1.1727731208527002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5"/>
                      <c:h val="2.7004440100566681E-2"/>
                    </c:manualLayout>
                  </c15:layout>
                </c:ext>
                <c:ext xmlns:c16="http://schemas.microsoft.com/office/drawing/2014/chart" uri="{C3380CC4-5D6E-409C-BE32-E72D297353CC}">
                  <c16:uniqueId val="{0000000F-4288-4568-84ED-F3B449783069}"/>
                </c:ext>
              </c:extLst>
            </c:dLbl>
            <c:dLbl>
              <c:idx val="3"/>
              <c:layout>
                <c:manualLayout>
                  <c:x val="3.9780149278903412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88-4568-84ED-F3B449783069}"/>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88-4568-84ED-F3B449783069}"/>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88-4568-84ED-F3B449783069}"/>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88-4568-84ED-F3B449783069}"/>
                </c:ext>
              </c:extLst>
            </c:dLbl>
            <c:dLbl>
              <c:idx val="7"/>
              <c:layout>
                <c:manualLayout>
                  <c:x val="4.0266669666596654E-4"/>
                  <c:y val="-2.1130708627463998E-3"/>
                </c:manualLayout>
              </c:layout>
              <c:showLegendKey val="0"/>
              <c:showVal val="1"/>
              <c:showCatName val="0"/>
              <c:showSerName val="0"/>
              <c:showPercent val="0"/>
              <c:showBubbleSize val="0"/>
              <c:extLst>
                <c:ext xmlns:c15="http://schemas.microsoft.com/office/drawing/2012/chart" uri="{CE6537A1-D6FC-4f65-9D91-7224C49458BB}">
                  <c15:layout>
                    <c:manualLayout>
                      <c:w val="0.10713985720285595"/>
                      <c:h val="3.0646524941174074E-2"/>
                    </c:manualLayout>
                  </c15:layout>
                </c:ext>
                <c:ext xmlns:c16="http://schemas.microsoft.com/office/drawing/2014/chart" uri="{C3380CC4-5D6E-409C-BE32-E72D297353CC}">
                  <c16:uniqueId val="{00000014-4288-4568-84ED-F3B449783069}"/>
                </c:ext>
              </c:extLst>
            </c:dLbl>
            <c:dLbl>
              <c:idx val="8"/>
              <c:layout>
                <c:manualLayout>
                  <c:x val="2.2715923634283991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88-4568-84ED-F3B449783069}"/>
                </c:ext>
              </c:extLst>
            </c:dLbl>
            <c:dLbl>
              <c:idx val="9"/>
              <c:layout>
                <c:manualLayout>
                  <c:x val="1.8386814691527678E-3"/>
                  <c:y val="-7.0196860446248741E-4"/>
                </c:manualLayout>
              </c:layout>
              <c:showLegendKey val="0"/>
              <c:showVal val="1"/>
              <c:showCatName val="0"/>
              <c:showSerName val="0"/>
              <c:showPercent val="0"/>
              <c:showBubbleSize val="0"/>
              <c:extLst>
                <c:ext xmlns:c15="http://schemas.microsoft.com/office/drawing/2012/chart" uri="{CE6537A1-D6FC-4f65-9D91-7224C49458BB}">
                  <c15:layout>
                    <c:manualLayout>
                      <c:w val="0.11424168367026361"/>
                      <c:h val="3.357036562361964E-2"/>
                    </c:manualLayout>
                  </c15:layout>
                </c:ext>
                <c:ext xmlns:c16="http://schemas.microsoft.com/office/drawing/2014/chart" uri="{C3380CC4-5D6E-409C-BE32-E72D297353CC}">
                  <c16:uniqueId val="{00000016-4288-4568-84ED-F3B449783069}"/>
                </c:ext>
              </c:extLst>
            </c:dLbl>
            <c:dLbl>
              <c:idx val="10"/>
              <c:layout>
                <c:manualLayout>
                  <c:x val="-6.7926200531107485E-4"/>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1-4288-4568-84ED-F3B449783069}"/>
                </c:ext>
              </c:extLst>
            </c:dLbl>
            <c:dLbl>
              <c:idx val="11"/>
              <c:layout>
                <c:manualLayout>
                  <c:x val="9.4812276982806796E-4"/>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88-4568-84ED-F3B449783069}"/>
                </c:ext>
              </c:extLst>
            </c:dLbl>
            <c:dLbl>
              <c:idx val="12"/>
              <c:layout>
                <c:manualLayout>
                  <c:x val="5.3937503927094514E-4"/>
                  <c:y val="1.6501818255899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88-4568-84ED-F3B449783069}"/>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88-4568-84ED-F3B449783069}"/>
                </c:ext>
              </c:extLst>
            </c:dLbl>
            <c:dLbl>
              <c:idx val="14"/>
              <c:layout>
                <c:manualLayout>
                  <c:x val="-7.8627718784208527E-3"/>
                  <c:y val="-7.02001674387662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88-4568-84ED-F3B449783069}"/>
                </c:ext>
              </c:extLst>
            </c:dLbl>
            <c:dLbl>
              <c:idx val="15"/>
              <c:layout>
                <c:manualLayout>
                  <c:x val="-1.2063018582148042E-2"/>
                  <c:y val="-3.5177652965167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88-4568-84ED-F3B449783069}"/>
                </c:ext>
              </c:extLst>
            </c:dLbl>
            <c:dLbl>
              <c:idx val="16"/>
              <c:layout>
                <c:manualLayout>
                  <c:x val="-1.62639266899701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88-4568-84ED-F3B449783069}"/>
                </c:ext>
              </c:extLst>
            </c:dLbl>
            <c:dLbl>
              <c:idx val="17"/>
              <c:layout>
                <c:manualLayout>
                  <c:x val="-1.206500279443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88-4568-84ED-F3B449783069}"/>
                </c:ext>
              </c:extLst>
            </c:dLbl>
            <c:dLbl>
              <c:idx val="18"/>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88-4568-84ED-F3B449783069}"/>
                </c:ext>
              </c:extLst>
            </c:dLbl>
            <c:dLbl>
              <c:idx val="19"/>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88-4568-84ED-F3B449783069}"/>
                </c:ext>
              </c:extLst>
            </c:dLbl>
            <c:dLbl>
              <c:idx val="20"/>
              <c:layout>
                <c:manualLayout>
                  <c:x val="-1.6264918796112266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88-4568-84ED-F3B449783069}"/>
                </c:ext>
              </c:extLst>
            </c:dLbl>
            <c:dLbl>
              <c:idx val="21"/>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88-4568-84ED-F3B449783069}"/>
                </c:ext>
              </c:extLst>
            </c:dLbl>
            <c:dLbl>
              <c:idx val="22"/>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288-4568-84ED-F3B449783069}"/>
                </c:ext>
              </c:extLst>
            </c:dLbl>
            <c:dLbl>
              <c:idx val="23"/>
              <c:layout>
                <c:manualLayout>
                  <c:x val="-1.6264918796112422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88-4568-84ED-F3B449783069}"/>
                </c:ext>
              </c:extLst>
            </c:dLbl>
            <c:dLbl>
              <c:idx val="24"/>
              <c:layout>
                <c:manualLayout>
                  <c:x val="-1.6264918796112266E-2"/>
                  <c:y val="-4.70032691743369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288-4568-84ED-F3B449783069}"/>
                </c:ext>
              </c:extLst>
            </c:dLbl>
            <c:dLbl>
              <c:idx val="25"/>
              <c:layout>
                <c:manualLayout>
                  <c:x val="-1.2065002794432299E-2"/>
                  <c:y val="-4.700326917433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288-4568-84ED-F3B449783069}"/>
                </c:ext>
              </c:extLst>
            </c:dLbl>
            <c:dLbl>
              <c:idx val="26"/>
              <c:layout>
                <c:manualLayout>
                  <c:x val="-1.6264918796112422E-2"/>
                  <c:y val="-4.700326917433478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288-4568-84ED-F3B449783069}"/>
                </c:ext>
              </c:extLst>
            </c:dLbl>
            <c:dLbl>
              <c:idx val="27"/>
              <c:layout>
                <c:manualLayout>
                  <c:x val="-2.8787613224113471E-2"/>
                  <c:y val="-3.5077939143294493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4288-4568-84ED-F3B449783069}"/>
                </c:ext>
              </c:extLst>
            </c:dLbl>
            <c:dLbl>
              <c:idx val="28"/>
              <c:layout>
                <c:manualLayout>
                  <c:x val="-1.2904655292720918E-2"/>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88-4568-84ED-F3B449783069}"/>
                </c:ext>
              </c:extLst>
            </c:dLbl>
            <c:dLbl>
              <c:idx val="29"/>
              <c:layout>
                <c:manualLayout>
                  <c:x val="-1.71045712944008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288-4568-84ED-F3B449783069}"/>
                </c:ext>
              </c:extLst>
            </c:dLbl>
            <c:dLbl>
              <c:idx val="30"/>
              <c:layout>
                <c:manualLayout>
                  <c:x val="-2.1304487296080851E-2"/>
                  <c:y val="0"/>
                </c:manualLayout>
              </c:layout>
              <c:numFmt formatCode="#,##0.0" sourceLinked="0"/>
              <c:spPr>
                <a:noFill/>
                <a:ln>
                  <a:noFill/>
                </a:ln>
                <a:effectLst/>
              </c:spPr>
              <c:txPr>
                <a:bodyPr wrap="square" lIns="72000" tIns="19050" rIns="36000" bIns="1905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4288-4568-84ED-F3B449783069}"/>
                </c:ext>
              </c:extLst>
            </c:dLbl>
            <c:dLbl>
              <c:idx val="31"/>
              <c:layout>
                <c:manualLayout>
                  <c:x val="-8.7047392910409513E-3"/>
                  <c:y val="2.3422951232589515E-3"/>
                </c:manualLayout>
              </c:layout>
              <c:numFmt formatCode="#,##0.0" sourceLinked="0"/>
              <c:spPr>
                <a:noFill/>
                <a:ln>
                  <a:noFill/>
                </a:ln>
                <a:effectLst/>
              </c:spPr>
              <c:txPr>
                <a:bodyPr vertOverflow="overflow" horzOverflow="overflow" wrap="none" lIns="0" tIns="0" rIns="0" bIns="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4288-4568-84ED-F3B449783069}"/>
                </c:ext>
              </c:extLst>
            </c:dLbl>
            <c:dLbl>
              <c:idx val="32"/>
              <c:layout>
                <c:manualLayout>
                  <c:x val="-2.099792649816295E-3"/>
                  <c:y val="1.8520559209495271E-7"/>
                </c:manualLayout>
              </c:layout>
              <c:spPr>
                <a:noFill/>
                <a:ln>
                  <a:noFill/>
                </a:ln>
                <a:effectLst/>
              </c:spPr>
              <c:txPr>
                <a:bodyPr wrap="square" lIns="38100" tIns="19050" rIns="38100" bIns="1905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454460674566035"/>
                      <c:h val="2.2313384530332513E-2"/>
                    </c:manualLayout>
                  </c15:layout>
                </c:ext>
                <c:ext xmlns:c16="http://schemas.microsoft.com/office/drawing/2014/chart" uri="{C3380CC4-5D6E-409C-BE32-E72D297353CC}">
                  <c16:uniqueId val="{00000021-4288-4568-84ED-F3B449783069}"/>
                </c:ext>
              </c:extLst>
            </c:dLbl>
            <c:numFmt formatCode="#,##0.0" sourceLinked="0"/>
            <c:spPr>
              <a:noFill/>
              <a:ln>
                <a:noFill/>
              </a:ln>
              <a:effectLst/>
            </c:spPr>
            <c:txPr>
              <a:bodyPr wrap="square" lIns="72000" tIns="19050" rIns="36000" bIns="19050" anchor="t" anchorCtr="0">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'Variaciones por EF'!$J$6:$J$38</c:f>
              <c:strCache>
                <c:ptCount val="33"/>
                <c:pt idx="0">
                  <c:v>Quintana Roo</c:v>
                </c:pt>
                <c:pt idx="1">
                  <c:v>Campeche</c:v>
                </c:pt>
                <c:pt idx="2">
                  <c:v>Tabasco</c:v>
                </c:pt>
                <c:pt idx="3">
                  <c:v>Durango</c:v>
                </c:pt>
                <c:pt idx="4">
                  <c:v>Sinaloa</c:v>
                </c:pt>
                <c:pt idx="5">
                  <c:v>Puebla</c:v>
                </c:pt>
                <c:pt idx="6">
                  <c:v>Michoacán</c:v>
                </c:pt>
                <c:pt idx="7">
                  <c:v>Veracruz</c:v>
                </c:pt>
                <c:pt idx="8">
                  <c:v>Chihuahua</c:v>
                </c:pt>
                <c:pt idx="9">
                  <c:v>Yucatán</c:v>
                </c:pt>
                <c:pt idx="10">
                  <c:v>Nacional</c:v>
                </c:pt>
                <c:pt idx="11">
                  <c:v>Coahuila</c:v>
                </c:pt>
                <c:pt idx="12">
                  <c:v>Hidalgo</c:v>
                </c:pt>
                <c:pt idx="13">
                  <c:v>Guerrero</c:v>
                </c:pt>
                <c:pt idx="14">
                  <c:v>Tlaxcala</c:v>
                </c:pt>
                <c:pt idx="15">
                  <c:v>Sonora</c:v>
                </c:pt>
                <c:pt idx="16">
                  <c:v>Aguascalientes</c:v>
                </c:pt>
                <c:pt idx="17">
                  <c:v>México</c:v>
                </c:pt>
                <c:pt idx="18">
                  <c:v>Baja California</c:v>
                </c:pt>
                <c:pt idx="19">
                  <c:v>Jalisco</c:v>
                </c:pt>
                <c:pt idx="20">
                  <c:v>Nuevo León</c:v>
                </c:pt>
                <c:pt idx="21">
                  <c:v>Querétaro</c:v>
                </c:pt>
                <c:pt idx="22">
                  <c:v>Chiapas</c:v>
                </c:pt>
                <c:pt idx="23">
                  <c:v>Tamaulipas</c:v>
                </c:pt>
                <c:pt idx="24">
                  <c:v>Morelos</c:v>
                </c:pt>
                <c:pt idx="25">
                  <c:v>Zacatecas</c:v>
                </c:pt>
                <c:pt idx="26">
                  <c:v>San Luis Potosí</c:v>
                </c:pt>
                <c:pt idx="27">
                  <c:v>Colima</c:v>
                </c:pt>
                <c:pt idx="28">
                  <c:v>Guanajuato</c:v>
                </c:pt>
                <c:pt idx="29">
                  <c:v>Baja California Sur</c:v>
                </c:pt>
                <c:pt idx="30">
                  <c:v>Ciudad de México</c:v>
                </c:pt>
                <c:pt idx="31">
                  <c:v>Nayarit</c:v>
                </c:pt>
                <c:pt idx="32">
                  <c:v>Oaxaca</c:v>
                </c:pt>
              </c:strCache>
            </c:strRef>
          </c:cat>
          <c:val>
            <c:numRef>
              <c:f>'Variaciones por EF'!$K$6:$K$38</c:f>
              <c:numCache>
                <c:formatCode>0.0</c:formatCode>
                <c:ptCount val="33"/>
                <c:pt idx="0">
                  <c:v>-51.354720515619043</c:v>
                </c:pt>
                <c:pt idx="1">
                  <c:v>-21.018854307915973</c:v>
                </c:pt>
                <c:pt idx="2">
                  <c:v>-20.28511801691721</c:v>
                </c:pt>
                <c:pt idx="3">
                  <c:v>-4.4608811001765361</c:v>
                </c:pt>
                <c:pt idx="4">
                  <c:v>-4.3684809340029176</c:v>
                </c:pt>
                <c:pt idx="5">
                  <c:v>-4.1147220762747168</c:v>
                </c:pt>
                <c:pt idx="6">
                  <c:v>-3.202907811595324</c:v>
                </c:pt>
                <c:pt idx="7">
                  <c:v>-2.5508049725050483</c:v>
                </c:pt>
                <c:pt idx="8">
                  <c:v>-1.6558746353851461</c:v>
                </c:pt>
                <c:pt idx="9">
                  <c:v>-1.4144491322412023</c:v>
                </c:pt>
                <c:pt idx="10">
                  <c:v>-0.74011030145520396</c:v>
                </c:pt>
                <c:pt idx="11">
                  <c:v>-0.61299702393000643</c:v>
                </c:pt>
                <c:pt idx="12">
                  <c:v>-0.57400453873310697</c:v>
                </c:pt>
                <c:pt idx="13">
                  <c:v>-0.54502635779516595</c:v>
                </c:pt>
                <c:pt idx="14">
                  <c:v>0.42822963425915361</c:v>
                </c:pt>
                <c:pt idx="15">
                  <c:v>0.80647936237190265</c:v>
                </c:pt>
                <c:pt idx="16">
                  <c:v>1.3228509811139304</c:v>
                </c:pt>
                <c:pt idx="17">
                  <c:v>1.7393770965703084</c:v>
                </c:pt>
                <c:pt idx="18">
                  <c:v>2.5126324572033525</c:v>
                </c:pt>
                <c:pt idx="19">
                  <c:v>3.0755158659746797</c:v>
                </c:pt>
                <c:pt idx="20">
                  <c:v>3.1683983716020947</c:v>
                </c:pt>
                <c:pt idx="21">
                  <c:v>3.1881449538227855</c:v>
                </c:pt>
                <c:pt idx="22">
                  <c:v>3.3717971085597469</c:v>
                </c:pt>
                <c:pt idx="23">
                  <c:v>3.4290077075902303</c:v>
                </c:pt>
                <c:pt idx="24">
                  <c:v>3.6015154390640163</c:v>
                </c:pt>
                <c:pt idx="25">
                  <c:v>4.0109734432703448</c:v>
                </c:pt>
                <c:pt idx="26">
                  <c:v>5.3589995134607875</c:v>
                </c:pt>
                <c:pt idx="27">
                  <c:v>5.8052408681074468</c:v>
                </c:pt>
                <c:pt idx="28">
                  <c:v>5.9686739839056884</c:v>
                </c:pt>
                <c:pt idx="29">
                  <c:v>6.8907698111111699</c:v>
                </c:pt>
                <c:pt idx="30">
                  <c:v>8.8511555146309888</c:v>
                </c:pt>
                <c:pt idx="31">
                  <c:v>12.598351469897025</c:v>
                </c:pt>
                <c:pt idx="32">
                  <c:v>15.012911428408145</c:v>
                </c:pt>
              </c:numCache>
            </c:numRef>
          </c:val>
          <c:extLst>
            <c:ext xmlns:c16="http://schemas.microsoft.com/office/drawing/2014/chart" uri="{C3380CC4-5D6E-409C-BE32-E72D297353CC}">
              <c16:uniqueId val="{00000022-4288-4568-84ED-F3B449783069}"/>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20"/>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013358907059695"/>
          <c:y val="2.2274222222222223E-2"/>
          <c:w val="0.57141042465845615"/>
          <c:h val="0.9417528412852898"/>
        </c:manualLayout>
      </c:layout>
      <c:barChart>
        <c:barDir val="bar"/>
        <c:grouping val="clustered"/>
        <c:varyColors val="0"/>
        <c:ser>
          <c:idx val="0"/>
          <c:order val="0"/>
          <c:spPr>
            <a:solidFill>
              <a:srgbClr val="08989C"/>
            </a:solidFill>
          </c:spPr>
          <c:invertIfNegative val="0"/>
          <c:dLbls>
            <c:dLbl>
              <c:idx val="0"/>
              <c:layout>
                <c:manualLayout>
                  <c:x val="-2.1162450766732697E-2"/>
                  <c:y val="-2.3521110196402994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7343383206112525E-2"/>
                    </c:manualLayout>
                  </c15:layout>
                </c:ext>
                <c:ext xmlns:c16="http://schemas.microsoft.com/office/drawing/2014/chart" uri="{C3380CC4-5D6E-409C-BE32-E72D297353CC}">
                  <c16:uniqueId val="{00000000-868E-4D3C-9032-9AD6D77C35F8}"/>
                </c:ext>
              </c:extLst>
            </c:dLbl>
            <c:dLbl>
              <c:idx val="1"/>
              <c:layout>
                <c:manualLayout>
                  <c:x val="-1.6067489673828494E-2"/>
                  <c:y val="-2.3520184168440783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36154001329422"/>
                      <c:h val="2.9036903140253412E-2"/>
                    </c:manualLayout>
                  </c15:layout>
                </c:ext>
                <c:ext xmlns:c16="http://schemas.microsoft.com/office/drawing/2014/chart" uri="{C3380CC4-5D6E-409C-BE32-E72D297353CC}">
                  <c16:uniqueId val="{00000001-868E-4D3C-9032-9AD6D77C35F8}"/>
                </c:ext>
              </c:extLst>
            </c:dLbl>
            <c:dLbl>
              <c:idx val="2"/>
              <c:layout>
                <c:manualLayout>
                  <c:x val="-1.9274142076213596E-2"/>
                  <c:y val="9.2602795876337756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0718516338333"/>
                      <c:h val="2.3119954883917763E-2"/>
                    </c:manualLayout>
                  </c15:layout>
                </c:ext>
                <c:ext xmlns:c16="http://schemas.microsoft.com/office/drawing/2014/chart" uri="{C3380CC4-5D6E-409C-BE32-E72D297353CC}">
                  <c16:uniqueId val="{00000002-868E-4D3C-9032-9AD6D77C35F8}"/>
                </c:ext>
              </c:extLst>
            </c:dLbl>
            <c:dLbl>
              <c:idx val="3"/>
              <c:layout>
                <c:manualLayout>
                  <c:x val="-1.2598094494802941E-2"/>
                  <c:y val="-2.3521110196402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8E-4D3C-9032-9AD6D77C35F8}"/>
                </c:ext>
              </c:extLst>
            </c:dLbl>
            <c:dLbl>
              <c:idx val="4"/>
              <c:layout>
                <c:manualLayout>
                  <c:x val="-8.39983200335985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8E-4D3C-9032-9AD6D77C35F8}"/>
                </c:ext>
              </c:extLst>
            </c:dLbl>
            <c:dLbl>
              <c:idx val="5"/>
              <c:layout>
                <c:manualLayout>
                  <c:x val="-8.39983200335993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8E-4D3C-9032-9AD6D77C35F8}"/>
                </c:ext>
              </c:extLst>
            </c:dLbl>
            <c:dLbl>
              <c:idx val="6"/>
              <c:layout>
                <c:manualLayout>
                  <c:x val="-3.3529880583489154E-3"/>
                  <c:y val="-2.3521110196401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8E-4D3C-9032-9AD6D77C35F8}"/>
                </c:ext>
              </c:extLst>
            </c:dLbl>
            <c:dLbl>
              <c:idx val="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8E-4D3C-9032-9AD6D77C35F8}"/>
                </c:ext>
              </c:extLst>
            </c:dLbl>
            <c:dLbl>
              <c:idx val="8"/>
              <c:layout>
                <c:manualLayout>
                  <c:x val="-1.091763204105989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61996779388084"/>
                      <c:h val="3.487266666666667E-2"/>
                    </c:manualLayout>
                  </c15:layout>
                </c:ext>
                <c:ext xmlns:c16="http://schemas.microsoft.com/office/drawing/2014/chart" uri="{C3380CC4-5D6E-409C-BE32-E72D297353CC}">
                  <c16:uniqueId val="{00000008-868E-4D3C-9032-9AD6D77C35F8}"/>
                </c:ext>
              </c:extLst>
            </c:dLbl>
            <c:dLbl>
              <c:idx val="9"/>
              <c:layout>
                <c:manualLayout>
                  <c:x val="-1.1755134976040636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906150793650795"/>
                      <c:h val="3.2050444444444444E-2"/>
                    </c:manualLayout>
                  </c15:layout>
                </c:ext>
                <c:ext xmlns:c16="http://schemas.microsoft.com/office/drawing/2014/chart" uri="{C3380CC4-5D6E-409C-BE32-E72D297353CC}">
                  <c16:uniqueId val="{00000009-868E-4D3C-9032-9AD6D77C35F8}"/>
                </c:ext>
              </c:extLst>
            </c:dLbl>
            <c:dLbl>
              <c:idx val="11"/>
              <c:layout>
                <c:manualLayout>
                  <c:x val="1.1904761904761904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8E-4D3C-9032-9AD6D77C35F8}"/>
                </c:ext>
              </c:extLst>
            </c:dLbl>
            <c:dLbl>
              <c:idx val="12"/>
              <c:layout>
                <c:manualLayout>
                  <c:x val="-0.12179624124052936"/>
                  <c:y val="2.352111019640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8E-4D3C-9032-9AD6D77C35F8}"/>
                </c:ext>
              </c:extLst>
            </c:dLbl>
            <c:dLbl>
              <c:idx val="13"/>
              <c:layout>
                <c:manualLayout>
                  <c:x val="-4.1999160016799666E-3"/>
                  <c:y val="-8.62430744327827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8E-4D3C-9032-9AD6D77C35F8}"/>
                </c:ext>
              </c:extLst>
            </c:dLbl>
            <c:dLbl>
              <c:idx val="14"/>
              <c:layout>
                <c:manualLayout>
                  <c:x val="-1.4276076683190746E-2"/>
                  <c:y val="-2.822255415180092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973268921095005"/>
                      <c:h val="3.487266666666667E-2"/>
                    </c:manualLayout>
                  </c15:layout>
                </c:ext>
                <c:ext xmlns:c16="http://schemas.microsoft.com/office/drawing/2014/chart" uri="{C3380CC4-5D6E-409C-BE32-E72D297353CC}">
                  <c16:uniqueId val="{0000000D-868E-4D3C-9032-9AD6D77C35F8}"/>
                </c:ext>
              </c:extLst>
            </c:dLbl>
            <c:dLbl>
              <c:idx val="15"/>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8E-4D3C-9032-9AD6D77C35F8}"/>
                </c:ext>
              </c:extLst>
            </c:dLbl>
            <c:dLbl>
              <c:idx val="16"/>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8E-4D3C-9032-9AD6D77C35F8}"/>
                </c:ext>
              </c:extLst>
            </c:dLbl>
            <c:dLbl>
              <c:idx val="17"/>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8E-4D3C-9032-9AD6D77C35F8}"/>
                </c:ext>
              </c:extLst>
            </c:dLbl>
            <c:dLbl>
              <c:idx val="18"/>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8E-4D3C-9032-9AD6D77C35F8}"/>
                </c:ext>
              </c:extLst>
            </c:dLbl>
            <c:dLbl>
              <c:idx val="19"/>
              <c:layout>
                <c:manualLayout>
                  <c:x val="-5.0396825396825393E-3"/>
                  <c:y val="2.82222222222217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8E-4D3C-9032-9AD6D77C35F8}"/>
                </c:ext>
              </c:extLst>
            </c:dLbl>
            <c:dLbl>
              <c:idx val="20"/>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8E-4D3C-9032-9AD6D77C35F8}"/>
                </c:ext>
              </c:extLst>
            </c:dLbl>
            <c:dLbl>
              <c:idx val="21"/>
              <c:layout>
                <c:manualLayout>
                  <c:x val="-5.0396825396826321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68E-4D3C-9032-9AD6D77C35F8}"/>
                </c:ext>
              </c:extLst>
            </c:dLbl>
            <c:dLbl>
              <c:idx val="22"/>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8E-4D3C-9032-9AD6D77C35F8}"/>
                </c:ext>
              </c:extLst>
            </c:dLbl>
            <c:dLbl>
              <c:idx val="23"/>
              <c:layout>
                <c:manualLayout>
                  <c:x val="-9.23948450164855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68E-4D3C-9032-9AD6D77C35F8}"/>
                </c:ext>
              </c:extLst>
            </c:dLbl>
            <c:dLbl>
              <c:idx val="24"/>
              <c:layout>
                <c:manualLayout>
                  <c:x val="-1.0079365079365172E-2"/>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68E-4D3C-9032-9AD6D77C35F8}"/>
                </c:ext>
              </c:extLst>
            </c:dLbl>
            <c:dLbl>
              <c:idx val="25"/>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68E-4D3C-9032-9AD6D77C35F8}"/>
                </c:ext>
              </c:extLst>
            </c:dLbl>
            <c:dLbl>
              <c:idx val="26"/>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68E-4D3C-9032-9AD6D77C35F8}"/>
                </c:ext>
              </c:extLst>
            </c:dLbl>
            <c:dLbl>
              <c:idx val="2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68E-4D3C-9032-9AD6D77C35F8}"/>
                </c:ext>
              </c:extLst>
            </c:dLbl>
            <c:dLbl>
              <c:idx val="28"/>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68E-4D3C-9032-9AD6D77C35F8}"/>
                </c:ext>
              </c:extLst>
            </c:dLbl>
            <c:dLbl>
              <c:idx val="29"/>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68E-4D3C-9032-9AD6D77C35F8}"/>
                </c:ext>
              </c:extLst>
            </c:dLbl>
            <c:dLbl>
              <c:idx val="30"/>
              <c:layout>
                <c:manualLayout>
                  <c:x val="-5.0395684999687369E-3"/>
                  <c:y val="-5.3901921520489205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68E-4D3C-9032-9AD6D77C35F8}"/>
                </c:ext>
              </c:extLst>
            </c:dLbl>
            <c:dLbl>
              <c:idx val="31"/>
              <c:layout>
                <c:manualLayout>
                  <c:x val="-1.6285422323051141E-3"/>
                  <c:y val="-2.6950960760244603E-18"/>
                </c:manualLayout>
              </c:layout>
              <c:tx>
                <c:rich>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0.36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24214665312991E-2"/>
                      <c:h val="1.934990985117805E-2"/>
                    </c:manualLayout>
                  </c15:layout>
                  <c15:showDataLabelsRange val="0"/>
                </c:ext>
                <c:ext xmlns:c16="http://schemas.microsoft.com/office/drawing/2014/chart" uri="{C3380CC4-5D6E-409C-BE32-E72D297353CC}">
                  <c16:uniqueId val="{0000001E-868E-4D3C-9032-9AD6D77C35F8}"/>
                </c:ext>
              </c:extLst>
            </c:dLbl>
            <c:numFmt formatCode="#,##0.00" sourceLinked="0"/>
            <c:spPr>
              <a:noFill/>
              <a:ln>
                <a:noFill/>
              </a:ln>
              <a:effectLst/>
            </c:spPr>
            <c:txPr>
              <a:bodyPr rot="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Contribuciones!$G$7:$G$38</c:f>
              <c:strCache>
                <c:ptCount val="32"/>
                <c:pt idx="0">
                  <c:v>Campeche</c:v>
                </c:pt>
                <c:pt idx="1">
                  <c:v>Tabasco</c:v>
                </c:pt>
                <c:pt idx="2">
                  <c:v>Quintana Roo</c:v>
                </c:pt>
                <c:pt idx="3">
                  <c:v>Puebla</c:v>
                </c:pt>
                <c:pt idx="4">
                  <c:v>Veracruz </c:v>
                </c:pt>
                <c:pt idx="5">
                  <c:v>Chihuahua</c:v>
                </c:pt>
                <c:pt idx="6">
                  <c:v>Durango</c:v>
                </c:pt>
                <c:pt idx="7">
                  <c:v>Sinaloa</c:v>
                </c:pt>
                <c:pt idx="8">
                  <c:v>Michoacán </c:v>
                </c:pt>
                <c:pt idx="9">
                  <c:v>Coahuila </c:v>
                </c:pt>
                <c:pt idx="10">
                  <c:v>Yucatán</c:v>
                </c:pt>
                <c:pt idx="11">
                  <c:v>Hidalgo</c:v>
                </c:pt>
                <c:pt idx="12">
                  <c:v>Guerrero</c:v>
                </c:pt>
                <c:pt idx="13">
                  <c:v>Tlaxcala</c:v>
                </c:pt>
                <c:pt idx="14">
                  <c:v>Aguascalientes</c:v>
                </c:pt>
                <c:pt idx="15">
                  <c:v>Baja California Sur</c:v>
                </c:pt>
                <c:pt idx="16">
                  <c:v>Colima</c:v>
                </c:pt>
                <c:pt idx="17">
                  <c:v>Chiapas</c:v>
                </c:pt>
                <c:pt idx="18">
                  <c:v>Morelos</c:v>
                </c:pt>
                <c:pt idx="19">
                  <c:v>Nayarit</c:v>
                </c:pt>
                <c:pt idx="20">
                  <c:v>Sonora</c:v>
                </c:pt>
                <c:pt idx="21">
                  <c:v>Zacatecas</c:v>
                </c:pt>
                <c:pt idx="22">
                  <c:v>Querétaro</c:v>
                </c:pt>
                <c:pt idx="23">
                  <c:v>Baja California</c:v>
                </c:pt>
                <c:pt idx="24">
                  <c:v>Tamaulipas</c:v>
                </c:pt>
                <c:pt idx="25">
                  <c:v>México</c:v>
                </c:pt>
                <c:pt idx="26">
                  <c:v>San Luis Potosí</c:v>
                </c:pt>
                <c:pt idx="27">
                  <c:v>Jalisco</c:v>
                </c:pt>
                <c:pt idx="28">
                  <c:v>Oaxaca</c:v>
                </c:pt>
                <c:pt idx="29">
                  <c:v>Nuevo León</c:v>
                </c:pt>
                <c:pt idx="30">
                  <c:v>Guanajuato</c:v>
                </c:pt>
                <c:pt idx="31">
                  <c:v>Ciudad de México</c:v>
                </c:pt>
              </c:strCache>
            </c:strRef>
          </c:cat>
          <c:val>
            <c:numRef>
              <c:f>Contribuciones!$H$7:$H$38</c:f>
              <c:numCache>
                <c:formatCode>#,##0.0000</c:formatCode>
                <c:ptCount val="32"/>
                <c:pt idx="0">
                  <c:v>-1.0713328508336208</c:v>
                </c:pt>
                <c:pt idx="1">
                  <c:v>-1.0182536857538795</c:v>
                </c:pt>
                <c:pt idx="2">
                  <c:v>-0.51134815456770433</c:v>
                </c:pt>
                <c:pt idx="3">
                  <c:v>-0.14500253150812667</c:v>
                </c:pt>
                <c:pt idx="4">
                  <c:v>-0.10358279662216119</c:v>
                </c:pt>
                <c:pt idx="5">
                  <c:v>-8.5552509157692427E-2</c:v>
                </c:pt>
                <c:pt idx="6">
                  <c:v>-6.8760401486266068E-2</c:v>
                </c:pt>
                <c:pt idx="7">
                  <c:v>-4.8351037926536028E-2</c:v>
                </c:pt>
                <c:pt idx="8">
                  <c:v>-4.7382210885605153E-2</c:v>
                </c:pt>
                <c:pt idx="9">
                  <c:v>-3.5695884694580071E-2</c:v>
                </c:pt>
                <c:pt idx="10">
                  <c:v>-1.7129605760617016E-2</c:v>
                </c:pt>
                <c:pt idx="11">
                  <c:v>-1.253770868670559E-2</c:v>
                </c:pt>
                <c:pt idx="12">
                  <c:v>-3.3700948340262948E-3</c:v>
                </c:pt>
                <c:pt idx="13">
                  <c:v>2.5819936144586332E-3</c:v>
                </c:pt>
                <c:pt idx="14">
                  <c:v>2.3740439863120709E-2</c:v>
                </c:pt>
                <c:pt idx="15">
                  <c:v>2.4528746068592663E-2</c:v>
                </c:pt>
                <c:pt idx="16">
                  <c:v>2.5536250439358553E-2</c:v>
                </c:pt>
                <c:pt idx="17">
                  <c:v>3.0609129833787441E-2</c:v>
                </c:pt>
                <c:pt idx="18">
                  <c:v>3.4279384268387079E-2</c:v>
                </c:pt>
                <c:pt idx="19">
                  <c:v>3.5605144663223148E-2</c:v>
                </c:pt>
                <c:pt idx="20">
                  <c:v>3.9563704896762156E-2</c:v>
                </c:pt>
                <c:pt idx="21">
                  <c:v>4.1934994687730077E-2</c:v>
                </c:pt>
                <c:pt idx="22">
                  <c:v>9.9543562973128955E-2</c:v>
                </c:pt>
                <c:pt idx="23">
                  <c:v>0.12664337091972466</c:v>
                </c:pt>
                <c:pt idx="24">
                  <c:v>0.12869594519894229</c:v>
                </c:pt>
                <c:pt idx="25">
                  <c:v>0.12933760945964815</c:v>
                </c:pt>
                <c:pt idx="26">
                  <c:v>0.18231197580113975</c:v>
                </c:pt>
                <c:pt idx="27">
                  <c:v>0.19959874547351147</c:v>
                </c:pt>
                <c:pt idx="28">
                  <c:v>0.29677673654285597</c:v>
                </c:pt>
                <c:pt idx="29">
                  <c:v>0.31985717357733751</c:v>
                </c:pt>
                <c:pt idx="30">
                  <c:v>0.33121609010405317</c:v>
                </c:pt>
                <c:pt idx="31">
                  <c:v>0.35582817287652885</c:v>
                </c:pt>
              </c:numCache>
            </c:numRef>
          </c:val>
          <c:extLst>
            <c:ext xmlns:c16="http://schemas.microsoft.com/office/drawing/2014/chart" uri="{C3380CC4-5D6E-409C-BE32-E72D297353CC}">
              <c16:uniqueId val="{0000001F-868E-4D3C-9032-9AD6D77C35F8}"/>
            </c:ext>
          </c:extLst>
        </c:ser>
        <c:dLbls>
          <c:showLegendKey val="0"/>
          <c:showVal val="0"/>
          <c:showCatName val="0"/>
          <c:showSerName val="0"/>
          <c:showPercent val="0"/>
          <c:showBubbleSize val="0"/>
        </c:dLbls>
        <c:gapWidth val="20"/>
        <c:axId val="417155176"/>
        <c:axId val="417151648"/>
      </c:barChart>
      <c:catAx>
        <c:axId val="417155176"/>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1648"/>
        <c:crosses val="autoZero"/>
        <c:auto val="1"/>
        <c:lblAlgn val="ctr"/>
        <c:lblOffset val="100"/>
        <c:noMultiLvlLbl val="0"/>
      </c:catAx>
      <c:valAx>
        <c:axId val="417151648"/>
        <c:scaling>
          <c:orientation val="minMax"/>
          <c:max val="0.5"/>
          <c:min val="-1.5"/>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5176"/>
        <c:crosses val="autoZero"/>
        <c:crossBetween val="between"/>
        <c:majorUnit val="0.5"/>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6.0606146204818571E-2"/>
          <c:y val="5.0925925925925923E-2"/>
          <c:w val="0.90750546316239622"/>
          <c:h val="0.86482283464566934"/>
        </c:manualLayout>
      </c:layout>
      <c:bar3DChart>
        <c:barDir val="col"/>
        <c:grouping val="clustered"/>
        <c:varyColors val="0"/>
        <c:ser>
          <c:idx val="0"/>
          <c:order val="0"/>
          <c:spPr>
            <a:solidFill>
              <a:schemeClr val="accent3">
                <a:lumMod val="75000"/>
              </a:schemeClr>
            </a:soli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invertIfNegative val="0"/>
          <c:dPt>
            <c:idx val="0"/>
            <c:invertIfNegative val="0"/>
            <c:bubble3D val="0"/>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extLst>
              <c:ext xmlns:c16="http://schemas.microsoft.com/office/drawing/2014/chart" uri="{C3380CC4-5D6E-409C-BE32-E72D297353CC}">
                <c16:uniqueId val="{00000001-2034-47B4-8E7A-4E4B1C0D1DED}"/>
              </c:ext>
            </c:extLst>
          </c:dPt>
          <c:dPt>
            <c:idx val="1"/>
            <c:invertIfNegative val="0"/>
            <c:bubble3D val="0"/>
            <c:spPr>
              <a:solidFill>
                <a:srgbClr val="E2D4EC"/>
              </a:soli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extLst>
              <c:ext xmlns:c16="http://schemas.microsoft.com/office/drawing/2014/chart" uri="{C3380CC4-5D6E-409C-BE32-E72D297353CC}">
                <c16:uniqueId val="{00000003-2034-47B4-8E7A-4E4B1C0D1DED}"/>
              </c:ext>
            </c:extLst>
          </c:dPt>
          <c:dPt>
            <c:idx val="2"/>
            <c:invertIfNegative val="0"/>
            <c:bubble3D val="0"/>
            <c:spPr>
              <a:solidFill>
                <a:schemeClr val="accent1">
                  <a:lumMod val="40000"/>
                  <a:lumOff val="60000"/>
                </a:schemeClr>
              </a:soli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extLst>
              <c:ext xmlns:c16="http://schemas.microsoft.com/office/drawing/2014/chart" uri="{C3380CC4-5D6E-409C-BE32-E72D297353CC}">
                <c16:uniqueId val="{00000005-2034-47B4-8E7A-4E4B1C0D1DED}"/>
              </c:ext>
            </c:extLst>
          </c:dPt>
          <c:dPt>
            <c:idx val="3"/>
            <c:invertIfNegative val="0"/>
            <c:bubble3D val="0"/>
            <c:extLst>
              <c:ext xmlns:c16="http://schemas.microsoft.com/office/drawing/2014/chart" uri="{C3380CC4-5D6E-409C-BE32-E72D297353CC}">
                <c16:uniqueId val="{00000006-2034-47B4-8E7A-4E4B1C0D1DED}"/>
              </c:ext>
            </c:extLst>
          </c:dPt>
          <c:dPt>
            <c:idx val="4"/>
            <c:invertIfNegative val="0"/>
            <c:bubble3D val="0"/>
            <c:spPr>
              <a:solidFill>
                <a:schemeClr val="accent3">
                  <a:lumMod val="40000"/>
                  <a:lumOff val="60000"/>
                </a:schemeClr>
              </a:soli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extLst>
              <c:ext xmlns:c16="http://schemas.microsoft.com/office/drawing/2014/chart" uri="{C3380CC4-5D6E-409C-BE32-E72D297353CC}">
                <c16:uniqueId val="{00000008-2034-47B4-8E7A-4E4B1C0D1DED}"/>
              </c:ext>
            </c:extLst>
          </c:dPt>
          <c:dPt>
            <c:idx val="5"/>
            <c:invertIfNegative val="0"/>
            <c:bubble3D val="0"/>
            <c:spPr>
              <a:solidFill>
                <a:schemeClr val="accent4">
                  <a:lumMod val="40000"/>
                  <a:lumOff val="60000"/>
                </a:schemeClr>
              </a:solidFill>
              <a:ln w="28575" cap="rnd">
                <a:solidFill>
                  <a:schemeClr val="accent3">
                    <a:lumMod val="50000"/>
                  </a:schemeClr>
                </a:solidFill>
                <a:round/>
              </a:ln>
              <a:effectLst/>
              <a:scene3d>
                <a:camera prst="orthographicFront"/>
                <a:lightRig rig="threePt" dir="t"/>
              </a:scene3d>
              <a:sp3d>
                <a:bevelT w="139700" h="139700" prst="divot"/>
                <a:bevelB w="139700" h="139700" prst="divot"/>
                <a:contourClr>
                  <a:srgbClr val="000000"/>
                </a:contourClr>
              </a:sp3d>
            </c:spPr>
            <c:extLst>
              <c:ext xmlns:c16="http://schemas.microsoft.com/office/drawing/2014/chart" uri="{C3380CC4-5D6E-409C-BE32-E72D297353CC}">
                <c16:uniqueId val="{0000000A-2034-47B4-8E7A-4E4B1C0D1DED}"/>
              </c:ext>
            </c:extLst>
          </c:dPt>
          <c:dLbls>
            <c:dLbl>
              <c:idx val="0"/>
              <c:layout>
                <c:manualLayout>
                  <c:x val="5.8088005578169075E-3"/>
                  <c:y val="0.336165547231461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34-47B4-8E7A-4E4B1C0D1DED}"/>
                </c:ext>
              </c:extLst>
            </c:dLbl>
            <c:dLbl>
              <c:idx val="1"/>
              <c:layout>
                <c:manualLayout>
                  <c:x val="1.6462418670566425E-2"/>
                  <c:y val="0.431442204339348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34-47B4-8E7A-4E4B1C0D1DED}"/>
                </c:ext>
              </c:extLst>
            </c:dLbl>
            <c:dLbl>
              <c:idx val="2"/>
              <c:layout>
                <c:manualLayout>
                  <c:x val="4.6613028103648238E-3"/>
                  <c:y val="0.333950058674563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34-47B4-8E7A-4E4B1C0D1DED}"/>
                </c:ext>
              </c:extLst>
            </c:dLbl>
            <c:dLbl>
              <c:idx val="3"/>
              <c:layout>
                <c:manualLayout>
                  <c:x val="6.1339485015461555E-3"/>
                  <c:y val="0.402236647977388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34-47B4-8E7A-4E4B1C0D1DED}"/>
                </c:ext>
              </c:extLst>
            </c:dLbl>
            <c:dLbl>
              <c:idx val="4"/>
              <c:layout>
                <c:manualLayout>
                  <c:x val="6.7231199713847171E-3"/>
                  <c:y val="0.480462608826904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34-47B4-8E7A-4E4B1C0D1DED}"/>
                </c:ext>
              </c:extLst>
            </c:dLbl>
            <c:dLbl>
              <c:idx val="5"/>
              <c:layout>
                <c:manualLayout>
                  <c:x val="8.9847234233296058E-3"/>
                  <c:y val="0.5903649629629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34-47B4-8E7A-4E4B1C0D1DED}"/>
                </c:ext>
              </c:extLst>
            </c:dLbl>
            <c:spPr>
              <a:noFill/>
              <a:ln>
                <a:noFill/>
              </a:ln>
              <a:effectLst/>
            </c:spPr>
            <c:txPr>
              <a:bodyPr rot="-5400000" spcFirstLastPara="1" vertOverflow="ellipsis"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 2014-2026 GRAFICOS GIL PARA ILIET 2026.xlsx]Particc. Fed 11-26'!$T$49:$U$50</c:f>
              <c:strCache>
                <c:ptCount val="2"/>
                <c:pt idx="0">
                  <c:v>LIET 2025</c:v>
                </c:pt>
                <c:pt idx="1">
                  <c:v>ILIET 2026</c:v>
                </c:pt>
              </c:strCache>
            </c:strRef>
          </c:cat>
          <c:val>
            <c:numRef>
              <c:f>'[Ingresos 2014-2026 GRAFICOS GIL PARA ILIET 2026.xlsx]Particc. Fed 11-26'!$T$66:$U$66</c:f>
              <c:numCache>
                <c:formatCode>#,##0</c:formatCode>
                <c:ptCount val="2"/>
                <c:pt idx="0">
                  <c:v>12832.706287999999</c:v>
                </c:pt>
                <c:pt idx="1">
                  <c:v>14094.505988000001</c:v>
                </c:pt>
              </c:numCache>
            </c:numRef>
          </c:val>
          <c:shape val="cylinder"/>
          <c:extLst>
            <c:ext xmlns:c16="http://schemas.microsoft.com/office/drawing/2014/chart" uri="{C3380CC4-5D6E-409C-BE32-E72D297353CC}">
              <c16:uniqueId val="{0000000B-2034-47B4-8E7A-4E4B1C0D1DED}"/>
            </c:ext>
          </c:extLst>
        </c:ser>
        <c:dLbls>
          <c:showLegendKey val="0"/>
          <c:showVal val="0"/>
          <c:showCatName val="0"/>
          <c:showSerName val="0"/>
          <c:showPercent val="0"/>
          <c:showBubbleSize val="0"/>
        </c:dLbls>
        <c:gapWidth val="150"/>
        <c:shape val="box"/>
        <c:axId val="370684216"/>
        <c:axId val="370685000"/>
        <c:axId val="0"/>
      </c:bar3DChart>
      <c:catAx>
        <c:axId val="37068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370685000"/>
        <c:crosses val="autoZero"/>
        <c:auto val="1"/>
        <c:lblAlgn val="ctr"/>
        <c:lblOffset val="100"/>
        <c:noMultiLvlLbl val="0"/>
      </c:catAx>
      <c:valAx>
        <c:axId val="370685000"/>
        <c:scaling>
          <c:orientation val="minMax"/>
          <c:max val="16000"/>
          <c:min val="7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370684216"/>
        <c:crosses val="autoZero"/>
        <c:crossBetween val="between"/>
        <c:majorUnit val="1000"/>
      </c:valAx>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0.94712</cdr:x>
      <cdr:y>0.68598</cdr:y>
    </cdr:from>
    <cdr:to>
      <cdr:x>1</cdr:x>
      <cdr:y>0.73664</cdr:y>
    </cdr:to>
    <cdr:grpSp>
      <cdr:nvGrpSpPr>
        <cdr:cNvPr id="12" name="Grupo 11">
          <a:extLst xmlns:a="http://schemas.openxmlformats.org/drawingml/2006/main">
            <a:ext uri="{FF2B5EF4-FFF2-40B4-BE49-F238E27FC236}">
              <a16:creationId xmlns:a16="http://schemas.microsoft.com/office/drawing/2014/main" id="{5E6E79A9-AA42-6E29-101D-62BAB790509F}"/>
            </a:ext>
          </a:extLst>
        </cdr:cNvPr>
        <cdr:cNvGrpSpPr/>
      </cdr:nvGrpSpPr>
      <cdr:grpSpPr>
        <a:xfrm xmlns:a="http://schemas.openxmlformats.org/drawingml/2006/main">
          <a:off x="2863968" y="3817843"/>
          <a:ext cx="159902" cy="281950"/>
          <a:chOff x="128136" y="0"/>
          <a:chExt cx="165954" cy="286913"/>
        </a:xfrm>
      </cdr:grpSpPr>
      <cdr:cxnSp macro="">
        <cdr:nvCxnSpPr>
          <cdr:cNvPr id="13" name="Conector recto 12">
            <a:extLst xmlns:a="http://schemas.openxmlformats.org/drawingml/2006/main">
              <a:ext uri="{FF2B5EF4-FFF2-40B4-BE49-F238E27FC236}">
                <a16:creationId xmlns:a16="http://schemas.microsoft.com/office/drawing/2014/main" id="{1C261718-A235-CD4F-7533-0CC7F23FC553}"/>
              </a:ext>
            </a:extLst>
          </cdr:cNvPr>
          <cdr:cNvCxnSpPr/>
        </cdr:nvCxnSpPr>
        <cdr:spPr>
          <a:xfrm xmlns:a="http://schemas.openxmlformats.org/drawingml/2006/main" flipH="1">
            <a:off x="128136" y="662"/>
            <a:ext cx="114175" cy="286251"/>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Conector recto 13">
            <a:extLst xmlns:a="http://schemas.openxmlformats.org/drawingml/2006/main">
              <a:ext uri="{FF2B5EF4-FFF2-40B4-BE49-F238E27FC236}">
                <a16:creationId xmlns:a16="http://schemas.microsoft.com/office/drawing/2014/main" id="{18DBC943-10DD-7810-A144-A804DB91E9FA}"/>
              </a:ext>
            </a:extLst>
          </cdr:cNvPr>
          <cdr:cNvCxnSpPr/>
        </cdr:nvCxnSpPr>
        <cdr:spPr>
          <a:xfrm xmlns:a="http://schemas.openxmlformats.org/drawingml/2006/main" flipH="1">
            <a:off x="178262" y="0"/>
            <a:ext cx="115828" cy="284107"/>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0.71227</cdr:x>
      <cdr:y>0.57879</cdr:y>
    </cdr:from>
    <cdr:to>
      <cdr:x>0.80128</cdr:x>
      <cdr:y>0.76344</cdr:y>
    </cdr:to>
    <cdr:sp macro="" textlink="">
      <cdr:nvSpPr>
        <cdr:cNvPr id="2" name="CuadroTexto 1"/>
        <cdr:cNvSpPr txBox="1"/>
      </cdr:nvSpPr>
      <cdr:spPr>
        <a:xfrm xmlns:a="http://schemas.openxmlformats.org/drawingml/2006/main">
          <a:off x="1974424" y="2085720"/>
          <a:ext cx="246732" cy="665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3.xml><?xml version="1.0" encoding="utf-8"?>
<c:userShapes xmlns:c="http://schemas.openxmlformats.org/drawingml/2006/chart">
  <cdr:relSizeAnchor xmlns:cdr="http://schemas.openxmlformats.org/drawingml/2006/chartDrawing">
    <cdr:from>
      <cdr:x>0.14264</cdr:x>
      <cdr:y>0.05319</cdr:y>
    </cdr:from>
    <cdr:to>
      <cdr:x>0.88527</cdr:x>
      <cdr:y>0.18633</cdr:y>
    </cdr:to>
    <cdr:sp macro="" textlink="">
      <cdr:nvSpPr>
        <cdr:cNvPr id="8" name="7 CuadroTexto"/>
        <cdr:cNvSpPr txBox="1"/>
      </cdr:nvSpPr>
      <cdr:spPr>
        <a:xfrm xmlns:a="http://schemas.openxmlformats.org/drawingml/2006/main">
          <a:off x="876300" y="229758"/>
          <a:ext cx="4562475" cy="5751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200" b="1"/>
            <a:t>Participaciones  Autorizadas 2025- Estimación 2026</a:t>
          </a:r>
        </a:p>
        <a:p xmlns:a="http://schemas.openxmlformats.org/drawingml/2006/main">
          <a:pPr algn="ctr"/>
          <a:r>
            <a:rPr lang="es-MX" sz="1200" b="1"/>
            <a:t>(cifras en mdp)</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5BD63-8697-4D33-9714-AB841E84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21258</Words>
  <Characters>116923</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Presupuesto</cp:lastModifiedBy>
  <cp:revision>3</cp:revision>
  <cp:lastPrinted>2025-11-05T00:31:00Z</cp:lastPrinted>
  <dcterms:created xsi:type="dcterms:W3CDTF">2025-11-04T20:11:00Z</dcterms:created>
  <dcterms:modified xsi:type="dcterms:W3CDTF">2025-11-05T00:32:00Z</dcterms:modified>
</cp:coreProperties>
</file>